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360" w:before="0" w:line="600" w:lineRule="exact"/>
        <w:jc w:val="center"/>
      </w:pPr>
      <w:r>
        <w:rPr>
          <w:rFonts w:ascii="Times New Roman" w:eastAsia="宋体" w:hAnsi="Times New Roman"/>
          <w:b/>
          <w:bCs/>
          <w:sz w:val="44"/>
          <w:szCs w:val="44"/>
        </w:rPr>
        <w:t xml:space="preserve">酒店发电车保障配置方案情况汇报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仿宋" w:hAnsi="Times New Roman"/>
          <w:sz w:val="32"/>
          <w:szCs w:val="32"/>
        </w:rPr>
        <w:t xml:space="preserve">本次保障范围共14家酒店。13家具备发电车接入条件，其中4号酒店无法带电接入，接入前停电约90分钟；其余12家约30分钟。14号酒店因配电房楼层过高，不具备接入条件，两种方案均未配置。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仿宋" w:hAnsi="Times New Roman"/>
          <w:sz w:val="32"/>
          <w:szCs w:val="32"/>
        </w:rPr>
        <w:t xml:space="preserve">方案一为一店一车，共13台，询价合计约100.21万元。供电关系清晰，单台故障不影响其他酒店，操作和应急相对简单；但车辆需求量大，停车、电缆通道和交通组织压力较大，总费用较高。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仿宋" w:hAnsi="Times New Roman"/>
          <w:sz w:val="32"/>
          <w:szCs w:val="32"/>
        </w:rPr>
        <w:t xml:space="preserve">方案二为分组配置，共9台，询价合计约90.51万元。8、9、11、13号酒店不单独配车，由相邻组兼顾。该方案减少4台车，费用降低约9.70万元，降幅约9.7%；但单台容量增大，单台均价由约7.71万元升至约10.06万元，一车多店会扩大单台故障影响范围，对容量、电缆、切换和现场组织要求更高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仿宋" w:hAnsi="Times New Roman"/>
          <w:sz w:val="32"/>
          <w:szCs w:val="32"/>
        </w:rPr>
        <w:t xml:space="preserve">两种方案均未覆盖14号酒店，需另行研究替代措施；4号酒店停电时间较长，应单独制定快速接入方案；其余酒店30分钟接入偏紧，建议提前就位、预敷电缆并配置UPS或储能托底。方案二还需逐组复核负荷容量、现场条件和切换可靠性。最终配置需结合保电等级、负荷允许停电时间和现场条件确定，费用以招标或合同价为准。</w:t>
      </w:r>
    </w:p>
    <w:p>
      <w:pPr>
        <w:spacing w:after="0" w:before="480" w:line="560" w:lineRule="exact"/>
        <w:jc w:val="right"/>
      </w:pPr>
      <w:r>
        <w:rPr>
          <w:rFonts w:ascii="Times New Roman" w:eastAsia="仿宋" w:hAnsi="Times New Roman"/>
          <w:sz w:val="32"/>
          <w:szCs w:val="32"/>
        </w:rPr>
        <w:t xml:space="preserve">2026年11月1日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仿宋" w:hAnsi="Times New Roman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3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6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2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6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9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22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5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2026-11-01T14:07:10.279Z</dcterms:created>
  <dcterms:modified xsi:type="dcterms:W3CDTF">2026-11-01T14:07:10.281Z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