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drawing>
          <wp:inline distT="0" distB="0" distL="0" distR="0">
            <wp:extent cx="1508760" cy="14566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08760" cy="1456690"/>
                    </a:xfrm>
                    <a:prstGeom prst="rect">
                      <a:avLst/>
                    </a:prstGeom>
                    <a:noFill/>
                  </pic:spPr>
                </pic:pic>
              </a:graphicData>
            </a:graphic>
          </wp:inline>
        </w:drawing>
      </w:r>
    </w:p>
    <w:p>
      <w:pPr>
        <w:pStyle w:val="Normal"/>
        <w:spacing w:before="240" w:after="110"/>
        <w:jc w:val="center"/>
        <w:rPr/>
      </w:pPr>
      <w:r>
        <w:rPr>
          <w:rFonts w:eastAsia="Liberation Sans"/>
          <w:b/>
          <w:color w:val="0067A3"/>
          <w:sz w:val="60"/>
        </w:rPr>
        <w:t>TEMELJI PLATFORME</w:t>
      </w:r>
    </w:p>
    <w:p>
      <w:pPr>
        <w:pStyle w:val="Normal"/>
        <w:jc w:val="center"/>
        <w:rPr/>
      </w:pPr>
      <w:r>
        <w:rPr>
          <w:rFonts w:eastAsia="Liberation Sans"/>
          <w:color w:val="52636D"/>
          <w:sz w:val="28"/>
        </w:rPr>
        <w:t>Krovna metodologija, kontekst, podatkovni viri in razvojna usmeritev</w:t>
      </w:r>
    </w:p>
    <w:p>
      <w:pPr>
        <w:pStyle w:val="Normal"/>
        <w:spacing w:before="400" w:after="110"/>
        <w:jc w:val="center"/>
        <w:rPr/>
      </w:pPr>
      <w:r>
        <w:rPr/>
        <w:t>Dokument v1.5</w:t>
      </w:r>
    </w:p>
    <w:p>
      <w:pPr>
        <w:pStyle w:val="Normal"/>
        <w:jc w:val="center"/>
        <w:rPr/>
      </w:pPr>
      <w:r>
        <w:rPr>
          <w:rFonts w:eastAsia="Liberation Sans"/>
          <w:color w:val="52636D"/>
          <w:sz w:val="20"/>
        </w:rPr>
        <w:t>31. julij 2026</w:t>
      </w:r>
    </w:p>
    <w:p>
      <w:pPr>
        <w:pStyle w:val="Normal"/>
        <w:spacing w:before="880" w:after="110"/>
        <w:jc w:val="center"/>
        <w:rPr/>
      </w:pPr>
      <w:r>
        <w:rPr>
          <w:rFonts w:eastAsia="Liberation Sans"/>
          <w:b/>
          <w:color w:val="0067A3"/>
          <w:sz w:val="24"/>
        </w:rPr>
        <w:t>UTRIP TRŽIČA</w:t>
      </w:r>
    </w:p>
    <w:p>
      <w:pPr>
        <w:pStyle w:val="Normal"/>
        <w:jc w:val="center"/>
        <w:rPr/>
      </w:pPr>
      <w:r>
        <w:rPr>
          <w:rFonts w:eastAsia="Liberation Sans"/>
          <w:color w:val="52636D"/>
          <w:sz w:val="20"/>
        </w:rPr>
        <w:t>Podatki · analitika · umetna inteligenca</w:t>
      </w:r>
    </w:p>
    <w:p>
      <w:pPr>
        <w:pStyle w:val="Normal"/>
        <w:rPr/>
      </w:pPr>
      <w:r>
        <w:rPr/>
      </w:r>
      <w:r>
        <w:br w:type="page"/>
      </w:r>
    </w:p>
    <w:p>
      <w:pPr>
        <w:pStyle w:val="Heading1"/>
        <w:spacing w:before="0" w:after="140"/>
        <w:rPr/>
      </w:pPr>
      <w:bookmarkStart w:id="0" w:name="__RefHeading___Toc4801_3353252975"/>
      <w:bookmarkStart w:id="1" w:name="_Toc236375242"/>
      <w:bookmarkEnd w:id="0"/>
      <w:r>
        <w:rPr/>
        <w:t>Nadzor dokumenta</w:t>
      </w:r>
      <w:bookmarkEnd w:id="1"/>
    </w:p>
    <w:tbl>
      <w:tblPr>
        <w:tblStyle w:val="Tabelamrea"/>
        <w:tblW w:w="1201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4836"/>
        <w:gridCol w:w="7179"/>
      </w:tblGrid>
      <w:tr>
        <w:trPr>
          <w:tblHeader w:val="true"/>
          <w:trHeight w:val="342" w:hRule="atLeast"/>
        </w:trPr>
        <w:tc>
          <w:tcPr>
            <w:tcW w:w="4836"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Polje</w:t>
            </w:r>
          </w:p>
        </w:tc>
        <w:tc>
          <w:tcPr>
            <w:tcW w:w="7179"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Vrednost</w:t>
            </w:r>
          </w:p>
        </w:tc>
      </w:tr>
      <w:tr>
        <w:trPr>
          <w:trHeight w:val="207"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Naziv</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TEMELJI PLATFORME – Utrip Tržiča</w:t>
            </w:r>
          </w:p>
        </w:tc>
      </w:tr>
      <w:tr>
        <w:trPr>
          <w:trHeight w:val="428"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Namen</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Osrednji dokument za razvoj, razlage, metodologijo, simulacije, predikcije, zanesljivost in sledljivost virov.</w:t>
            </w:r>
          </w:p>
        </w:tc>
      </w:tr>
      <w:tr>
        <w:trPr>
          <w:trHeight w:val="207"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Status</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Živi dokument; dopolnjuje se ob pomembni vsebinski ali metodološki spremembi.</w:t>
            </w:r>
          </w:p>
        </w:tc>
      </w:tr>
      <w:tr>
        <w:trPr>
          <w:trHeight w:val="244"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Pregledana izvorna koda</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prometni-utrip-trzica-app-1.9.1-prostorski-kontekst.zip</w:t>
            </w:r>
          </w:p>
        </w:tc>
      </w:tr>
      <w:tr>
        <w:trPr>
          <w:trHeight w:val="746"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Stanje platforme</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Vstopna stran v1.9.1; AI analiza prometa v1.62; javni prikaz v1.6; Turistični utrip v0.4; Uresničevanje Strategije turizma v0.1; Tržič v turističnem okolju v0.2; Deževni vrt v0.1. Presek 31. 7. 2026; prva razvojna faza zaključena.</w:t>
            </w:r>
          </w:p>
        </w:tc>
      </w:tr>
      <w:tr>
        <w:trPr>
          <w:trHeight w:val="428"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Ključna referenčna dokumenta</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Strategija razvoja turizma v Občini Tržič 2024–2031 ter OPN Občine Tržič UPB1 (Uradni list RS, št. 3/2020).</w:t>
            </w:r>
          </w:p>
        </w:tc>
      </w:tr>
      <w:tr>
        <w:trPr>
          <w:trHeight w:val="207"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Načrtovani modul</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rHeight w:val="207"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Skrbnik vsebine</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Občina Tržič (Dominik Gruškovnjak)</w:t>
            </w:r>
          </w:p>
        </w:tc>
      </w:tr>
      <w:tr>
        <w:trPr>
          <w:trHeight w:val="207"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Datum izhodiščne izdaje</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25. 7. 2026</w:t>
            </w:r>
          </w:p>
        </w:tc>
      </w:tr>
      <w:tr>
        <w:trPr>
          <w:trHeight w:val="195" w:hRule="atLeast"/>
        </w:trPr>
        <w:tc>
          <w:tcPr>
            <w:tcW w:w="483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Datum zadnje posodobitve</w:t>
            </w:r>
          </w:p>
        </w:tc>
        <w:tc>
          <w:tcPr>
            <w:tcW w:w="717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7"/>
                <w:szCs w:val="22"/>
                <w:lang w:val="en-US" w:eastAsia="en-US" w:bidi="ar-SA"/>
              </w:rPr>
              <w:t>31. 7. 2026</w:t>
            </w:r>
          </w:p>
        </w:tc>
      </w:tr>
    </w:tbl>
    <w:p>
      <w:pPr>
        <w:pStyle w:val="Normal"/>
        <w:spacing w:before="0" w:after="0"/>
        <w:rPr/>
      </w:pPr>
      <w:r>
        <w:rPr/>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Temeljno pravilo</w:t>
            </w:r>
            <w:r>
              <w:rPr>
                <w:rFonts w:eastAsia="Liberation Sans"/>
              </w:rPr>
              <w:br/>
              <w:t>Ta dokument in zadnji potrjeni ZIP sta skupaj avtoritativno izhodišče projekta. Dokument razloži, kaj podatki pomenijo in kako jih smemo uporabljati; ZIP vsebuje dejansko implementacijo. Kadar se ne ujemata, se neskladje najprej evidentira in odpravi, ne pa prikrije.</w:t>
            </w:r>
          </w:p>
        </w:tc>
      </w:tr>
    </w:tbl>
    <w:p>
      <w:pPr>
        <w:pStyle w:val="Normal"/>
        <w:spacing w:before="0" w:after="0"/>
        <w:rPr/>
      </w:pPr>
      <w:r>
        <w:rPr/>
      </w:r>
    </w:p>
    <w:p>
      <w:pPr>
        <w:pStyle w:val="Heading1"/>
        <w:rPr/>
      </w:pPr>
      <w:bookmarkStart w:id="2" w:name="__RefHeading___Toc4803_3353252975"/>
      <w:bookmarkStart w:id="3" w:name="_Toc236375243"/>
      <w:bookmarkEnd w:id="2"/>
      <w:r>
        <w:rPr/>
        <w:t>Kazalo</w:t>
      </w:r>
      <w:bookmarkEnd w:id="3"/>
    </w:p>
    <w:sdt>
      <w:sdtPr>
        <w:docPartObj>
          <w:docPartGallery w:val="Table of Contents"/>
          <w:docPartUnique w:val="true"/>
        </w:docPartObj>
      </w:sdtPr>
      <w:sdtContent>
        <w:p>
          <w:pPr>
            <w:pStyle w:val="TOC1"/>
            <w:tabs>
              <w:tab w:val="clear" w:pos="720"/>
              <w:tab w:val="right" w:pos="940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801_3353252975">
            <w:r>
              <w:rPr>
                <w:webHidden/>
                <w:rStyle w:val="IndexLink"/>
              </w:rPr>
              <w:t>Nadzor dokumenta</w:t>
              <w:tab/>
              <w:t>2</w:t>
            </w:r>
          </w:hyperlink>
        </w:p>
        <w:p>
          <w:pPr>
            <w:pStyle w:val="TOC1"/>
            <w:tabs>
              <w:tab w:val="clear" w:pos="720"/>
              <w:tab w:val="right" w:pos="9405" w:leader="dot"/>
            </w:tabs>
            <w:rPr/>
          </w:pPr>
          <w:hyperlink w:anchor="__RefHeading___Toc4803_3353252975">
            <w:r>
              <w:rPr>
                <w:webHidden/>
                <w:rStyle w:val="IndexLink"/>
              </w:rPr>
              <w:t>Kazalo</w:t>
              <w:tab/>
              <w:t>2</w:t>
            </w:r>
          </w:hyperlink>
        </w:p>
        <w:p>
          <w:pPr>
            <w:pStyle w:val="TOC1"/>
            <w:tabs>
              <w:tab w:val="clear" w:pos="720"/>
              <w:tab w:val="right" w:pos="9405" w:leader="dot"/>
            </w:tabs>
            <w:rPr/>
          </w:pPr>
          <w:hyperlink w:anchor="__RefHeading___Toc4805_3353252975">
            <w:r>
              <w:rPr>
                <w:webHidden/>
                <w:rStyle w:val="IndexLink"/>
              </w:rPr>
              <w:t>1. Namen in cilj dokumenta</w:t>
              <w:tab/>
              <w:t>5</w:t>
            </w:r>
          </w:hyperlink>
        </w:p>
        <w:p>
          <w:pPr>
            <w:pStyle w:val="TOC1"/>
            <w:tabs>
              <w:tab w:val="clear" w:pos="720"/>
              <w:tab w:val="right" w:pos="9405" w:leader="dot"/>
            </w:tabs>
            <w:rPr/>
          </w:pPr>
          <w:hyperlink w:anchor="__RefHeading___Toc4807_3353252975">
            <w:r>
              <w:rPr>
                <w:webHidden/>
                <w:rStyle w:val="IndexLink"/>
              </w:rPr>
              <w:t>2. Trenutni obseg in register verzij</w:t>
              <w:tab/>
              <w:t>5</w:t>
            </w:r>
          </w:hyperlink>
        </w:p>
        <w:p>
          <w:pPr>
            <w:pStyle w:val="TOC2"/>
            <w:tabs>
              <w:tab w:val="clear" w:pos="720"/>
              <w:tab w:val="right" w:pos="9405" w:leader="dot"/>
            </w:tabs>
            <w:rPr/>
          </w:pPr>
          <w:hyperlink w:anchor="__RefHeading___Toc4809_3353252975">
            <w:r>
              <w:rPr>
                <w:webHidden/>
                <w:rStyle w:val="IndexLink"/>
              </w:rPr>
              <w:t>2.1 Zaključek prve razvojne faze – presek 31. 7. 2026</w:t>
              <w:tab/>
              <w:t>6</w:t>
            </w:r>
          </w:hyperlink>
        </w:p>
        <w:p>
          <w:pPr>
            <w:pStyle w:val="TOC1"/>
            <w:tabs>
              <w:tab w:val="clear" w:pos="720"/>
              <w:tab w:val="right" w:pos="9405" w:leader="dot"/>
            </w:tabs>
            <w:rPr/>
          </w:pPr>
          <w:hyperlink w:anchor="__RefHeading___Toc4811_3353252975">
            <w:r>
              <w:rPr>
                <w:webHidden/>
                <w:rStyle w:val="IndexLink"/>
              </w:rPr>
              <w:t>3. Skupna metodologija platforme</w:t>
              <w:tab/>
              <w:t>6</w:t>
            </w:r>
          </w:hyperlink>
        </w:p>
        <w:p>
          <w:pPr>
            <w:pStyle w:val="TOC2"/>
            <w:tabs>
              <w:tab w:val="clear" w:pos="720"/>
              <w:tab w:val="right" w:pos="9405" w:leader="dot"/>
            </w:tabs>
            <w:rPr/>
          </w:pPr>
          <w:hyperlink w:anchor="__RefHeading___Toc4813_3353252975">
            <w:r>
              <w:rPr>
                <w:webHidden/>
                <w:rStyle w:val="IndexLink"/>
              </w:rPr>
              <w:t>3.1 Hierarhija dokazov in virov</w:t>
              <w:tab/>
              <w:t>6</w:t>
            </w:r>
          </w:hyperlink>
        </w:p>
        <w:p>
          <w:pPr>
            <w:pStyle w:val="TOC2"/>
            <w:tabs>
              <w:tab w:val="clear" w:pos="720"/>
              <w:tab w:val="right" w:pos="9405" w:leader="dot"/>
            </w:tabs>
            <w:rPr/>
          </w:pPr>
          <w:hyperlink w:anchor="__RefHeading___Toc4815_3353252975">
            <w:r>
              <w:rPr>
                <w:webHidden/>
                <w:rStyle w:val="IndexLink"/>
              </w:rPr>
              <w:t>3.2 Obvezne oznake statusa podatka</w:t>
              <w:tab/>
              <w:t>7</w:t>
            </w:r>
          </w:hyperlink>
        </w:p>
        <w:p>
          <w:pPr>
            <w:pStyle w:val="TOC2"/>
            <w:tabs>
              <w:tab w:val="clear" w:pos="720"/>
              <w:tab w:val="right" w:pos="9405" w:leader="dot"/>
            </w:tabs>
            <w:rPr/>
          </w:pPr>
          <w:hyperlink w:anchor="__RefHeading___Toc4817_3353252975">
            <w:r>
              <w:rPr>
                <w:webHidden/>
                <w:rStyle w:val="IndexLink"/>
              </w:rPr>
              <w:t>3.3 Prostorski in časovni obseg</w:t>
              <w:tab/>
              <w:t>7</w:t>
            </w:r>
          </w:hyperlink>
        </w:p>
        <w:p>
          <w:pPr>
            <w:pStyle w:val="TOC2"/>
            <w:tabs>
              <w:tab w:val="clear" w:pos="720"/>
              <w:tab w:val="right" w:pos="9405" w:leader="dot"/>
            </w:tabs>
            <w:rPr/>
          </w:pPr>
          <w:hyperlink w:anchor="__RefHeading___Toc4819_3353252975">
            <w:r>
              <w:rPr>
                <w:webHidden/>
                <w:rStyle w:val="IndexLink"/>
              </w:rPr>
              <w:t>3.4 Priprava, normalizacija in povezovanje podatkov</w:t>
              <w:tab/>
              <w:t>7</w:t>
            </w:r>
          </w:hyperlink>
        </w:p>
        <w:p>
          <w:pPr>
            <w:pStyle w:val="TOC2"/>
            <w:tabs>
              <w:tab w:val="clear" w:pos="720"/>
              <w:tab w:val="right" w:pos="9405" w:leader="dot"/>
            </w:tabs>
            <w:rPr/>
          </w:pPr>
          <w:hyperlink w:anchor="__RefHeading___Toc4821_3353252975">
            <w:r>
              <w:rPr>
                <w:webHidden/>
                <w:rStyle w:val="IndexLink"/>
              </w:rPr>
              <w:t>3.5 Manjkajoči podatki in interpolacija</w:t>
              <w:tab/>
              <w:t>8</w:t>
            </w:r>
          </w:hyperlink>
        </w:p>
        <w:p>
          <w:pPr>
            <w:pStyle w:val="TOC2"/>
            <w:tabs>
              <w:tab w:val="clear" w:pos="720"/>
              <w:tab w:val="right" w:pos="9405" w:leader="dot"/>
            </w:tabs>
            <w:rPr/>
          </w:pPr>
          <w:hyperlink w:anchor="__RefHeading___Toc4823_3353252975">
            <w:r>
              <w:rPr>
                <w:webHidden/>
                <w:rStyle w:val="IndexLink"/>
              </w:rPr>
              <w:t>3.6 Korelacija, regresija, simulacija in vzročnost</w:t>
              <w:tab/>
              <w:t>8</w:t>
            </w:r>
          </w:hyperlink>
        </w:p>
        <w:p>
          <w:pPr>
            <w:pStyle w:val="TOC2"/>
            <w:tabs>
              <w:tab w:val="clear" w:pos="720"/>
              <w:tab w:val="right" w:pos="9405" w:leader="dot"/>
            </w:tabs>
            <w:rPr/>
          </w:pPr>
          <w:hyperlink w:anchor="__RefHeading___Toc4825_3353252975">
            <w:r>
              <w:rPr>
                <w:webHidden/>
                <w:rStyle w:val="IndexLink"/>
              </w:rPr>
              <w:t>3.7 Indeks Utrip Tržiča</w:t>
              <w:tab/>
              <w:t>8</w:t>
            </w:r>
          </w:hyperlink>
        </w:p>
        <w:p>
          <w:pPr>
            <w:pStyle w:val="TOC2"/>
            <w:tabs>
              <w:tab w:val="clear" w:pos="720"/>
              <w:tab w:val="right" w:pos="9405" w:leader="dot"/>
            </w:tabs>
            <w:rPr/>
          </w:pPr>
          <w:hyperlink w:anchor="__RefHeading___Toc4827_3353252975">
            <w:r>
              <w:rPr>
                <w:webHidden/>
                <w:rStyle w:val="IndexLink"/>
              </w:rPr>
              <w:t>3.8 Kakovost podatkov in zanesljivost ocene</w:t>
              <w:tab/>
              <w:t>9</w:t>
            </w:r>
          </w:hyperlink>
        </w:p>
        <w:p>
          <w:pPr>
            <w:pStyle w:val="TOC2"/>
            <w:tabs>
              <w:tab w:val="clear" w:pos="720"/>
              <w:tab w:val="right" w:pos="9405" w:leader="dot"/>
            </w:tabs>
            <w:rPr/>
          </w:pPr>
          <w:hyperlink w:anchor="__RefHeading___Toc4829_3353252975">
            <w:r>
              <w:rPr>
                <w:webHidden/>
                <w:rStyle w:val="IndexLink"/>
              </w:rPr>
              <w:t>3.9 Pravila za AI razlage</w:t>
              <w:tab/>
              <w:t>9</w:t>
            </w:r>
          </w:hyperlink>
        </w:p>
        <w:p>
          <w:pPr>
            <w:pStyle w:val="TOC1"/>
            <w:tabs>
              <w:tab w:val="clear" w:pos="720"/>
              <w:tab w:val="right" w:pos="9405" w:leader="dot"/>
            </w:tabs>
            <w:rPr/>
          </w:pPr>
          <w:hyperlink w:anchor="__RefHeading___Toc4831_3353252975">
            <w:r>
              <w:rPr>
                <w:webHidden/>
                <w:rStyle w:val="IndexLink"/>
              </w:rPr>
              <w:t>4. Upravljanje dokumentov, virov in konteksta v projektu ChatGPT</w:t>
              <w:tab/>
              <w:t>10</w:t>
            </w:r>
          </w:hyperlink>
        </w:p>
        <w:p>
          <w:pPr>
            <w:pStyle w:val="TOC2"/>
            <w:tabs>
              <w:tab w:val="clear" w:pos="720"/>
              <w:tab w:val="right" w:pos="9405" w:leader="dot"/>
            </w:tabs>
            <w:rPr/>
          </w:pPr>
          <w:hyperlink w:anchor="__RefHeading___Toc4833_3353252975">
            <w:r>
              <w:rPr>
                <w:webHidden/>
                <w:rStyle w:val="IndexLink"/>
              </w:rPr>
              <w:t>4.1 Kaj naložiti v projekt</w:t>
              <w:tab/>
              <w:t>10</w:t>
            </w:r>
          </w:hyperlink>
        </w:p>
        <w:p>
          <w:pPr>
            <w:pStyle w:val="TOC2"/>
            <w:tabs>
              <w:tab w:val="clear" w:pos="720"/>
              <w:tab w:val="right" w:pos="9405" w:leader="dot"/>
            </w:tabs>
            <w:rPr/>
          </w:pPr>
          <w:hyperlink w:anchor="__RefHeading___Toc4835_3353252975">
            <w:r>
              <w:rPr>
                <w:webHidden/>
                <w:rStyle w:val="IndexLink"/>
              </w:rPr>
              <w:t>4.2 Dokument ali samo spletna povezava?</w:t>
              <w:tab/>
              <w:t>10</w:t>
            </w:r>
          </w:hyperlink>
        </w:p>
        <w:p>
          <w:pPr>
            <w:pStyle w:val="TOC2"/>
            <w:tabs>
              <w:tab w:val="clear" w:pos="720"/>
              <w:tab w:val="right" w:pos="9405" w:leader="dot"/>
            </w:tabs>
            <w:rPr/>
          </w:pPr>
          <w:hyperlink w:anchor="__RefHeading___Toc4837_3353252975">
            <w:r>
              <w:rPr>
                <w:webHidden/>
                <w:rStyle w:val="IndexLink"/>
              </w:rPr>
              <w:t>4.3 Priporočena struktura projektnih virov</w:t>
              <w:tab/>
              <w:t>11</w:t>
            </w:r>
          </w:hyperlink>
        </w:p>
        <w:p>
          <w:pPr>
            <w:pStyle w:val="TOC2"/>
            <w:tabs>
              <w:tab w:val="clear" w:pos="720"/>
              <w:tab w:val="right" w:pos="9405" w:leader="dot"/>
            </w:tabs>
            <w:rPr/>
          </w:pPr>
          <w:hyperlink w:anchor="__RefHeading___Toc4839_3353252975">
            <w:r>
              <w:rPr>
                <w:webHidden/>
                <w:rStyle w:val="IndexLink"/>
              </w:rPr>
              <w:t>4.4 Register dokumentov in virov</w:t>
              <w:tab/>
              <w:t>11</w:t>
            </w:r>
          </w:hyperlink>
        </w:p>
        <w:p>
          <w:pPr>
            <w:pStyle w:val="TOC1"/>
            <w:tabs>
              <w:tab w:val="clear" w:pos="720"/>
              <w:tab w:val="right" w:pos="9405" w:leader="dot"/>
            </w:tabs>
            <w:rPr/>
          </w:pPr>
          <w:hyperlink w:anchor="__RefHeading___Toc4841_3353252975">
            <w:r>
              <w:rPr>
                <w:webHidden/>
                <w:rStyle w:val="IndexLink"/>
              </w:rPr>
              <w:t>5. Tehnična arhitektura platforme</w:t>
              <w:tab/>
              <w:t>11</w:t>
            </w:r>
          </w:hyperlink>
        </w:p>
        <w:p>
          <w:pPr>
            <w:pStyle w:val="TOC2"/>
            <w:tabs>
              <w:tab w:val="clear" w:pos="720"/>
              <w:tab w:val="right" w:pos="9405" w:leader="dot"/>
            </w:tabs>
            <w:rPr/>
          </w:pPr>
          <w:hyperlink w:anchor="__RefHeading___Toc4843_3353252975">
            <w:r>
              <w:rPr>
                <w:webHidden/>
                <w:rStyle w:val="IndexLink"/>
              </w:rPr>
              <w:t>5.1 PISO Desktop in občinski prostorski kontekst</w:t>
              <w:tab/>
              <w:t>12</w:t>
            </w:r>
          </w:hyperlink>
        </w:p>
        <w:p>
          <w:pPr>
            <w:pStyle w:val="TOC1"/>
            <w:tabs>
              <w:tab w:val="clear" w:pos="720"/>
              <w:tab w:val="right" w:pos="9405" w:leader="dot"/>
            </w:tabs>
            <w:rPr/>
          </w:pPr>
          <w:hyperlink w:anchor="__RefHeading___Toc4845_3353252975">
            <w:r>
              <w:rPr>
                <w:webHidden/>
                <w:rStyle w:val="IndexLink"/>
              </w:rPr>
              <w:t>6. Aplikacija: AI analiza prometa v Tržiču</w:t>
              <w:tab/>
              <w:t>12</w:t>
            </w:r>
          </w:hyperlink>
        </w:p>
        <w:p>
          <w:pPr>
            <w:pStyle w:val="TOC2"/>
            <w:tabs>
              <w:tab w:val="clear" w:pos="720"/>
              <w:tab w:val="right" w:pos="9405" w:leader="dot"/>
            </w:tabs>
            <w:rPr/>
          </w:pPr>
          <w:hyperlink w:anchor="__RefHeading___Toc4847_3353252975">
            <w:r>
              <w:rPr>
                <w:webHidden/>
                <w:rStyle w:val="IndexLink"/>
              </w:rPr>
              <w:t>6.1 Namen in cilj</w:t>
              <w:tab/>
              <w:t>12</w:t>
            </w:r>
          </w:hyperlink>
        </w:p>
        <w:p>
          <w:pPr>
            <w:pStyle w:val="TOC2"/>
            <w:tabs>
              <w:tab w:val="clear" w:pos="720"/>
              <w:tab w:val="right" w:pos="9405" w:leader="dot"/>
            </w:tabs>
            <w:rPr/>
          </w:pPr>
          <w:hyperlink w:anchor="__RefHeading___Toc4849_3353252975">
            <w:r>
              <w:rPr>
                <w:webHidden/>
                <w:rStyle w:val="IndexLink"/>
              </w:rPr>
              <w:t>6.2 NAREJENO</w:t>
              <w:tab/>
              <w:t>13</w:t>
            </w:r>
          </w:hyperlink>
        </w:p>
        <w:p>
          <w:pPr>
            <w:pStyle w:val="TOC2"/>
            <w:tabs>
              <w:tab w:val="clear" w:pos="720"/>
              <w:tab w:val="right" w:pos="9405" w:leader="dot"/>
            </w:tabs>
            <w:rPr/>
          </w:pPr>
          <w:hyperlink w:anchor="__RefHeading___Toc4851_3353252975">
            <w:r>
              <w:rPr>
                <w:webHidden/>
                <w:rStyle w:val="IndexLink"/>
              </w:rPr>
              <w:t>6.3 Podatkovni viri in kako so bili pridobljeni</w:t>
              <w:tab/>
              <w:t>13</w:t>
            </w:r>
          </w:hyperlink>
        </w:p>
        <w:p>
          <w:pPr>
            <w:pStyle w:val="TOC2"/>
            <w:tabs>
              <w:tab w:val="clear" w:pos="720"/>
              <w:tab w:val="right" w:pos="9405" w:leader="dot"/>
            </w:tabs>
            <w:rPr/>
          </w:pPr>
          <w:hyperlink w:anchor="__RefHeading___Toc4853_3353252975">
            <w:r>
              <w:rPr>
                <w:webHidden/>
                <w:rStyle w:val="IndexLink"/>
              </w:rPr>
              <w:t>6.4 Uporabljena metodologija</w:t>
              <w:tab/>
              <w:t>14</w:t>
            </w:r>
          </w:hyperlink>
        </w:p>
        <w:p>
          <w:pPr>
            <w:pStyle w:val="TOC2"/>
            <w:tabs>
              <w:tab w:val="clear" w:pos="720"/>
              <w:tab w:val="right" w:pos="9405" w:leader="dot"/>
            </w:tabs>
            <w:rPr/>
          </w:pPr>
          <w:hyperlink w:anchor="__RefHeading___Toc4855_3353252975">
            <w:r>
              <w:rPr>
                <w:webHidden/>
                <w:rStyle w:val="IndexLink"/>
              </w:rPr>
              <w:t>6.5 Trenutne omejitve</w:t>
              <w:tab/>
              <w:t>14</w:t>
            </w:r>
          </w:hyperlink>
        </w:p>
        <w:p>
          <w:pPr>
            <w:pStyle w:val="TOC2"/>
            <w:tabs>
              <w:tab w:val="clear" w:pos="720"/>
              <w:tab w:val="right" w:pos="9405" w:leader="dot"/>
            </w:tabs>
            <w:rPr/>
          </w:pPr>
          <w:hyperlink w:anchor="__RefHeading___Toc4857_3353252975">
            <w:r>
              <w:rPr>
                <w:webHidden/>
                <w:rStyle w:val="IndexLink"/>
              </w:rPr>
              <w:t>6.6 TO DO</w:t>
              <w:tab/>
              <w:t>15</w:t>
            </w:r>
          </w:hyperlink>
        </w:p>
        <w:p>
          <w:pPr>
            <w:pStyle w:val="TOC1"/>
            <w:tabs>
              <w:tab w:val="clear" w:pos="720"/>
              <w:tab w:val="right" w:pos="9405" w:leader="dot"/>
            </w:tabs>
            <w:rPr/>
          </w:pPr>
          <w:hyperlink w:anchor="__RefHeading___Toc4859_3353252975">
            <w:r>
              <w:rPr>
                <w:webHidden/>
                <w:rStyle w:val="IndexLink"/>
              </w:rPr>
              <w:t>7. Aplikacija: Prometni utrip Tržiča – javni prikaz</w:t>
              <w:tab/>
              <w:t>15</w:t>
            </w:r>
          </w:hyperlink>
        </w:p>
        <w:p>
          <w:pPr>
            <w:pStyle w:val="TOC2"/>
            <w:tabs>
              <w:tab w:val="clear" w:pos="720"/>
              <w:tab w:val="right" w:pos="9405" w:leader="dot"/>
            </w:tabs>
            <w:rPr/>
          </w:pPr>
          <w:hyperlink w:anchor="__RefHeading___Toc4861_3353252975">
            <w:r>
              <w:rPr>
                <w:webHidden/>
                <w:rStyle w:val="IndexLink"/>
              </w:rPr>
              <w:t>7.1 Namen in cilj</w:t>
              <w:tab/>
              <w:t>15</w:t>
            </w:r>
          </w:hyperlink>
        </w:p>
        <w:p>
          <w:pPr>
            <w:pStyle w:val="TOC2"/>
            <w:tabs>
              <w:tab w:val="clear" w:pos="720"/>
              <w:tab w:val="right" w:pos="9405" w:leader="dot"/>
            </w:tabs>
            <w:rPr/>
          </w:pPr>
          <w:hyperlink w:anchor="__RefHeading___Toc4863_3353252975">
            <w:r>
              <w:rPr>
                <w:webHidden/>
                <w:rStyle w:val="IndexLink"/>
              </w:rPr>
              <w:t>7.2 NAREJENO</w:t>
              <w:tab/>
              <w:t>15</w:t>
            </w:r>
          </w:hyperlink>
        </w:p>
        <w:p>
          <w:pPr>
            <w:pStyle w:val="TOC2"/>
            <w:tabs>
              <w:tab w:val="clear" w:pos="720"/>
              <w:tab w:val="right" w:pos="9405" w:leader="dot"/>
            </w:tabs>
            <w:rPr/>
          </w:pPr>
          <w:hyperlink w:anchor="__RefHeading___Toc4865_3353252975">
            <w:r>
              <w:rPr>
                <w:webHidden/>
                <w:rStyle w:val="IndexLink"/>
              </w:rPr>
              <w:t>7.3 Podatkovni viri in metodologija</w:t>
              <w:tab/>
              <w:t>16</w:t>
            </w:r>
          </w:hyperlink>
        </w:p>
        <w:p>
          <w:pPr>
            <w:pStyle w:val="TOC2"/>
            <w:tabs>
              <w:tab w:val="clear" w:pos="720"/>
              <w:tab w:val="right" w:pos="9405" w:leader="dot"/>
            </w:tabs>
            <w:rPr/>
          </w:pPr>
          <w:hyperlink w:anchor="__RefHeading___Toc4867_3353252975">
            <w:r>
              <w:rPr>
                <w:webHidden/>
                <w:rStyle w:val="IndexLink"/>
              </w:rPr>
              <w:t>7.4 TO DO in priporočene izboljšave</w:t>
              <w:tab/>
              <w:t>16</w:t>
            </w:r>
          </w:hyperlink>
        </w:p>
        <w:p>
          <w:pPr>
            <w:pStyle w:val="TOC1"/>
            <w:tabs>
              <w:tab w:val="clear" w:pos="720"/>
              <w:tab w:val="right" w:pos="9405" w:leader="dot"/>
            </w:tabs>
            <w:rPr/>
          </w:pPr>
          <w:hyperlink w:anchor="__RefHeading___Toc4869_3353252975">
            <w:r>
              <w:rPr>
                <w:webHidden/>
                <w:rStyle w:val="IndexLink"/>
              </w:rPr>
              <w:t>8. Aplikacija: Turistični utrip Tržiča</w:t>
              <w:tab/>
              <w:t>17</w:t>
            </w:r>
          </w:hyperlink>
        </w:p>
        <w:p>
          <w:pPr>
            <w:pStyle w:val="TOC2"/>
            <w:tabs>
              <w:tab w:val="clear" w:pos="720"/>
              <w:tab w:val="right" w:pos="9405" w:leader="dot"/>
            </w:tabs>
            <w:rPr/>
          </w:pPr>
          <w:hyperlink w:anchor="__RefHeading___Toc4871_3353252975">
            <w:r>
              <w:rPr>
                <w:webHidden/>
                <w:rStyle w:val="IndexLink"/>
              </w:rPr>
              <w:t>8.1 Namen in cilj</w:t>
              <w:tab/>
              <w:t>17</w:t>
            </w:r>
          </w:hyperlink>
        </w:p>
        <w:p>
          <w:pPr>
            <w:pStyle w:val="TOC2"/>
            <w:tabs>
              <w:tab w:val="clear" w:pos="720"/>
              <w:tab w:val="right" w:pos="9405" w:leader="dot"/>
            </w:tabs>
            <w:rPr/>
          </w:pPr>
          <w:hyperlink w:anchor="__RefHeading___Toc4873_3353252975">
            <w:r>
              <w:rPr>
                <w:webHidden/>
                <w:rStyle w:val="IndexLink"/>
              </w:rPr>
              <w:t>8.2 NAREJENO</w:t>
              <w:tab/>
              <w:t>17</w:t>
            </w:r>
          </w:hyperlink>
        </w:p>
        <w:p>
          <w:pPr>
            <w:pStyle w:val="TOC2"/>
            <w:tabs>
              <w:tab w:val="clear" w:pos="720"/>
              <w:tab w:val="right" w:pos="9405" w:leader="dot"/>
            </w:tabs>
            <w:rPr/>
          </w:pPr>
          <w:hyperlink w:anchor="__RefHeading___Toc4875_3353252975">
            <w:r>
              <w:rPr>
                <w:webHidden/>
                <w:rStyle w:val="IndexLink"/>
              </w:rPr>
              <w:t>8.3 Podatkovni viri in metodologija</w:t>
              <w:tab/>
              <w:t>18</w:t>
            </w:r>
          </w:hyperlink>
        </w:p>
        <w:p>
          <w:pPr>
            <w:pStyle w:val="TOC2"/>
            <w:tabs>
              <w:tab w:val="clear" w:pos="720"/>
              <w:tab w:val="right" w:pos="9405" w:leader="dot"/>
            </w:tabs>
            <w:rPr/>
          </w:pPr>
          <w:hyperlink w:anchor="__RefHeading___Toc4877_3353252975">
            <w:r>
              <w:rPr>
                <w:webHidden/>
                <w:rStyle w:val="IndexLink"/>
              </w:rPr>
              <w:t>8.4 TO DO</w:t>
              <w:tab/>
              <w:t>18</w:t>
            </w:r>
          </w:hyperlink>
        </w:p>
        <w:p>
          <w:pPr>
            <w:pStyle w:val="TOC1"/>
            <w:tabs>
              <w:tab w:val="clear" w:pos="720"/>
              <w:tab w:val="right" w:pos="9405" w:leader="dot"/>
            </w:tabs>
            <w:rPr/>
          </w:pPr>
          <w:hyperlink w:anchor="__RefHeading___Toc4879_3353252975">
            <w:r>
              <w:rPr>
                <w:webHidden/>
                <w:rStyle w:val="IndexLink"/>
              </w:rPr>
              <w:t>9. Aplikacija: Uresničevanje Strategije turizma 2024–2031</w:t>
              <w:tab/>
              <w:t>19</w:t>
            </w:r>
          </w:hyperlink>
        </w:p>
        <w:p>
          <w:pPr>
            <w:pStyle w:val="TOC2"/>
            <w:tabs>
              <w:tab w:val="clear" w:pos="720"/>
              <w:tab w:val="right" w:pos="9405" w:leader="dot"/>
            </w:tabs>
            <w:rPr/>
          </w:pPr>
          <w:hyperlink w:anchor="__RefHeading___Toc4881_3353252975">
            <w:r>
              <w:rPr>
                <w:webHidden/>
                <w:rStyle w:val="IndexLink"/>
              </w:rPr>
              <w:t>9.1 Namen in cilj</w:t>
              <w:tab/>
              <w:t>19</w:t>
            </w:r>
          </w:hyperlink>
        </w:p>
        <w:p>
          <w:pPr>
            <w:pStyle w:val="TOC2"/>
            <w:tabs>
              <w:tab w:val="clear" w:pos="720"/>
              <w:tab w:val="right" w:pos="9405" w:leader="dot"/>
            </w:tabs>
            <w:rPr/>
          </w:pPr>
          <w:hyperlink w:anchor="__RefHeading___Toc4883_3353252975">
            <w:r>
              <w:rPr>
                <w:webHidden/>
                <w:rStyle w:val="IndexLink"/>
              </w:rPr>
              <w:t>9.2 NAREJENO</w:t>
              <w:tab/>
              <w:t>19</w:t>
            </w:r>
          </w:hyperlink>
        </w:p>
        <w:p>
          <w:pPr>
            <w:pStyle w:val="TOC2"/>
            <w:tabs>
              <w:tab w:val="clear" w:pos="720"/>
              <w:tab w:val="right" w:pos="9405" w:leader="dot"/>
            </w:tabs>
            <w:rPr/>
          </w:pPr>
          <w:hyperlink w:anchor="__RefHeading___Toc4885_3353252975">
            <w:r>
              <w:rPr>
                <w:webHidden/>
                <w:rStyle w:val="IndexLink"/>
              </w:rPr>
              <w:t>9.3 Primerjava ciljev in dejanskega stanja</w:t>
              <w:tab/>
              <w:t>20</w:t>
            </w:r>
          </w:hyperlink>
        </w:p>
        <w:p>
          <w:pPr>
            <w:pStyle w:val="TOC2"/>
            <w:tabs>
              <w:tab w:val="clear" w:pos="720"/>
              <w:tab w:val="right" w:pos="9405" w:leader="dot"/>
            </w:tabs>
            <w:rPr/>
          </w:pPr>
          <w:hyperlink w:anchor="__RefHeading___Toc4887_3353252975">
            <w:r>
              <w:rPr>
                <w:webHidden/>
                <w:rStyle w:val="IndexLink"/>
              </w:rPr>
              <w:t>9.4 Podatkovni viri in metodologija</w:t>
              <w:tab/>
              <w:t>20</w:t>
            </w:r>
          </w:hyperlink>
        </w:p>
        <w:p>
          <w:pPr>
            <w:pStyle w:val="TOC2"/>
            <w:tabs>
              <w:tab w:val="clear" w:pos="720"/>
              <w:tab w:val="right" w:pos="9405" w:leader="dot"/>
            </w:tabs>
            <w:rPr/>
          </w:pPr>
          <w:hyperlink w:anchor="__RefHeading___Toc4889_3353252975">
            <w:r>
              <w:rPr>
                <w:webHidden/>
                <w:rStyle w:val="IndexLink"/>
              </w:rPr>
              <w:t>9.5 Omejitve in TO DO</w:t>
              <w:tab/>
              <w:t>20</w:t>
            </w:r>
          </w:hyperlink>
        </w:p>
        <w:p>
          <w:pPr>
            <w:pStyle w:val="TOC1"/>
            <w:tabs>
              <w:tab w:val="clear" w:pos="720"/>
              <w:tab w:val="right" w:pos="9405" w:leader="dot"/>
            </w:tabs>
            <w:rPr/>
          </w:pPr>
          <w:hyperlink w:anchor="__RefHeading___Toc4891_3353252975">
            <w:r>
              <w:rPr>
                <w:webHidden/>
                <w:rStyle w:val="IndexLink"/>
              </w:rPr>
              <w:t>10. Aplikacija: Tržič v turističnem okolju</w:t>
              <w:tab/>
              <w:t>21</w:t>
            </w:r>
          </w:hyperlink>
        </w:p>
        <w:p>
          <w:pPr>
            <w:pStyle w:val="TOC2"/>
            <w:tabs>
              <w:tab w:val="clear" w:pos="720"/>
              <w:tab w:val="right" w:pos="9405" w:leader="dot"/>
            </w:tabs>
            <w:rPr/>
          </w:pPr>
          <w:hyperlink w:anchor="__RefHeading___Toc4893_3353252975">
            <w:r>
              <w:rPr>
                <w:webHidden/>
                <w:rStyle w:val="IndexLink"/>
              </w:rPr>
              <w:t>10.1 Namen in cilj</w:t>
              <w:tab/>
              <w:t>21</w:t>
            </w:r>
          </w:hyperlink>
        </w:p>
        <w:p>
          <w:pPr>
            <w:pStyle w:val="TOC2"/>
            <w:tabs>
              <w:tab w:val="clear" w:pos="720"/>
              <w:tab w:val="right" w:pos="9405" w:leader="dot"/>
            </w:tabs>
            <w:rPr/>
          </w:pPr>
          <w:hyperlink w:anchor="__RefHeading___Toc4895_3353252975">
            <w:r>
              <w:rPr>
                <w:webHidden/>
                <w:rStyle w:val="IndexLink"/>
              </w:rPr>
              <w:t>10.2 NAREJENO</w:t>
              <w:tab/>
              <w:t>21</w:t>
            </w:r>
          </w:hyperlink>
        </w:p>
        <w:p>
          <w:pPr>
            <w:pStyle w:val="TOC2"/>
            <w:tabs>
              <w:tab w:val="clear" w:pos="720"/>
              <w:tab w:val="right" w:pos="9405" w:leader="dot"/>
            </w:tabs>
            <w:rPr/>
          </w:pPr>
          <w:hyperlink w:anchor="__RefHeading___Toc4897_3353252975">
            <w:r>
              <w:rPr>
                <w:webHidden/>
                <w:rStyle w:val="IndexLink"/>
              </w:rPr>
              <w:t>10.3 Podatkovni viri in metodologija</w:t>
              <w:tab/>
              <w:t>22</w:t>
            </w:r>
          </w:hyperlink>
        </w:p>
        <w:p>
          <w:pPr>
            <w:pStyle w:val="TOC2"/>
            <w:tabs>
              <w:tab w:val="clear" w:pos="720"/>
              <w:tab w:val="right" w:pos="9405" w:leader="dot"/>
            </w:tabs>
            <w:rPr/>
          </w:pPr>
          <w:hyperlink w:anchor="__RefHeading___Toc4899_3353252975">
            <w:r>
              <w:rPr>
                <w:webHidden/>
                <w:rStyle w:val="IndexLink"/>
              </w:rPr>
              <w:t>10.4 Modelna ocena turistične potrošnje</w:t>
              <w:tab/>
              <w:t>22</w:t>
            </w:r>
          </w:hyperlink>
        </w:p>
        <w:p>
          <w:pPr>
            <w:pStyle w:val="TOC2"/>
            <w:tabs>
              <w:tab w:val="clear" w:pos="720"/>
              <w:tab w:val="right" w:pos="9405" w:leader="dot"/>
            </w:tabs>
            <w:rPr/>
          </w:pPr>
          <w:hyperlink w:anchor="__RefHeading___Toc4901_3353252975">
            <w:r>
              <w:rPr>
                <w:webHidden/>
                <w:rStyle w:val="IndexLink"/>
              </w:rPr>
              <w:t>10.5 Omejitve in TO DO</w:t>
              <w:tab/>
              <w:t>23</w:t>
            </w:r>
          </w:hyperlink>
        </w:p>
        <w:p>
          <w:pPr>
            <w:pStyle w:val="TOC1"/>
            <w:tabs>
              <w:tab w:val="clear" w:pos="720"/>
              <w:tab w:val="right" w:pos="9405" w:leader="dot"/>
            </w:tabs>
            <w:rPr/>
          </w:pPr>
          <w:hyperlink w:anchor="__RefHeading___Toc4903_3353252975">
            <w:r>
              <w:rPr>
                <w:webHidden/>
                <w:rStyle w:val="IndexLink"/>
              </w:rPr>
              <w:t>11. Aplikacija: Deževni vrt OŠ Bistrica</w:t>
              <w:tab/>
              <w:t>23</w:t>
            </w:r>
          </w:hyperlink>
        </w:p>
        <w:p>
          <w:pPr>
            <w:pStyle w:val="TOC2"/>
            <w:tabs>
              <w:tab w:val="clear" w:pos="720"/>
              <w:tab w:val="right" w:pos="9405" w:leader="dot"/>
            </w:tabs>
            <w:rPr/>
          </w:pPr>
          <w:hyperlink w:anchor="__RefHeading___Toc4905_3353252975">
            <w:r>
              <w:rPr>
                <w:webHidden/>
                <w:rStyle w:val="IndexLink"/>
              </w:rPr>
              <w:t>11.1 Namen in cilj</w:t>
              <w:tab/>
              <w:t>23</w:t>
            </w:r>
          </w:hyperlink>
        </w:p>
        <w:p>
          <w:pPr>
            <w:pStyle w:val="TOC2"/>
            <w:tabs>
              <w:tab w:val="clear" w:pos="720"/>
              <w:tab w:val="right" w:pos="9405" w:leader="dot"/>
            </w:tabs>
            <w:rPr/>
          </w:pPr>
          <w:hyperlink w:anchor="__RefHeading___Toc4907_3353252975">
            <w:r>
              <w:rPr>
                <w:webHidden/>
                <w:rStyle w:val="IndexLink"/>
              </w:rPr>
              <w:t>11.2 NAREJENO</w:t>
              <w:tab/>
              <w:t>23</w:t>
            </w:r>
          </w:hyperlink>
        </w:p>
        <w:p>
          <w:pPr>
            <w:pStyle w:val="TOC2"/>
            <w:tabs>
              <w:tab w:val="clear" w:pos="720"/>
              <w:tab w:val="right" w:pos="9405" w:leader="dot"/>
            </w:tabs>
            <w:rPr/>
          </w:pPr>
          <w:hyperlink w:anchor="__RefHeading___Toc4909_3353252975">
            <w:r>
              <w:rPr>
                <w:webHidden/>
                <w:rStyle w:val="IndexLink"/>
              </w:rPr>
              <w:t>11.3 Podatkovni viri in metodologija</w:t>
              <w:tab/>
              <w:t>24</w:t>
            </w:r>
          </w:hyperlink>
        </w:p>
        <w:p>
          <w:pPr>
            <w:pStyle w:val="TOC2"/>
            <w:tabs>
              <w:tab w:val="clear" w:pos="720"/>
              <w:tab w:val="right" w:pos="9405" w:leader="dot"/>
            </w:tabs>
            <w:rPr/>
          </w:pPr>
          <w:hyperlink w:anchor="__RefHeading___Toc4911_3353252975">
            <w:r>
              <w:rPr>
                <w:webHidden/>
                <w:rStyle w:val="IndexLink"/>
              </w:rPr>
              <w:t>11.4 TO DO</w:t>
              <w:tab/>
              <w:t>24</w:t>
            </w:r>
          </w:hyperlink>
        </w:p>
        <w:p>
          <w:pPr>
            <w:pStyle w:val="TOC1"/>
            <w:tabs>
              <w:tab w:val="clear" w:pos="720"/>
              <w:tab w:val="right" w:pos="9405" w:leader="dot"/>
            </w:tabs>
            <w:rPr/>
          </w:pPr>
          <w:hyperlink w:anchor="__RefHeading___Toc4913_3353252975">
            <w:r>
              <w:rPr>
                <w:webHidden/>
                <w:rStyle w:val="IndexLink"/>
              </w:rPr>
              <w:t>12. Razvojna možnost: AI analiza občinskega proračuna</w:t>
              <w:tab/>
              <w:t>25</w:t>
            </w:r>
          </w:hyperlink>
        </w:p>
        <w:p>
          <w:pPr>
            <w:pStyle w:val="TOC2"/>
            <w:tabs>
              <w:tab w:val="clear" w:pos="720"/>
              <w:tab w:val="right" w:pos="9405" w:leader="dot"/>
            </w:tabs>
            <w:rPr/>
          </w:pPr>
          <w:hyperlink w:anchor="__RefHeading___Toc4915_3353252975">
            <w:r>
              <w:rPr>
                <w:webHidden/>
                <w:rStyle w:val="IndexLink"/>
              </w:rPr>
              <w:t>12.1 Namen in cilj</w:t>
              <w:tab/>
              <w:t>25</w:t>
            </w:r>
          </w:hyperlink>
        </w:p>
        <w:p>
          <w:pPr>
            <w:pStyle w:val="TOC2"/>
            <w:tabs>
              <w:tab w:val="clear" w:pos="720"/>
              <w:tab w:val="right" w:pos="9405" w:leader="dot"/>
            </w:tabs>
            <w:rPr/>
          </w:pPr>
          <w:hyperlink w:anchor="__RefHeading___Toc4917_3353252975">
            <w:r>
              <w:rPr>
                <w:webHidden/>
                <w:rStyle w:val="IndexLink"/>
              </w:rPr>
              <w:t>12.2 Predvideni podatkovni viri</w:t>
              <w:tab/>
              <w:t>25</w:t>
            </w:r>
          </w:hyperlink>
        </w:p>
        <w:p>
          <w:pPr>
            <w:pStyle w:val="TOC2"/>
            <w:tabs>
              <w:tab w:val="clear" w:pos="720"/>
              <w:tab w:val="right" w:pos="9405" w:leader="dot"/>
            </w:tabs>
            <w:rPr/>
          </w:pPr>
          <w:hyperlink w:anchor="__RefHeading___Toc4919_3353252975">
            <w:r>
              <w:rPr>
                <w:webHidden/>
                <w:rStyle w:val="IndexLink"/>
              </w:rPr>
              <w:t>12.3 Predvidena metodologija in simulacije</w:t>
              <w:tab/>
              <w:t>25</w:t>
            </w:r>
          </w:hyperlink>
        </w:p>
        <w:p>
          <w:pPr>
            <w:pStyle w:val="TOC2"/>
            <w:tabs>
              <w:tab w:val="clear" w:pos="720"/>
              <w:tab w:val="right" w:pos="9405" w:leader="dot"/>
            </w:tabs>
            <w:rPr/>
          </w:pPr>
          <w:hyperlink w:anchor="__RefHeading___Toc4921_3353252975">
            <w:r>
              <w:rPr>
                <w:webHidden/>
                <w:rStyle w:val="IndexLink"/>
              </w:rPr>
              <w:t>12.4 Predpogoji za zanesljivost</w:t>
              <w:tab/>
              <w:t>25</w:t>
            </w:r>
          </w:hyperlink>
        </w:p>
        <w:p>
          <w:pPr>
            <w:pStyle w:val="TOC1"/>
            <w:tabs>
              <w:tab w:val="clear" w:pos="720"/>
              <w:tab w:val="right" w:pos="9405" w:leader="dot"/>
            </w:tabs>
            <w:rPr/>
          </w:pPr>
          <w:hyperlink w:anchor="__RefHeading___Toc4923_3353252975">
            <w:r>
              <w:rPr>
                <w:webHidden/>
                <w:rStyle w:val="IndexLink"/>
              </w:rPr>
              <w:t>13. Posebno poglavje: kaj dodati za natančnejše analize in boljši Utrip</w:t>
              <w:tab/>
              <w:t>26</w:t>
            </w:r>
          </w:hyperlink>
        </w:p>
        <w:p>
          <w:pPr>
            <w:pStyle w:val="TOC1"/>
            <w:tabs>
              <w:tab w:val="clear" w:pos="720"/>
              <w:tab w:val="right" w:pos="9405" w:leader="dot"/>
            </w:tabs>
            <w:rPr/>
          </w:pPr>
          <w:hyperlink w:anchor="__RefHeading___Toc4925_3353252975">
            <w:r>
              <w:rPr>
                <w:webHidden/>
                <w:rStyle w:val="IndexLink"/>
              </w:rPr>
              <w:t>14. Kontekstualna dokumentacija, ki jo je treba vključevati</w:t>
              <w:tab/>
              <w:t>26</w:t>
            </w:r>
          </w:hyperlink>
        </w:p>
        <w:p>
          <w:pPr>
            <w:pStyle w:val="TOC1"/>
            <w:tabs>
              <w:tab w:val="clear" w:pos="720"/>
              <w:tab w:val="right" w:pos="9405" w:leader="dot"/>
            </w:tabs>
            <w:rPr/>
          </w:pPr>
          <w:hyperlink w:anchor="__RefHeading___Toc4927_3353252975">
            <w:r>
              <w:rPr>
                <w:webHidden/>
                <w:rStyle w:val="IndexLink"/>
              </w:rPr>
              <w:t>15. Prednostni razvojni načrt</w:t>
              <w:tab/>
              <w:t>27</w:t>
            </w:r>
          </w:hyperlink>
        </w:p>
        <w:p>
          <w:pPr>
            <w:pStyle w:val="TOC1"/>
            <w:tabs>
              <w:tab w:val="clear" w:pos="720"/>
              <w:tab w:val="right" w:pos="9405" w:leader="dot"/>
            </w:tabs>
            <w:rPr/>
          </w:pPr>
          <w:hyperlink w:anchor="__RefHeading___Toc4929_3353252975">
            <w:r>
              <w:rPr>
                <w:webHidden/>
                <w:rStyle w:val="IndexLink"/>
              </w:rPr>
              <w:t>16. Obvezna projektna navodila za prihodnje pogovore</w:t>
              <w:tab/>
              <w:t>27</w:t>
            </w:r>
          </w:hyperlink>
        </w:p>
        <w:p>
          <w:pPr>
            <w:pStyle w:val="TOC1"/>
            <w:tabs>
              <w:tab w:val="clear" w:pos="720"/>
              <w:tab w:val="right" w:pos="9405" w:leader="dot"/>
            </w:tabs>
            <w:rPr/>
          </w:pPr>
          <w:hyperlink w:anchor="__RefHeading___Toc4931_3353252975">
            <w:r>
              <w:rPr>
                <w:webHidden/>
                <w:rStyle w:val="IndexLink"/>
              </w:rPr>
              <w:t>17. Postopek posodobitve tega dokumenta</w:t>
              <w:tab/>
              <w:t>28</w:t>
            </w:r>
          </w:hyperlink>
        </w:p>
        <w:p>
          <w:pPr>
            <w:pStyle w:val="TOC1"/>
            <w:tabs>
              <w:tab w:val="clear" w:pos="720"/>
              <w:tab w:val="right" w:pos="9405" w:leader="dot"/>
            </w:tabs>
            <w:rPr/>
          </w:pPr>
          <w:hyperlink w:anchor="__RefHeading___Toc4933_3353252975">
            <w:r>
              <w:rPr>
                <w:webHidden/>
                <w:rStyle w:val="IndexLink"/>
              </w:rPr>
              <w:t>Priloga A: predloga registra virov</w:t>
              <w:tab/>
              <w:t>28</w:t>
            </w:r>
          </w:hyperlink>
        </w:p>
        <w:p>
          <w:pPr>
            <w:pStyle w:val="TOC1"/>
            <w:tabs>
              <w:tab w:val="clear" w:pos="720"/>
              <w:tab w:val="right" w:pos="9405" w:leader="dot"/>
            </w:tabs>
            <w:rPr/>
          </w:pPr>
          <w:hyperlink w:anchor="__RefHeading___Toc4935_3353252975">
            <w:r>
              <w:rPr>
                <w:webHidden/>
                <w:rStyle w:val="IndexLink"/>
              </w:rPr>
              <w:t>Priloga B: predloga kartice modela</w:t>
              <w:tab/>
              <w:t>29</w:t>
            </w:r>
          </w:hyperlink>
        </w:p>
        <w:p>
          <w:pPr>
            <w:pStyle w:val="TOC1"/>
            <w:tabs>
              <w:tab w:val="clear" w:pos="720"/>
              <w:tab w:val="right" w:pos="9405" w:leader="dot"/>
            </w:tabs>
            <w:rPr/>
          </w:pPr>
          <w:hyperlink w:anchor="__RefHeading___Toc4937_3353252975">
            <w:r>
              <w:rPr>
                <w:webHidden/>
                <w:rStyle w:val="IndexLink"/>
              </w:rPr>
              <w:t>Priloga C: kontrolni seznam pred objavo</w:t>
              <w:tab/>
              <w:t>29</w:t>
            </w:r>
          </w:hyperlink>
        </w:p>
        <w:p>
          <w:pPr>
            <w:pStyle w:val="TOC1"/>
            <w:tabs>
              <w:tab w:val="clear" w:pos="720"/>
              <w:tab w:val="right" w:pos="9405" w:leader="dot"/>
            </w:tabs>
            <w:rPr/>
          </w:pPr>
          <w:hyperlink w:anchor="__RefHeading___Toc4939_3353252975">
            <w:r>
              <w:rPr>
                <w:webHidden/>
                <w:rStyle w:val="IndexLink"/>
              </w:rPr>
              <w:t>Priloga D: reference in uradne povezave</w:t>
              <w:tab/>
              <w:t>29</w:t>
            </w:r>
          </w:hyperlink>
          <w:r>
            <w:rPr>
              <w:rStyle w:val="IndexLink"/>
            </w:rPr>
            <w:fldChar w:fldCharType="end"/>
          </w:r>
        </w:p>
      </w:sdtContent>
    </w:sdt>
    <w:p>
      <w:pPr>
        <w:pStyle w:val="Normal"/>
        <w:widowControl/>
        <w:bidi w:val="0"/>
        <w:spacing w:lineRule="auto" w:line="259" w:before="0" w:after="110"/>
        <w:jc w:val="left"/>
        <w:rPr>
          <w:rFonts w:ascii="Liberation Sans" w:hAnsi="Liberation Sans"/>
          <w:color w:val="1F2937"/>
          <w:sz w:val="21"/>
        </w:rPr>
      </w:pPr>
      <w:r>
        <w:rPr>
          <w:color w:val="1F2937"/>
          <w:sz w:val="21"/>
        </w:rPr>
      </w:r>
    </w:p>
    <w:p>
      <w:pPr>
        <w:pStyle w:val="Smallnote"/>
        <w:rPr/>
      </w:pPr>
      <w:r>
        <w:rPr>
          <w:rFonts w:eastAsia="Liberation Sans"/>
        </w:rPr>
        <w:t>Kazalo se v Wordu osveži z desnim klikom na kazalo in izbiro »Posodobi polje«.</w:t>
      </w:r>
    </w:p>
    <w:p>
      <w:pPr>
        <w:pStyle w:val="Normal"/>
        <w:rPr/>
      </w:pPr>
      <w:r>
        <w:rPr/>
      </w:r>
      <w:r>
        <w:br w:type="page"/>
      </w:r>
    </w:p>
    <w:p>
      <w:pPr>
        <w:pStyle w:val="Heading1"/>
        <w:spacing w:before="0" w:after="140"/>
        <w:rPr/>
      </w:pPr>
      <w:bookmarkStart w:id="4" w:name="__RefHeading___Toc4805_3353252975"/>
      <w:bookmarkStart w:id="5" w:name="_Toc236375244"/>
      <w:bookmarkEnd w:id="4"/>
      <w:r>
        <w:rPr/>
        <w:t>1. Namen in cilj dokumenta</w:t>
      </w:r>
      <w:bookmarkEnd w:id="5"/>
    </w:p>
    <w:p>
      <w:pPr>
        <w:pStyle w:val="Normal"/>
        <w:rPr/>
      </w:pPr>
      <w:r>
        <w:rPr>
          <w:rFonts w:eastAsia="Liberation Sans"/>
        </w:rPr>
        <w:t>Platforma Utrip Tržiča je postala vsebinsko in tehnično dovolj široka, da posamezni klepeti, osnutki in datoteke ne morejo več sami zagotavljati stabilnega skupnega konteksta. Namen tega dokumenta je ohraniti jedro projekta: kaj platforma je, katere aplikacije vsebuje, od kod prihajajo podatki, kako se izračuni izvajajo, kje so meje rezultatov in kaj je naslednji razvojni korak.</w:t>
      </w:r>
    </w:p>
    <w:p>
      <w:pPr>
        <w:pStyle w:val="Normal"/>
        <w:rPr/>
      </w:pPr>
      <w:r>
        <w:rPr>
          <w:rFonts w:eastAsia="Liberation Sans"/>
        </w:rPr>
        <w:t>Dokument ima pet operativnih ciljev:</w:t>
      </w:r>
    </w:p>
    <w:p>
      <w:pPr>
        <w:pStyle w:val="ListBullet"/>
        <w:numPr>
          <w:ilvl w:val="0"/>
          <w:numId w:val="1"/>
        </w:numPr>
        <w:spacing w:before="0" w:after="50"/>
        <w:ind w:hanging="360" w:left="0"/>
        <w:contextualSpacing/>
        <w:rPr/>
      </w:pPr>
      <w:r>
        <w:rPr>
          <w:rFonts w:eastAsia="Liberation Sans"/>
          <w:b/>
        </w:rPr>
        <w:t xml:space="preserve">Enotna metodologija. </w:t>
      </w:r>
      <w:r>
        <w:rPr>
          <w:rFonts w:eastAsia="Liberation Sans"/>
        </w:rPr>
        <w:t>Vsi moduli morajo enako ločevati dejanske meritve, uradne evidence, izračunane vrednosti, ocenjene vrednosti, scenarije in napovedi.</w:t>
      </w:r>
    </w:p>
    <w:p>
      <w:pPr>
        <w:pStyle w:val="ListBullet"/>
        <w:numPr>
          <w:ilvl w:val="0"/>
          <w:numId w:val="1"/>
        </w:numPr>
        <w:spacing w:before="0" w:after="50"/>
        <w:ind w:hanging="360" w:left="0"/>
        <w:contextualSpacing/>
        <w:rPr/>
      </w:pPr>
      <w:r>
        <w:rPr>
          <w:rFonts w:eastAsia="Liberation Sans"/>
          <w:b/>
        </w:rPr>
        <w:t xml:space="preserve">Ohranjen kontekst. </w:t>
      </w:r>
      <w:r>
        <w:rPr>
          <w:rFonts w:eastAsia="Liberation Sans"/>
        </w:rPr>
        <w:t>Pri razlagah se upoštevajo prostorske, pravne, organizacijske, tehnične in zgodovinske okoliščine, ne samo številke v posameznem izvozu.</w:t>
      </w:r>
    </w:p>
    <w:p>
      <w:pPr>
        <w:pStyle w:val="ListBullet"/>
        <w:numPr>
          <w:ilvl w:val="0"/>
          <w:numId w:val="1"/>
        </w:numPr>
        <w:spacing w:before="0" w:after="50"/>
        <w:ind w:hanging="360" w:left="0"/>
        <w:contextualSpacing/>
        <w:rPr/>
      </w:pPr>
      <w:r>
        <w:rPr>
          <w:rFonts w:eastAsia="Liberation Sans"/>
          <w:b/>
        </w:rPr>
        <w:t xml:space="preserve">Sledljivost. </w:t>
      </w:r>
      <w:r>
        <w:rPr>
          <w:rFonts w:eastAsia="Liberation Sans"/>
        </w:rPr>
        <w:t>Vsaka pomembna številka, graf, razlaga ali model mora imeti prepoznaven vir, obdobje, prostorski obseg in znane omejitve.</w:t>
      </w:r>
    </w:p>
    <w:p>
      <w:pPr>
        <w:pStyle w:val="ListBullet"/>
        <w:numPr>
          <w:ilvl w:val="0"/>
          <w:numId w:val="1"/>
        </w:numPr>
        <w:spacing w:before="0" w:after="50"/>
        <w:ind w:hanging="360" w:left="0"/>
        <w:contextualSpacing/>
        <w:rPr/>
      </w:pPr>
      <w:r>
        <w:rPr>
          <w:rFonts w:eastAsia="Liberation Sans"/>
          <w:b/>
        </w:rPr>
        <w:t xml:space="preserve">Razvojna kontinuiteta. </w:t>
      </w:r>
      <w:r>
        <w:rPr>
          <w:rFonts w:eastAsia="Liberation Sans"/>
        </w:rPr>
        <w:t>Ob nadgradnjah se uporablja zadnja potrjena verzija kode, spremembe pa se zapisujejo v ločenem changelogu.</w:t>
      </w:r>
    </w:p>
    <w:p>
      <w:pPr>
        <w:pStyle w:val="ListBullet"/>
        <w:numPr>
          <w:ilvl w:val="0"/>
          <w:numId w:val="1"/>
        </w:numPr>
        <w:spacing w:before="0" w:after="50"/>
        <w:ind w:hanging="360" w:left="0"/>
        <w:contextualSpacing/>
        <w:rPr/>
      </w:pPr>
      <w:r>
        <w:rPr>
          <w:rFonts w:eastAsia="Liberation Sans"/>
          <w:b/>
        </w:rPr>
        <w:t xml:space="preserve">Javna razumljivost. </w:t>
      </w:r>
      <w:r>
        <w:rPr>
          <w:rFonts w:eastAsia="Liberation Sans"/>
        </w:rPr>
        <w:t>Aplikacije morajo kompleksne podatke razložiti preprosto, brez ustvarjanja vtisa večje gotovosti, kot jo podatki dejansko omogočajo.</w:t>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FFF3E6"/>
              <w:left w:val="single" w:sz="16" w:space="0" w:color="C56B17"/>
              <w:bottom w:val="single" w:sz="2" w:space="0" w:color="FFF3E6"/>
              <w:right w:val="single" w:sz="2" w:space="0" w:color="FFF3E6"/>
            </w:tcBorders>
            <w:shd w:color="auto" w:fill="FFF3E6" w:val="clear"/>
          </w:tcPr>
          <w:p>
            <w:pPr>
              <w:pStyle w:val="Callout"/>
              <w:rPr/>
            </w:pPr>
            <w:r>
              <w:rPr>
                <w:rFonts w:eastAsia="Liberation Sans"/>
                <w:b/>
                <w:color w:val="C56B17"/>
              </w:rPr>
              <w:t>Kaj platforma ni</w:t>
            </w:r>
            <w:r>
              <w:rPr>
                <w:rFonts w:eastAsia="Liberation Sans"/>
              </w:rPr>
              <w:br/>
              <w:t>Utrip Tržiča ni uradna prometna, okoljska, turistična ali finančna študija in ni avtomatski odločevalec. Je razvojno podporno orodje za pregled podatkov, razumevanje trendov, pripravo vprašanj, preverjanje scenarijev in bolj argumentirano razpravo.</w:t>
            </w:r>
          </w:p>
        </w:tc>
      </w:tr>
    </w:tbl>
    <w:p>
      <w:pPr>
        <w:pStyle w:val="Normal"/>
        <w:spacing w:before="0" w:after="0"/>
        <w:rPr/>
      </w:pPr>
      <w:r>
        <w:rPr/>
      </w:r>
    </w:p>
    <w:p>
      <w:pPr>
        <w:pStyle w:val="Heading1"/>
        <w:rPr/>
      </w:pPr>
      <w:bookmarkStart w:id="6" w:name="__RefHeading___Toc4807_3353252975"/>
      <w:bookmarkStart w:id="7" w:name="_Toc236375245"/>
      <w:bookmarkEnd w:id="6"/>
      <w:r>
        <w:rPr/>
        <w:t>2. Trenutni obseg in register verzij</w:t>
      </w:r>
      <w:bookmarkEnd w:id="7"/>
    </w:p>
    <w:p>
      <w:pPr>
        <w:pStyle w:val="Normal"/>
        <w:rPr/>
      </w:pPr>
      <w:r>
        <w:rPr/>
        <w:t>Pregled source package v1.9.1 pokaže šest delujočih aplikacij in eno krovno vstopno stran. Izdaja zaključuje prvo razvojno fazo s presekom 31. 7. 2026. Aplikacija Tržič v turističnem okolju ostaja v0.2, analitična aplikacija je v1.62, druge aplikacije pa ohranjajo svoje vsebinske verzije. Dodan je dokumentiran prostorski in mobilnostni kontekst PISO Desktop, ne da bi se zaradi njega spreminjale formule, uteži, indeks Utrip Tržiča ali ocene zanesljivosti. Enotni register VERSION.js je od te izdaje avtoritativni vir oznak v uporabniškem vmesniku.</w:t>
      </w:r>
    </w:p>
    <w:tbl>
      <w:tblPr>
        <w:tblStyle w:val="Tabelamrea"/>
        <w:tblW w:w="11332"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520"/>
        <w:gridCol w:w="2497"/>
        <w:gridCol w:w="2499"/>
        <w:gridCol w:w="3815"/>
      </w:tblGrid>
      <w:tr>
        <w:trPr>
          <w:tblHeader w:val="true"/>
        </w:trPr>
        <w:tc>
          <w:tcPr>
            <w:tcW w:w="2520"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Komponenta</w:t>
            </w:r>
          </w:p>
        </w:tc>
        <w:tc>
          <w:tcPr>
            <w:tcW w:w="2497"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Trenutna oznaka</w:t>
            </w:r>
          </w:p>
        </w:tc>
        <w:tc>
          <w:tcPr>
            <w:tcW w:w="2499"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Status</w:t>
            </w:r>
          </w:p>
        </w:tc>
        <w:tc>
          <w:tcPr>
            <w:tcW w:w="3815"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Opomba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Source package</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v1.9.1</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veljavno izhodišče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Zaključni paket prve razvojne faze; prostorski kontekst PISO in usklajena dokumentacija.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Vstopna platforma</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v1.9.1</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Krovna stran s šestimi aplikacijami in centralnim verzioniranjem.</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AI analiza prometa</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v1.62</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Koledar vsebuje 3.547 dnevnih zapisov; dodan je občinski prostorski kontekst. Formule in uteži niso spremenjene.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Prometni utrip – javni prikaz</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v1.6</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Vključen v source package v1.9.1; vsebinsko nespremenjen.</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Turistični utrip</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v0.4</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Turistične evidence januar 2018–junij 2026; GA4 25. 5.–24. 7. 2026; samo junij 2026 je poln skupni mesec.</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Uresničevanje Strategije turizma</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v0.1</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Primerjava strateških ciljev z dejanskim turističnim poročanjem; brez simulacij in napovedi.</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Tržič v turističnem okolju</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v0.2</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deluje</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Primerjava Tržiča z Radovljico, Bledom, Preddvorom, Jesenicami in Idrijo na podatkih SURS; letni podatki 2018–2025, mesečni januar 2020–junij 2026 ter modelna potrošnja tujih turistov za leto 2025.</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Deževni vrt OŠ Bistrica</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v0.1</w:t>
            </w:r>
          </w:p>
        </w:tc>
        <w:tc>
          <w:tcPr>
            <w:tcW w:w="249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začetna faza</w:t>
            </w:r>
          </w:p>
        </w:tc>
        <w:tc>
          <w:tcPr>
            <w:tcW w:w="381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Približno osem tednov podatkov ZENTRA; vključen v source package v1.9.1.</w:t>
            </w:r>
          </w:p>
        </w:tc>
      </w:tr>
    </w:tbl>
    <w:p>
      <w:pPr>
        <w:pStyle w:val="Normal"/>
        <w:spacing w:before="0" w:after="0"/>
        <w:rPr/>
      </w:pPr>
      <w:r>
        <w:rPr/>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FBEDEC"/>
              <w:left w:val="single" w:sz="16" w:space="0" w:color="A33B33"/>
              <w:bottom w:val="single" w:sz="2" w:space="0" w:color="FBEDEC"/>
              <w:right w:val="single" w:sz="2" w:space="0" w:color="FBEDEC"/>
            </w:tcBorders>
            <w:shd w:color="auto" w:fill="FBEDEC" w:val="clear"/>
          </w:tcPr>
          <w:p>
            <w:pPr>
              <w:pStyle w:val="Callout"/>
              <w:rPr/>
            </w:pPr>
            <w:r>
              <w:rPr>
                <w:rFonts w:eastAsia="Liberation Sans"/>
                <w:b/>
                <w:color w:val="A33B33"/>
              </w:rPr>
              <w:t>Enotno verzioniranje – izvedeno</w:t>
            </w:r>
            <w:r>
              <w:rPr>
                <w:rFonts w:eastAsia="Liberation Sans"/>
              </w:rPr>
              <w:br/>
              <w:t>Od izdaje v1.9.1 je v korenu projekta datoteka VERSION.js, ki vsebuje verzijo platforme, vseh šestih aplikacij, datum izdaje in verzije krovnih dokumentov. Skripta assets/js/apply-version.js oznake samodejno vstavi v naslove, glave in noge vseh strani; v HTML ostanejo pravilne statične rezervne oznake tudi brez JavaScripta. Korenski README, aplikacijski README-ji, docs in ime ZIP-a so usklajeni z registrom.</w:t>
            </w:r>
          </w:p>
        </w:tc>
      </w:tr>
    </w:tbl>
    <w:p>
      <w:pPr>
        <w:pStyle w:val="Normal"/>
        <w:spacing w:before="0" w:after="0"/>
        <w:rPr/>
      </w:pPr>
      <w:r>
        <w:rPr/>
      </w:r>
    </w:p>
    <w:p>
      <w:pPr>
        <w:pStyle w:val="Heading2"/>
        <w:rPr/>
      </w:pPr>
      <w:bookmarkStart w:id="8" w:name="__RefHeading___Toc4809_3353252975"/>
      <w:bookmarkEnd w:id="8"/>
      <w:r>
        <w:rPr/>
        <w:t>2.1 Zaključek prve razvojne faze – presek 31. 7. 2026</w:t>
      </w:r>
    </w:p>
    <w:p>
      <w:pPr>
        <w:pStyle w:val="Normal"/>
        <w:rPr/>
      </w:pPr>
      <w:r>
        <w:rPr/>
        <w:t>Prva faza je zaključena kot objavljiv in sledljiv presek platforme. Obseg je zavestno omejen na šest delujočih aplikacij, dokumentirano metodologijo, podatkovni katalog, changelog in enotno verzioniranje. Nadaljnji razvoj se ne meri po številu novih aplikacij, temveč po kakovosti podatkov, validaciji modelov, uporabnosti scenarijev in odzivu deležnikov.</w:t>
      </w:r>
    </w:p>
    <w:p>
      <w:pPr>
        <w:pStyle w:val="ListBullet"/>
        <w:numPr>
          <w:ilvl w:val="0"/>
          <w:numId w:val="1"/>
        </w:numPr>
        <w:rPr/>
      </w:pPr>
      <w:r>
        <w:rPr/>
        <w:t>PISO Desktop je vključen kot občinski prostorski in mobilnostni kontekst; velike karte in geometrijski preseki niso del prve faze.</w:t>
      </w:r>
    </w:p>
    <w:p>
      <w:pPr>
        <w:pStyle w:val="ListBullet"/>
        <w:numPr>
          <w:ilvl w:val="0"/>
          <w:numId w:val="1"/>
        </w:numPr>
        <w:rPr/>
      </w:pPr>
      <w:r>
        <w:rPr/>
        <w:t>Prazni izvozi niso interpretirani kot nič ali odsotnost infrastrukture, ampak kot manjkajoč oziroma neustrezen izvoz.</w:t>
      </w:r>
    </w:p>
    <w:p>
      <w:pPr>
        <w:pStyle w:val="ListBullet"/>
        <w:numPr>
          <w:ilvl w:val="0"/>
          <w:numId w:val="1"/>
        </w:numPr>
        <w:rPr/>
      </w:pPr>
      <w:r>
        <w:rPr/>
        <w:t>Naslednje izdaje bodo predvsem osveževale podatke, izboljševale interaktivnost, what-if analize, simulacije in dokazljivo zanesljivost.</w:t>
      </w:r>
    </w:p>
    <w:p>
      <w:pPr>
        <w:pStyle w:val="ListBullet"/>
        <w:numPr>
          <w:ilvl w:val="0"/>
          <w:numId w:val="1"/>
        </w:numPr>
        <w:rPr/>
      </w:pPr>
      <w:r>
        <w:rPr/>
        <w:t>Povratne informacije uporabnikov in deležnikov bodo pomagale določiti, kateri viri in funkcionalnosti imajo dejansko razvojno prednost.</w:t>
      </w:r>
    </w:p>
    <w:p>
      <w:pPr>
        <w:pStyle w:val="Heading1"/>
        <w:rPr/>
      </w:pPr>
      <w:bookmarkStart w:id="9" w:name="__RefHeading___Toc4811_3353252975"/>
      <w:bookmarkStart w:id="10" w:name="_Toc236375246"/>
      <w:bookmarkEnd w:id="9"/>
      <w:r>
        <w:rPr/>
        <w:t>3. Skupna metodologija platforme</w:t>
      </w:r>
      <w:bookmarkEnd w:id="10"/>
    </w:p>
    <w:p>
      <w:pPr>
        <w:pStyle w:val="Heading2"/>
        <w:rPr/>
      </w:pPr>
      <w:bookmarkStart w:id="11" w:name="__RefHeading___Toc4813_3353252975"/>
      <w:bookmarkStart w:id="12" w:name="_Toc236375247"/>
      <w:bookmarkEnd w:id="11"/>
      <w:r>
        <w:rPr/>
        <w:t>3.1 Hierarhija dokazov in virov</w:t>
      </w:r>
      <w:bookmarkEnd w:id="12"/>
    </w:p>
    <w:p>
      <w:pPr>
        <w:pStyle w:val="Normal"/>
        <w:rPr/>
      </w:pPr>
      <w:r>
        <w:rPr>
          <w:rFonts w:eastAsia="Liberation Sans"/>
        </w:rPr>
        <w:t>Pri razlagi se ne smejo vsi podatki obravnavati enako. Prednost imajo primarni in uradni viri, nato občinske evidence in izvozi sistemov, nato izračunani agregati, na koncu pa strokovne predpostavke in scenariji.</w:t>
      </w:r>
    </w:p>
    <w:tbl>
      <w:tblPr>
        <w:tblStyle w:val="Tabelamrea"/>
        <w:tblW w:w="11908"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2498"/>
        <w:gridCol w:w="2497"/>
        <w:gridCol w:w="3096"/>
        <w:gridCol w:w="3816"/>
      </w:tblGrid>
      <w:tr>
        <w:trPr>
          <w:tblHeader w:val="true"/>
        </w:trPr>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Raven</w:t>
            </w:r>
          </w:p>
        </w:tc>
        <w:tc>
          <w:tcPr>
            <w:tcW w:w="249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Vrsta</w:t>
            </w:r>
          </w:p>
        </w:tc>
        <w:tc>
          <w:tcPr>
            <w:tcW w:w="3096"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Primer</w:t>
            </w:r>
          </w:p>
        </w:tc>
        <w:tc>
          <w:tcPr>
            <w:tcW w:w="3816"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Dovoljena uporaba</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A</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Uradni primarni vir</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SURS, OPSI, veljavni odlok, uradni senzorni izvoz</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Osnova za dejstva, ob jasno navedenem obdobju in definiciji.</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B</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Občinska ali pogodbena evidenca</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Kibana/Elastic, EasyPark, HECTRONIC, turistične takse</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Operativne analize; preveriti popolnost, spremembe sistema in prostorski obseg.</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C</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Izpeljan podatek</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mesečno povprečje, utežena zasedenost, indeks</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Uporaba z dokumentirano formulo in vhodnimi viri.</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D</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Ocenjena vrednost</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interpoliran manjkajoči promet; modelna turistična potrošnja</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Samo označeno; ne sme biti predstavljeno kot meritev ali dejanski prihodek.</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E</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Scenarij ali strokovna predpostavka</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več zaposlenih → razpon dodatnih vozil</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Za »kaj če« analize; rezultat mora biti razpon in ne obljuba.</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F</w:t>
            </w:r>
          </w:p>
        </w:tc>
        <w:tc>
          <w:tcPr>
            <w:tcW w:w="249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Predikcija</w:t>
            </w:r>
          </w:p>
        </w:tc>
        <w:tc>
          <w:tcPr>
            <w:tcW w:w="30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napoved prihodnje zasedenosti</w:t>
            </w:r>
          </w:p>
        </w:tc>
        <w:tc>
          <w:tcPr>
            <w:tcW w:w="381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Šele po validaciji na podatkih, z napako napovedi in časovnim horizontom.</w:t>
            </w:r>
          </w:p>
        </w:tc>
      </w:tr>
    </w:tbl>
    <w:p>
      <w:pPr>
        <w:pStyle w:val="Normal"/>
        <w:spacing w:before="0" w:after="0"/>
        <w:rPr/>
      </w:pPr>
      <w:r>
        <w:rPr/>
      </w:r>
    </w:p>
    <w:p>
      <w:pPr>
        <w:pStyle w:val="Heading2"/>
        <w:rPr/>
      </w:pPr>
      <w:bookmarkStart w:id="13" w:name="__RefHeading___Toc4815_3353252975"/>
      <w:bookmarkStart w:id="14" w:name="_Toc236375248"/>
      <w:bookmarkEnd w:id="13"/>
      <w:r>
        <w:rPr/>
        <w:t>3.2 Obvezne oznake statusa podatka</w:t>
      </w:r>
      <w:bookmarkEnd w:id="14"/>
    </w:p>
    <w:p>
      <w:pPr>
        <w:pStyle w:val="ListBullet"/>
        <w:numPr>
          <w:ilvl w:val="0"/>
          <w:numId w:val="1"/>
        </w:numPr>
        <w:spacing w:before="0" w:after="50"/>
        <w:ind w:hanging="360" w:left="0"/>
        <w:contextualSpacing/>
        <w:rPr/>
      </w:pPr>
      <w:r>
        <w:rPr>
          <w:rFonts w:eastAsia="Liberation Sans"/>
          <w:b/>
        </w:rPr>
        <w:t xml:space="preserve">IZMERJENO / EVIDENTIRANO: </w:t>
      </w:r>
      <w:r>
        <w:rPr>
          <w:rFonts w:eastAsia="Liberation Sans"/>
        </w:rPr>
        <w:t>vrednost je neposredno iz senzorja ali evidence in ni vsebinsko spremenjena, razen tehnične normalizacije.</w:t>
      </w:r>
    </w:p>
    <w:p>
      <w:pPr>
        <w:pStyle w:val="ListBullet"/>
        <w:numPr>
          <w:ilvl w:val="0"/>
          <w:numId w:val="1"/>
        </w:numPr>
        <w:spacing w:before="0" w:after="50"/>
        <w:ind w:hanging="360" w:left="0"/>
        <w:contextualSpacing/>
        <w:rPr/>
      </w:pPr>
      <w:r>
        <w:rPr>
          <w:rFonts w:eastAsia="Liberation Sans"/>
          <w:b/>
        </w:rPr>
        <w:t xml:space="preserve">IZRAČUNANO: </w:t>
      </w:r>
      <w:r>
        <w:rPr>
          <w:rFonts w:eastAsia="Liberation Sans"/>
        </w:rPr>
        <w:t>vrednost je rezultat znane formule, na primer zasedenost = nočitve / razpoložljive posteljne noči.</w:t>
      </w:r>
    </w:p>
    <w:p>
      <w:pPr>
        <w:pStyle w:val="ListBullet"/>
        <w:numPr>
          <w:ilvl w:val="0"/>
          <w:numId w:val="1"/>
        </w:numPr>
        <w:spacing w:before="0" w:after="50"/>
        <w:ind w:hanging="360" w:left="0"/>
        <w:contextualSpacing/>
        <w:rPr/>
      </w:pPr>
      <w:r>
        <w:rPr>
          <w:rFonts w:eastAsia="Liberation Sans"/>
          <w:b/>
        </w:rPr>
        <w:t>OCENJENO / INTERPOLIRANO: vrednost zapolnjuje vrzel ali predstavlja modelno oceno po dokumentiranem postopku, na primer interpoliran promet ali modelna turistična potrošnja. Vedno mora biti označena in ne sme biti predstavljena kot neposredna meritev oziroma dejanski prihodek.</w:t>
      </w:r>
    </w:p>
    <w:p>
      <w:pPr>
        <w:pStyle w:val="ListBullet"/>
        <w:numPr>
          <w:ilvl w:val="0"/>
          <w:numId w:val="1"/>
        </w:numPr>
        <w:spacing w:before="0" w:after="50"/>
        <w:ind w:hanging="360" w:left="0"/>
        <w:contextualSpacing/>
        <w:rPr/>
      </w:pPr>
      <w:r>
        <w:rPr>
          <w:rFonts w:eastAsia="Liberation Sans"/>
          <w:b/>
        </w:rPr>
        <w:t xml:space="preserve">SCENARIJ: </w:t>
      </w:r>
      <w:r>
        <w:rPr>
          <w:rFonts w:eastAsia="Liberation Sans"/>
        </w:rPr>
        <w:t>hipotetična sprememba vhodnega dejavnika ob predpostavki, da opisana razmerja približno ostanejo veljavna.</w:t>
      </w:r>
    </w:p>
    <w:p>
      <w:pPr>
        <w:pStyle w:val="ListBullet"/>
        <w:numPr>
          <w:ilvl w:val="0"/>
          <w:numId w:val="1"/>
        </w:numPr>
        <w:spacing w:before="0" w:after="50"/>
        <w:ind w:hanging="360" w:left="0"/>
        <w:contextualSpacing/>
        <w:rPr/>
      </w:pPr>
      <w:r>
        <w:rPr>
          <w:rFonts w:eastAsia="Liberation Sans"/>
          <w:b/>
        </w:rPr>
        <w:t xml:space="preserve">NAPOVED: </w:t>
      </w:r>
      <w:r>
        <w:rPr>
          <w:rFonts w:eastAsia="Liberation Sans"/>
        </w:rPr>
        <w:t>časovno usmerjen izračun prihodnje vrednosti, ki mora imeti validacijo, napako napovedi in navedene predpostavke.</w:t>
      </w:r>
    </w:p>
    <w:p>
      <w:pPr>
        <w:pStyle w:val="ListBullet"/>
        <w:numPr>
          <w:ilvl w:val="0"/>
          <w:numId w:val="1"/>
        </w:numPr>
        <w:spacing w:before="0" w:after="50"/>
        <w:ind w:hanging="360" w:left="0"/>
        <w:contextualSpacing/>
        <w:rPr/>
      </w:pPr>
      <w:r>
        <w:rPr>
          <w:rFonts w:eastAsia="Liberation Sans"/>
          <w:b/>
        </w:rPr>
        <w:t xml:space="preserve">MANJKA: </w:t>
      </w:r>
      <w:r>
        <w:rPr>
          <w:rFonts w:eastAsia="Liberation Sans"/>
        </w:rPr>
        <w:t>podatka ni; aplikacija ne sme samodejno izumiti nadomestka.</w:t>
      </w:r>
    </w:p>
    <w:p>
      <w:pPr>
        <w:pStyle w:val="Heading2"/>
        <w:rPr/>
      </w:pPr>
      <w:bookmarkStart w:id="15" w:name="__RefHeading___Toc4817_3353252975"/>
      <w:bookmarkStart w:id="16" w:name="_Toc236375249"/>
      <w:bookmarkEnd w:id="15"/>
      <w:r>
        <w:rPr/>
        <w:t>3.3 Prostorski in časovni obseg</w:t>
      </w:r>
      <w:bookmarkEnd w:id="16"/>
    </w:p>
    <w:p>
      <w:pPr>
        <w:pStyle w:val="Normal"/>
        <w:rPr/>
      </w:pPr>
      <w:r>
        <w:rPr>
          <w:rFonts w:eastAsia="Liberation Sans"/>
        </w:rPr>
        <w:t>Vsaka analiza mora odgovoriti na štiri vprašanja: kje je bil podatek izmerjen, katero območje dejansko predstavlja, za katero obdobje velja in kakšna je časovna ločljivost. To je posebej pomembno pri prometu CABLEX, ki meri eno lokacijo na Cesti Ste Marie Aux Mines, pri prebivalstvu naselja Tržič, pri delovno aktivnih na ravni celotne občine ter pri turistih, ki so večinoma nastanjeni zunaj mesta Tržič.</w:t>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FBEDEC"/>
              <w:left w:val="single" w:sz="16" w:space="0" w:color="A33B33"/>
              <w:bottom w:val="single" w:sz="2" w:space="0" w:color="FBEDEC"/>
              <w:right w:val="single" w:sz="2" w:space="0" w:color="FBEDEC"/>
            </w:tcBorders>
            <w:shd w:color="auto" w:fill="FBEDEC" w:val="clear"/>
          </w:tcPr>
          <w:p>
            <w:pPr>
              <w:pStyle w:val="Callout"/>
              <w:rPr/>
            </w:pPr>
            <w:r>
              <w:rPr>
                <w:rFonts w:eastAsia="Liberation Sans"/>
                <w:b/>
                <w:color w:val="A33B33"/>
              </w:rPr>
              <w:t>Prepoved nedovoljene posplošitve</w:t>
            </w:r>
            <w:r>
              <w:rPr>
                <w:rFonts w:eastAsia="Liberation Sans"/>
              </w:rPr>
              <w:br/>
              <w:t>Podatka z ene lokacije, enega parkirišča, ene polnilnice ali ene raziskovalne posode ni dovoljeno brez opozorila razširiti na celotno občino, vsa parkirišča, vsa električna vozila ali vse vrste substrata.</w:t>
            </w:r>
          </w:p>
        </w:tc>
      </w:tr>
    </w:tbl>
    <w:p>
      <w:pPr>
        <w:pStyle w:val="Normal"/>
        <w:spacing w:before="0" w:after="0"/>
        <w:rPr/>
      </w:pPr>
      <w:r>
        <w:rPr/>
      </w:r>
    </w:p>
    <w:p>
      <w:pPr>
        <w:pStyle w:val="Heading2"/>
        <w:rPr/>
      </w:pPr>
      <w:bookmarkStart w:id="17" w:name="__RefHeading___Toc4819_3353252975"/>
      <w:bookmarkStart w:id="18" w:name="_Toc236375250"/>
      <w:bookmarkEnd w:id="17"/>
      <w:r>
        <w:rPr/>
        <w:t>3.4 Priprava, normalizacija in povezovanje podatkov</w:t>
      </w:r>
      <w:bookmarkEnd w:id="18"/>
    </w:p>
    <w:p>
      <w:pPr>
        <w:pStyle w:val="ListBullet"/>
        <w:numPr>
          <w:ilvl w:val="0"/>
          <w:numId w:val="1"/>
        </w:numPr>
        <w:spacing w:before="0" w:after="50"/>
        <w:ind w:hanging="360" w:left="0"/>
        <w:contextualSpacing/>
        <w:rPr/>
      </w:pPr>
      <w:r>
        <w:rPr>
          <w:rFonts w:eastAsia="Liberation Sans"/>
        </w:rPr>
        <w:t>Ohranijo se izvorni izvozi; normalizirane datoteke so ločene in reproducibilne.</w:t>
      </w:r>
    </w:p>
    <w:p>
      <w:pPr>
        <w:pStyle w:val="ListBullet"/>
        <w:numPr>
          <w:ilvl w:val="0"/>
          <w:numId w:val="1"/>
        </w:numPr>
        <w:spacing w:before="0" w:after="50"/>
        <w:ind w:hanging="360" w:left="0"/>
        <w:contextualSpacing/>
        <w:rPr/>
      </w:pPr>
      <w:r>
        <w:rPr>
          <w:rFonts w:eastAsia="Liberation Sans"/>
        </w:rPr>
        <w:t>Časovni zapisi se pretvorijo v enoten časovni pas Europe/Ljubljana in enotno obliko datuma.</w:t>
      </w:r>
    </w:p>
    <w:p>
      <w:pPr>
        <w:pStyle w:val="ListBullet"/>
        <w:numPr>
          <w:ilvl w:val="0"/>
          <w:numId w:val="1"/>
        </w:numPr>
        <w:spacing w:before="0" w:after="50"/>
        <w:ind w:hanging="360" w:left="0"/>
        <w:contextualSpacing/>
        <w:rPr/>
      </w:pPr>
      <w:r>
        <w:rPr>
          <w:rFonts w:eastAsia="Liberation Sans"/>
        </w:rPr>
        <w:t>Enote, decimalna ločila, kategorije in imena lokacij se poenotijo z dokumentiranim mappingom.</w:t>
      </w:r>
    </w:p>
    <w:p>
      <w:pPr>
        <w:pStyle w:val="ListBullet"/>
        <w:numPr>
          <w:ilvl w:val="0"/>
          <w:numId w:val="1"/>
        </w:numPr>
        <w:spacing w:before="0" w:after="50"/>
        <w:ind w:hanging="360" w:left="0"/>
        <w:contextualSpacing/>
        <w:rPr/>
      </w:pPr>
      <w:r>
        <w:rPr>
          <w:rFonts w:eastAsia="Liberation Sans"/>
        </w:rPr>
        <w:t>Podvojeni zapisi se odstranjujejo samo po jasnem enoličnem ključu; ne samo po podobnem besedilu.</w:t>
      </w:r>
    </w:p>
    <w:p>
      <w:pPr>
        <w:pStyle w:val="ListBullet"/>
        <w:numPr>
          <w:ilvl w:val="0"/>
          <w:numId w:val="1"/>
        </w:numPr>
        <w:spacing w:before="0" w:after="50"/>
        <w:ind w:hanging="360" w:left="0"/>
        <w:contextualSpacing/>
        <w:rPr/>
      </w:pPr>
      <w:r>
        <w:rPr>
          <w:rFonts w:eastAsia="Liberation Sans"/>
        </w:rPr>
        <w:t>Pri združevanju se najprej uporabi najnižja skupna časovna ločljivost, ki jo imajo vsi vključeni viri.</w:t>
      </w:r>
    </w:p>
    <w:p>
      <w:pPr>
        <w:pStyle w:val="ListBullet"/>
        <w:numPr>
          <w:ilvl w:val="0"/>
          <w:numId w:val="1"/>
        </w:numPr>
        <w:spacing w:before="0" w:after="50"/>
        <w:ind w:hanging="360" w:left="0"/>
        <w:contextualSpacing/>
        <w:rPr/>
      </w:pPr>
      <w:r>
        <w:rPr>
          <w:rFonts w:eastAsia="Liberation Sans"/>
        </w:rPr>
        <w:t>Delna leta se označijo in se ne primerjajo neposredno s polnimi leti brez prilagoditve.</w:t>
      </w:r>
    </w:p>
    <w:p>
      <w:pPr>
        <w:pStyle w:val="ListBullet"/>
        <w:numPr>
          <w:ilvl w:val="0"/>
          <w:numId w:val="1"/>
        </w:numPr>
        <w:spacing w:before="0" w:after="50"/>
        <w:ind w:hanging="360" w:left="0"/>
        <w:contextualSpacing/>
        <w:rPr/>
      </w:pPr>
      <w:r>
        <w:rPr>
          <w:rFonts w:eastAsia="Liberation Sans"/>
        </w:rPr>
        <w:t>Spremembe senzorjev, pravil parkiranja, tarif, zmogljivosti ali načina evidentiranja se vodijo kot strukturni prelomi.</w:t>
      </w:r>
    </w:p>
    <w:p>
      <w:pPr>
        <w:pStyle w:val="Heading2"/>
        <w:rPr/>
      </w:pPr>
      <w:bookmarkStart w:id="19" w:name="__RefHeading___Toc4821_3353252975"/>
      <w:bookmarkStart w:id="20" w:name="_Toc236375251"/>
      <w:bookmarkEnd w:id="19"/>
      <w:r>
        <w:rPr/>
        <w:t>3.5 Manjkajoči podatki in interpolacija</w:t>
      </w:r>
      <w:bookmarkEnd w:id="20"/>
    </w:p>
    <w:p>
      <w:pPr>
        <w:pStyle w:val="Normal"/>
        <w:rPr/>
      </w:pPr>
      <w:r>
        <w:rPr>
          <w:rFonts w:eastAsia="Liberation Sans"/>
        </w:rPr>
        <w:t>V trenutni prometni analitiki so manjkajoči oziroma očitno nepopolni dnevni podatki CABLEX med 20. 5. in 22. 8. 2024 ocenjeni iz primerljivih dni v sosednjih letih, z ujemanjem meseca in dneva v tednu. Ocenjenih je 95 dni oziroma 14 tedenskih zapisov. Vsi so označeni in zmanjšujejo oceno kakovosti podatkov.</w:t>
      </w:r>
    </w:p>
    <w:p>
      <w:pPr>
        <w:pStyle w:val="ListBullet"/>
        <w:numPr>
          <w:ilvl w:val="0"/>
          <w:numId w:val="1"/>
        </w:numPr>
        <w:spacing w:before="0" w:after="50"/>
        <w:ind w:hanging="360" w:left="0"/>
        <w:contextualSpacing/>
        <w:rPr/>
      </w:pPr>
      <w:r>
        <w:rPr>
          <w:rFonts w:eastAsia="Liberation Sans"/>
        </w:rPr>
        <w:t>Interpolacija je dovoljena samo za omejeno vrzel, ko ni zaznan strukturni prelom.</w:t>
      </w:r>
    </w:p>
    <w:p>
      <w:pPr>
        <w:pStyle w:val="ListBullet"/>
        <w:numPr>
          <w:ilvl w:val="0"/>
          <w:numId w:val="1"/>
        </w:numPr>
        <w:spacing w:before="0" w:after="50"/>
        <w:ind w:hanging="360" w:left="0"/>
        <w:contextualSpacing/>
        <w:rPr/>
      </w:pPr>
      <w:r>
        <w:rPr>
          <w:rFonts w:eastAsia="Liberation Sans"/>
        </w:rPr>
        <w:t>Za daljše vrzeli, spremembo senzorja, spremembo prometne ureditve ali neprimerljiva obdobja se vrzel pusti prazna.</w:t>
      </w:r>
    </w:p>
    <w:p>
      <w:pPr>
        <w:pStyle w:val="ListBullet"/>
        <w:numPr>
          <w:ilvl w:val="0"/>
          <w:numId w:val="1"/>
        </w:numPr>
        <w:spacing w:before="0" w:after="50"/>
        <w:ind w:hanging="360" w:left="0"/>
        <w:contextualSpacing/>
        <w:rPr/>
      </w:pPr>
      <w:r>
        <w:rPr>
          <w:rFonts w:eastAsia="Liberation Sans"/>
        </w:rPr>
        <w:t>Na grafu in v izvozu morata biti meritev in ocena vizualno ter podatkovno ločeni.</w:t>
      </w:r>
    </w:p>
    <w:p>
      <w:pPr>
        <w:pStyle w:val="ListBullet"/>
        <w:numPr>
          <w:ilvl w:val="0"/>
          <w:numId w:val="1"/>
        </w:numPr>
        <w:spacing w:before="0" w:after="50"/>
        <w:ind w:hanging="360" w:left="0"/>
        <w:contextualSpacing/>
        <w:rPr/>
      </w:pPr>
      <w:r>
        <w:rPr>
          <w:rFonts w:eastAsia="Liberation Sans"/>
        </w:rPr>
        <w:t>Rezultati se po možnosti izračunajo dvakrat: z ocenjenimi podatki in brez njih, da se pokaže občutljivost.</w:t>
      </w:r>
    </w:p>
    <w:p>
      <w:pPr>
        <w:pStyle w:val="Heading2"/>
        <w:rPr/>
      </w:pPr>
      <w:bookmarkStart w:id="21" w:name="__RefHeading___Toc4823_3353252975"/>
      <w:bookmarkStart w:id="22" w:name="_Toc236375252"/>
      <w:bookmarkEnd w:id="21"/>
      <w:r>
        <w:rPr/>
        <w:t>3.6 Korelacija, regresija, simulacija in vzročnost</w:t>
      </w:r>
      <w:bookmarkEnd w:id="22"/>
    </w:p>
    <w:p>
      <w:pPr>
        <w:pStyle w:val="Normal"/>
        <w:rPr/>
      </w:pPr>
      <w:r>
        <w:rPr>
          <w:rFonts w:eastAsia="Liberation Sans"/>
        </w:rPr>
        <w:t>Korelacija opisuje sočasno spreminjanje dveh spremenljivk, ne dokazuje pa, da ena povzroča drugo. Regresijski model je uporaben za opis zgodovinskega razmerja in scenarijsko ekstrapolacijo, vendar mora biti njegova kakovost ocenjena na neodvisnih podatkih. Pri prekrških je dodatna težava intenzivnost nadzora; pri turizmu prostorska razpršenost; pri parkiranju spremembe tarif, dovolilnic in zmogljivosti.</w:t>
      </w:r>
    </w:p>
    <w:tbl>
      <w:tblPr>
        <w:tblStyle w:val="Tabelamrea"/>
        <w:tblW w:w="11467"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3331"/>
        <w:gridCol w:w="3744"/>
        <w:gridCol w:w="4392"/>
      </w:tblGrid>
      <w:tr>
        <w:trPr>
          <w:tblHeader w:val="true"/>
        </w:trPr>
        <w:tc>
          <w:tcPr>
            <w:tcW w:w="3331"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Pojem</w:t>
            </w:r>
          </w:p>
        </w:tc>
        <w:tc>
          <w:tcPr>
            <w:tcW w:w="3744"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Kaj pomeni v platformi</w:t>
            </w:r>
          </w:p>
        </w:tc>
        <w:tc>
          <w:tcPr>
            <w:tcW w:w="4392"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Kaj mora biti prikazano</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Korelacija</w:t>
            </w:r>
          </w:p>
        </w:tc>
        <w:tc>
          <w:tcPr>
            <w:tcW w:w="37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Opisna povezava med dvema časovnima nizoma.</w:t>
            </w:r>
          </w:p>
        </w:tc>
        <w:tc>
          <w:tcPr>
            <w:tcW w:w="439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r, število opazovanj n, obdobje in opozorilo »ni vzročnost«.</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Regresija</w:t>
            </w:r>
          </w:p>
        </w:tc>
        <w:tc>
          <w:tcPr>
            <w:tcW w:w="37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Ocena zveze med vhodom in izhodom.</w:t>
            </w:r>
          </w:p>
        </w:tc>
        <w:tc>
          <w:tcPr>
            <w:tcW w:w="439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R², n, koeficienti, obdobje in omejitve.</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Simulacija</w:t>
            </w:r>
          </w:p>
        </w:tc>
        <w:tc>
          <w:tcPr>
            <w:tcW w:w="37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Uporabnik spremeni predpostavko.</w:t>
            </w:r>
          </w:p>
        </w:tc>
        <w:tc>
          <w:tcPr>
            <w:tcW w:w="439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Izhodišče, scenarij, razpon, ključne predpostavke.</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Predikcija</w:t>
            </w:r>
          </w:p>
        </w:tc>
        <w:tc>
          <w:tcPr>
            <w:tcW w:w="37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Napoved vrednosti v prihodnosti.</w:t>
            </w:r>
          </w:p>
        </w:tc>
        <w:tc>
          <w:tcPr>
            <w:tcW w:w="439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Obzorje, interval zaupanja/napovedi, validacijska napaka.</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Primerjava</w:t>
            </w:r>
          </w:p>
        </w:tc>
        <w:tc>
          <w:tcPr>
            <w:tcW w:w="37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Razlika med obdobji ali skupinami.</w:t>
            </w:r>
          </w:p>
        </w:tc>
        <w:tc>
          <w:tcPr>
            <w:tcW w:w="439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Primerljiva definicija, enaka časovna in prostorska osnova.</w:t>
            </w:r>
          </w:p>
        </w:tc>
      </w:tr>
    </w:tbl>
    <w:p>
      <w:pPr>
        <w:pStyle w:val="Normal"/>
        <w:spacing w:before="0" w:after="0"/>
        <w:rPr/>
      </w:pPr>
      <w:r>
        <w:rPr/>
      </w:r>
    </w:p>
    <w:p>
      <w:pPr>
        <w:pStyle w:val="Heading2"/>
        <w:rPr/>
      </w:pPr>
      <w:bookmarkStart w:id="23" w:name="__RefHeading___Toc4825_3353252975"/>
      <w:bookmarkStart w:id="24" w:name="_Toc236375253"/>
      <w:bookmarkEnd w:id="23"/>
      <w:r>
        <w:rPr/>
        <w:t>3.7 Indeks Utrip Tržiča</w:t>
      </w:r>
      <w:bookmarkEnd w:id="24"/>
    </w:p>
    <w:p>
      <w:pPr>
        <w:pStyle w:val="Normal"/>
        <w:rPr/>
      </w:pPr>
      <w:r>
        <w:rPr>
          <w:rFonts w:eastAsia="Liberation Sans"/>
        </w:rPr>
        <w:t>Trenutni indeks je relativni sestavljeni kazalnik aktivnosti. Vrednost 100 pomeni običajno raven izbranih komponent za primerljive koledarske mesece v razpoložljivem zgodovinskem obdobju. Vrednost 115 pomeni približno 15 % višjo sestavljeno aktivnost, ne pa 15 % boljše stanje ali kakovost življenja.</w:t>
      </w:r>
    </w:p>
    <w:tbl>
      <w:tblPr>
        <w:tblStyle w:val="Tabelamrea"/>
        <w:tblW w:w="5000" w:type="pct"/>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1909"/>
        <w:gridCol w:w="890"/>
        <w:gridCol w:w="6607"/>
      </w:tblGrid>
      <w:tr>
        <w:trPr>
          <w:tblHeader w:val="true"/>
        </w:trPr>
        <w:tc>
          <w:tcPr>
            <w:tcW w:w="1909"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8"/>
                <w:szCs w:val="22"/>
                <w:lang w:val="en-US" w:eastAsia="en-US" w:bidi="ar-SA"/>
              </w:rPr>
              <w:t>Komponenta</w:t>
            </w:r>
          </w:p>
        </w:tc>
        <w:tc>
          <w:tcPr>
            <w:tcW w:w="89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8"/>
                <w:szCs w:val="22"/>
                <w:lang w:val="en-US" w:eastAsia="en-US" w:bidi="ar-SA"/>
              </w:rPr>
              <w:t>Utež</w:t>
            </w:r>
          </w:p>
        </w:tc>
        <w:tc>
          <w:tcPr>
            <w:tcW w:w="660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8"/>
                <w:szCs w:val="22"/>
                <w:lang w:val="en-US" w:eastAsia="en-US" w:bidi="ar-SA"/>
              </w:rPr>
              <w:t>Trenutna vhodna mera</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Promet</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28 %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povprečni dnevni promet CABLEX</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Parkiranje</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22 %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kapacitetno utežena zasedenost spremljanih parkirišč</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Parkirnine</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20 %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združena aktivnost EasyPark in HECTRONIC</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Dogodki</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10 %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aktivni koledarski dnevi dogodkov v mesecu</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Turizem</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10 %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evidentirani gostje</w:t>
            </w:r>
          </w:p>
        </w:tc>
      </w:tr>
      <w:tr>
        <w:trPr/>
        <w:tc>
          <w:tcPr>
            <w:tcW w:w="1909"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Vreme</w:t>
            </w:r>
          </w:p>
        </w:tc>
        <w:tc>
          <w:tcPr>
            <w:tcW w:w="89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10 %</w:t>
            </w:r>
          </w:p>
        </w:tc>
        <w:tc>
          <w:tcPr>
            <w:tcW w:w="660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8"/>
                <w:szCs w:val="22"/>
                <w:lang w:val="en-US" w:eastAsia="en-US" w:bidi="ar-SA"/>
              </w:rPr>
              <w:t>izpeljan kazalnik ugodja iz temperature</w:t>
            </w:r>
          </w:p>
        </w:tc>
      </w:tr>
    </w:tbl>
    <w:p>
      <w:pPr>
        <w:pStyle w:val="Normal"/>
        <w:spacing w:before="0" w:after="0"/>
        <w:rPr/>
      </w:pPr>
      <w:r>
        <w:rPr/>
      </w:r>
    </w:p>
    <w:p>
      <w:pPr>
        <w:pStyle w:val="Normal"/>
        <w:rPr/>
      </w:pPr>
      <w:r>
        <w:rPr>
          <w:rFonts w:eastAsia="Liberation Sans"/>
        </w:rPr>
        <w:t>Če komponenta nima dovolj podatkov, se njena utež izloči in preostale uteži sorazmerno preračunajo. Komponenta Dogodki temelji na dnevnih zapisih koledarja: večdnevni dogodki prispevajo po en zapis za vsak aktiven dan, zato kazalnik ne pomeni števila različnih prireditev, njihove velikosti ali obiskanosti. Robni delni meseci izvoza so manj primerljivi. Indeks je namenjen primerjavi obdobij, ne uradnemu statističnemu poročanju, oceni uspešnosti občine ali merjenju kakovosti življenja.</w:t>
      </w:r>
    </w:p>
    <w:p>
      <w:pPr>
        <w:pStyle w:val="Heading2"/>
        <w:rPr/>
      </w:pPr>
      <w:bookmarkStart w:id="25" w:name="__RefHeading___Toc4827_3353252975"/>
      <w:bookmarkStart w:id="26" w:name="_Toc236375254"/>
      <w:bookmarkEnd w:id="25"/>
      <w:r>
        <w:rPr/>
        <w:t>3.8 Kakovost podatkov in zanesljivost ocene</w:t>
      </w:r>
      <w:bookmarkEnd w:id="26"/>
    </w:p>
    <w:p>
      <w:pPr>
        <w:pStyle w:val="Normal"/>
        <w:rPr/>
      </w:pPr>
      <w:r>
        <w:rPr>
          <w:rFonts w:eastAsia="Liberation Sans"/>
        </w:rPr>
        <w:t>Trenutna implementacija uporablja sestavljeni oceni, ki sta uporabni kot opozorilni indikator, vendar še nista statistično kalibrirani verjetnosti. Razširjeni koledar dogodkov izboljša dnevni vsebinski kontekst, ne zvišuje pa samodejno ocene kakovosti podatkov ali zanesljivosti prometno-parkirnega modela, ker pokritost dogodkov v trenutni formuli ni samostojen validiran člen.</w:t>
      </w:r>
    </w:p>
    <w:tbl>
      <w:tblPr>
        <w:tblStyle w:val="Tabelamrea"/>
        <w:tblW w:w="11199"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3331"/>
        <w:gridCol w:w="4536"/>
        <w:gridCol w:w="3332"/>
      </w:tblGrid>
      <w:tr>
        <w:trPr>
          <w:tblHeader w:val="true"/>
        </w:trPr>
        <w:tc>
          <w:tcPr>
            <w:tcW w:w="3331"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Kazalnik</w:t>
            </w:r>
          </w:p>
        </w:tc>
        <w:tc>
          <w:tcPr>
            <w:tcW w:w="4536"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Trenutna formula v kodi</w:t>
            </w:r>
          </w:p>
        </w:tc>
        <w:tc>
          <w:tcPr>
            <w:tcW w:w="3332"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Ključna omejitev</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Kakovost podatkov</w:t>
            </w:r>
          </w:p>
        </w:tc>
        <w:tc>
          <w:tcPr>
            <w:tcW w:w="453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55 % pokritost + 30 % delež dejanskih prometnih meritev + 15 % svežina</w:t>
            </w:r>
          </w:p>
        </w:tc>
        <w:tc>
          <w:tcPr>
            <w:tcW w:w="33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Svežina je trenutno nastavljena na fiksno vrednost 96 in mora postati dinamična po virih.</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Zanesljivost modela</w:t>
            </w:r>
          </w:p>
        </w:tc>
        <w:tc>
          <w:tcPr>
            <w:tcW w:w="453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45 % kakovost + 35 % zanesljivost večfaktorskega modela + 20 % strokovna osnova</w:t>
            </w:r>
          </w:p>
        </w:tc>
        <w:tc>
          <w:tcPr>
            <w:tcW w:w="33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Strokovna osnova je trenutno fiksna vrednost 68; ni kalibrirana na dejanskih napakah.</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Splošni scenarij</w:t>
            </w:r>
          </w:p>
        </w:tc>
        <w:tc>
          <w:tcPr>
            <w:tcW w:w="453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30 + do 25 točk za n + do 35 točk za R²; omejeno na 25–88</w:t>
            </w:r>
          </w:p>
        </w:tc>
        <w:tc>
          <w:tcPr>
            <w:tcW w:w="33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Rezultat je heuristična ocena uporabniškega vmesnika, ne interval zaupanja.</w:t>
            </w:r>
          </w:p>
        </w:tc>
      </w:tr>
      <w:tr>
        <w:trPr/>
        <w:tc>
          <w:tcPr>
            <w:tcW w:w="333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6"/>
                <w:szCs w:val="22"/>
                <w:lang w:val="en-US" w:eastAsia="en-US" w:bidi="ar-SA"/>
              </w:rPr>
              <w:t>Fiksne ocene</w:t>
            </w:r>
          </w:p>
        </w:tc>
        <w:tc>
          <w:tcPr>
            <w:tcW w:w="453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zaposleni 52, prebivalci 38, parkirnine 74, datum 62, večfaktorski model 58, prihodki iz delovnih mest 36</w:t>
            </w:r>
          </w:p>
        </w:tc>
        <w:tc>
          <w:tcPr>
            <w:tcW w:w="33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Ocene temeljijo na strokovni presoji in morajo biti nadomeščene z backtestingom.</w:t>
            </w:r>
          </w:p>
        </w:tc>
      </w:tr>
    </w:tbl>
    <w:p>
      <w:pPr>
        <w:pStyle w:val="Normal"/>
        <w:spacing w:before="0" w:after="0"/>
        <w:rPr/>
      </w:pPr>
      <w:r>
        <w:rPr/>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5F0"/>
              <w:left w:val="single" w:sz="16" w:space="0" w:color="2A7A5F"/>
              <w:bottom w:val="single" w:sz="2" w:space="0" w:color="EAF5F0"/>
              <w:right w:val="single" w:sz="2" w:space="0" w:color="EAF5F0"/>
            </w:tcBorders>
            <w:shd w:color="auto" w:fill="EAF5F0" w:val="clear"/>
          </w:tcPr>
          <w:p>
            <w:pPr>
              <w:pStyle w:val="Callout"/>
              <w:rPr/>
            </w:pPr>
            <w:r>
              <w:rPr>
                <w:rFonts w:eastAsia="Liberation Sans"/>
                <w:b/>
                <w:color w:val="2A7A5F"/>
              </w:rPr>
              <w:t>Najpomembnejši metodološki naslednji korak</w:t>
            </w:r>
            <w:r>
              <w:rPr>
                <w:rFonts w:eastAsia="Liberation Sans"/>
              </w:rPr>
              <w:br/>
              <w:t>Zanesljivost se mora iz »ocenjene številke v odstotkih« preoblikovati v dokazljivo merilo: časovno navzkrižno preverjanje, napaka na neuporabljenih podatkih, interval napovedi, stabilnost modela po letih in občutljivost na manjkajoče vire.</w:t>
            </w:r>
          </w:p>
        </w:tc>
      </w:tr>
    </w:tbl>
    <w:p>
      <w:pPr>
        <w:pStyle w:val="Normal"/>
        <w:spacing w:before="0" w:after="0"/>
        <w:rPr/>
      </w:pPr>
      <w:r>
        <w:rPr/>
      </w:r>
    </w:p>
    <w:p>
      <w:pPr>
        <w:pStyle w:val="Heading2"/>
        <w:rPr/>
      </w:pPr>
      <w:bookmarkStart w:id="27" w:name="__RefHeading___Toc4829_3353252975"/>
      <w:bookmarkStart w:id="28" w:name="_Toc236375255"/>
      <w:bookmarkEnd w:id="27"/>
      <w:r>
        <w:rPr/>
        <w:t>3.9 Pravila za AI razlage</w:t>
      </w:r>
      <w:bookmarkEnd w:id="28"/>
    </w:p>
    <w:p>
      <w:pPr>
        <w:pStyle w:val="ListBullet"/>
        <w:numPr>
          <w:ilvl w:val="0"/>
          <w:numId w:val="1"/>
        </w:numPr>
        <w:spacing w:before="0" w:after="50"/>
        <w:ind w:hanging="360" w:left="0"/>
        <w:contextualSpacing/>
        <w:rPr/>
      </w:pPr>
      <w:r>
        <w:rPr>
          <w:rFonts w:eastAsia="Liberation Sans"/>
        </w:rPr>
        <w:t>Razlaga mora najprej povedati, kaj podatki kažejo, nato zakaj je to lahko pomembno in nazadnje česa iz podatkov ni mogoče zaključiti.</w:t>
      </w:r>
    </w:p>
    <w:p>
      <w:pPr>
        <w:pStyle w:val="ListBullet"/>
        <w:numPr>
          <w:ilvl w:val="0"/>
          <w:numId w:val="1"/>
        </w:numPr>
        <w:spacing w:before="0" w:after="50"/>
        <w:ind w:hanging="360" w:left="0"/>
        <w:contextualSpacing/>
        <w:rPr/>
      </w:pPr>
      <w:r>
        <w:rPr>
          <w:rFonts w:eastAsia="Liberation Sans"/>
        </w:rPr>
        <w:t>Pri vsaki številki se po možnosti navede vir, obdobje in območje.</w:t>
      </w:r>
    </w:p>
    <w:p>
      <w:pPr>
        <w:pStyle w:val="ListBullet"/>
        <w:numPr>
          <w:ilvl w:val="0"/>
          <w:numId w:val="1"/>
        </w:numPr>
        <w:spacing w:before="0" w:after="50"/>
        <w:ind w:hanging="360" w:left="0"/>
        <w:contextualSpacing/>
        <w:rPr/>
      </w:pPr>
      <w:r>
        <w:rPr>
          <w:rFonts w:eastAsia="Liberation Sans"/>
        </w:rPr>
        <w:t>AI ne sme uporabljati izrazov »dokazano«, »zagotovo«, »bo« ali »vzrok«, kadar model kaže le povezavo ali scenarij.</w:t>
      </w:r>
    </w:p>
    <w:p>
      <w:pPr>
        <w:pStyle w:val="ListBullet"/>
        <w:numPr>
          <w:ilvl w:val="0"/>
          <w:numId w:val="1"/>
        </w:numPr>
        <w:spacing w:before="0" w:after="50"/>
        <w:ind w:hanging="360" w:left="0"/>
        <w:contextualSpacing/>
        <w:rPr/>
      </w:pPr>
      <w:r>
        <w:rPr>
          <w:rFonts w:eastAsia="Liberation Sans"/>
        </w:rPr>
        <w:t>Nasprotujoči si viri se ne združijo potiho; neskladje se opiše in označi za preverjanje.</w:t>
      </w:r>
    </w:p>
    <w:p>
      <w:pPr>
        <w:pStyle w:val="ListBullet"/>
        <w:numPr>
          <w:ilvl w:val="0"/>
          <w:numId w:val="1"/>
        </w:numPr>
        <w:spacing w:before="0" w:after="50"/>
        <w:ind w:hanging="360" w:left="0"/>
        <w:contextualSpacing/>
        <w:rPr/>
      </w:pPr>
      <w:r>
        <w:rPr>
          <w:rFonts w:eastAsia="Liberation Sans"/>
        </w:rPr>
        <w:t>Pravna ali strateška dokumentacija se uporablja kot kontekst in omejitev modela, ne kot nadomestek za podatke.</w:t>
      </w:r>
    </w:p>
    <w:p>
      <w:pPr>
        <w:pStyle w:val="ListBullet"/>
        <w:numPr>
          <w:ilvl w:val="0"/>
          <w:numId w:val="1"/>
        </w:numPr>
        <w:spacing w:before="0" w:after="50"/>
        <w:ind w:hanging="360" w:left="0"/>
        <w:contextualSpacing/>
        <w:rPr/>
      </w:pPr>
      <w:r>
        <w:rPr>
          <w:rFonts w:eastAsia="Liberation Sans"/>
        </w:rPr>
        <w:t>Javni povzetek mora biti razumljiv, podrobna metodologija pa mora ostati dostopna za preverjanje.</w:t>
      </w:r>
    </w:p>
    <w:p>
      <w:pPr>
        <w:pStyle w:val="Heading1"/>
        <w:rPr/>
      </w:pPr>
      <w:bookmarkStart w:id="29" w:name="__RefHeading___Toc4831_3353252975"/>
      <w:bookmarkStart w:id="30" w:name="_Toc236375256"/>
      <w:bookmarkEnd w:id="29"/>
      <w:r>
        <w:rPr/>
        <w:t>4. Upravljanje dokumentov, virov in konteksta v projektu ChatGPT</w:t>
      </w:r>
      <w:bookmarkEnd w:id="30"/>
    </w:p>
    <w:p>
      <w:pPr>
        <w:pStyle w:val="Normal"/>
        <w:rPr/>
      </w:pPr>
      <w:r>
        <w:rPr>
          <w:rFonts w:eastAsia="Liberation Sans"/>
        </w:rPr>
        <w:t>Najboljša ureditev je, da se projekt »UTRIP TRŽIČA« uporablja kot skupno delovno okolje. V razdelek »Dajte ChatGPT-ju več konteksta« se naložijo trajni referenčni dokumenti, krovna metodologija in zadnji potrjeni ZIP. Posamezni delovni izvozi se lahko dodajajo v konkretni klepet, ko jih obdelujeva.</w:t>
      </w:r>
    </w:p>
    <w:p>
      <w:pPr>
        <w:pStyle w:val="Heading2"/>
        <w:rPr/>
      </w:pPr>
      <w:bookmarkStart w:id="31" w:name="__RefHeading___Toc4833_3353252975"/>
      <w:bookmarkStart w:id="32" w:name="_Toc236375257"/>
      <w:bookmarkEnd w:id="31"/>
      <w:r>
        <w:rPr/>
        <w:t>4.1 Kaj naložiti v projekt</w:t>
      </w:r>
      <w:bookmarkEnd w:id="32"/>
    </w:p>
    <w:p>
      <w:pPr>
        <w:pStyle w:val="ListBullet"/>
        <w:numPr>
          <w:ilvl w:val="0"/>
          <w:numId w:val="1"/>
        </w:numPr>
        <w:spacing w:before="0" w:after="50"/>
        <w:ind w:hanging="360" w:left="0"/>
        <w:contextualSpacing/>
        <w:rPr/>
      </w:pPr>
      <w:r>
        <w:rPr>
          <w:rFonts w:eastAsia="Liberation Sans"/>
          <w:b/>
        </w:rPr>
        <w:t xml:space="preserve">Vedno: </w:t>
      </w:r>
      <w:r>
        <w:rPr>
          <w:rFonts w:eastAsia="Liberation Sans"/>
        </w:rPr>
        <w:t>zadnjo verzijo TEMELJEV PLATFORME, zadnji CHANGELOG in zadnji potrjeni source ZIP.</w:t>
      </w:r>
    </w:p>
    <w:p>
      <w:pPr>
        <w:pStyle w:val="ListBullet"/>
        <w:numPr>
          <w:ilvl w:val="0"/>
          <w:numId w:val="1"/>
        </w:numPr>
        <w:spacing w:before="0" w:after="50"/>
        <w:ind w:hanging="360" w:left="0"/>
        <w:contextualSpacing/>
        <w:rPr/>
      </w:pPr>
      <w:r>
        <w:rPr>
          <w:rFonts w:eastAsia="Liberation Sans"/>
          <w:b/>
        </w:rPr>
        <w:t xml:space="preserve">Uradni kontekst: </w:t>
      </w:r>
      <w:r>
        <w:rPr>
          <w:rFonts w:eastAsia="Liberation Sans"/>
        </w:rPr>
        <w:t>veljavne odloke, sklepe, cenike, pravilnike, strategije, OPN, relevantne OPPN, načrte mobilnosti, turistične in okoljske dokumente.</w:t>
      </w:r>
    </w:p>
    <w:p>
      <w:pPr>
        <w:pStyle w:val="ListBullet"/>
        <w:numPr>
          <w:ilvl w:val="0"/>
          <w:numId w:val="1"/>
        </w:numPr>
        <w:spacing w:before="0" w:after="50"/>
        <w:ind w:hanging="360" w:left="0"/>
        <w:contextualSpacing/>
        <w:rPr/>
      </w:pPr>
      <w:r>
        <w:rPr>
          <w:rFonts w:eastAsia="Liberation Sans"/>
          <w:b/>
        </w:rPr>
        <w:t xml:space="preserve">Metodologija virov: </w:t>
      </w:r>
      <w:r>
        <w:rPr>
          <w:rFonts w:eastAsia="Liberation Sans"/>
        </w:rPr>
        <w:t>opise senzorjev, podatkovne slovarje, navodila ponudnikov, spremembe konfiguracije, definicije kazalnikov.</w:t>
      </w:r>
    </w:p>
    <w:p>
      <w:pPr>
        <w:pStyle w:val="ListBullet"/>
        <w:numPr>
          <w:ilvl w:val="0"/>
          <w:numId w:val="1"/>
        </w:numPr>
        <w:spacing w:before="0" w:after="50"/>
        <w:ind w:hanging="360" w:left="0"/>
        <w:contextualSpacing/>
        <w:rPr/>
      </w:pPr>
      <w:r>
        <w:rPr>
          <w:rFonts w:eastAsia="Liberation Sans"/>
          <w:b/>
        </w:rPr>
        <w:t xml:space="preserve">Povzetki velikih zbirk: </w:t>
      </w:r>
      <w:r>
        <w:rPr>
          <w:rFonts w:eastAsia="Liberation Sans"/>
        </w:rPr>
        <w:t>register dokumentov in virov, ki pove, kateri dokument velja, čemu služi in za kateri app je relevanten.</w:t>
      </w:r>
    </w:p>
    <w:p>
      <w:pPr>
        <w:pStyle w:val="Normal"/>
        <w:rPr/>
      </w:pPr>
      <w:r>
        <w:rPr>
          <w:rFonts w:eastAsia="Liberation Sans"/>
        </w:rPr>
        <w:t>OpenAI Projects omogoča skupno uporabo klepetov, projektnih navodil in naloženih referenčnih datotek. Podprti so običajni formati, med njimi PDF, DOCX, XLSX, CSV, PPTX in TXT. Za Business projekt je trenutno naveden limit do 40 datotek, do 10 datotek pa se lahko naloži naenkrat. Omejitve se lahko spremenijo, zato se jih ob večjih reorganizacijah preveri v uradni pomoči OpenAI.</w:t>
      </w:r>
    </w:p>
    <w:p>
      <w:pPr>
        <w:pStyle w:val="Heading2"/>
        <w:rPr/>
      </w:pPr>
      <w:bookmarkStart w:id="33" w:name="__RefHeading___Toc4835_3353252975"/>
      <w:bookmarkStart w:id="34" w:name="_Toc236375258"/>
      <w:bookmarkEnd w:id="33"/>
      <w:r>
        <w:rPr/>
        <w:t>4.2 Dokument ali samo spletna povezava?</w:t>
      </w:r>
      <w:bookmarkEnd w:id="34"/>
    </w:p>
    <w:tbl>
      <w:tblPr>
        <w:tblStyle w:val="Tabelamrea"/>
        <w:tblW w:w="10747"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3330"/>
        <w:gridCol w:w="3672"/>
        <w:gridCol w:w="3745"/>
      </w:tblGrid>
      <w:tr>
        <w:trPr>
          <w:tblHeader w:val="true"/>
        </w:trPr>
        <w:tc>
          <w:tcPr>
            <w:tcW w:w="333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Primer</w:t>
            </w:r>
          </w:p>
        </w:tc>
        <w:tc>
          <w:tcPr>
            <w:tcW w:w="3672"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Priporočilo</w:t>
            </w:r>
          </w:p>
        </w:tc>
        <w:tc>
          <w:tcPr>
            <w:tcW w:w="3745"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Razlog</w:t>
            </w:r>
          </w:p>
        </w:tc>
      </w:tr>
      <w:tr>
        <w:trPr/>
        <w:tc>
          <w:tcPr>
            <w:tcW w:w="333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Veljavni odlok, sklep, strategija</w:t>
            </w:r>
          </w:p>
        </w:tc>
        <w:tc>
          <w:tcPr>
            <w:tcW w:w="367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Naloži uradni PDF/DOCX in zapiši uradni URL.</w:t>
            </w:r>
          </w:p>
        </w:tc>
        <w:tc>
          <w:tcPr>
            <w:tcW w:w="374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Datoteka ohrani točno verzijo; URL omogoča dokaz izvora in preverjanje novejše objave.</w:t>
            </w:r>
          </w:p>
        </w:tc>
      </w:tr>
      <w:tr>
        <w:trPr/>
        <w:tc>
          <w:tcPr>
            <w:tcW w:w="333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Spletna stran z vsebino</w:t>
            </w:r>
          </w:p>
        </w:tc>
        <w:tc>
          <w:tcPr>
            <w:tcW w:w="367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Dodaj URL in po možnosti PDF-posnetek ali izvoz strani z datumom.</w:t>
            </w:r>
          </w:p>
        </w:tc>
        <w:tc>
          <w:tcPr>
            <w:tcW w:w="374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Spletna vsebina se lahko spremeni, povezava lahko preneha delovati.</w:t>
            </w:r>
          </w:p>
        </w:tc>
      </w:tr>
      <w:tr>
        <w:trPr/>
        <w:tc>
          <w:tcPr>
            <w:tcW w:w="333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Obsežen portal ali zbirka</w:t>
            </w:r>
          </w:p>
        </w:tc>
        <w:tc>
          <w:tcPr>
            <w:tcW w:w="367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Dodaj povezavo, nato izvozi samo relevantne dokumente/podatke.</w:t>
            </w:r>
          </w:p>
        </w:tc>
        <w:tc>
          <w:tcPr>
            <w:tcW w:w="374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Sama naslovna povezava ne določa, katere podatke in obdobje naj model uporabi.</w:t>
            </w:r>
          </w:p>
        </w:tc>
      </w:tr>
      <w:tr>
        <w:trPr/>
        <w:tc>
          <w:tcPr>
            <w:tcW w:w="333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GitHub source</w:t>
            </w:r>
          </w:p>
        </w:tc>
        <w:tc>
          <w:tcPr>
            <w:tcW w:w="367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 projekt naloži zadnji ZIP; v klepetu navedi repozitorij/commit.</w:t>
            </w:r>
          </w:p>
        </w:tc>
        <w:tc>
          <w:tcPr>
            <w:tcW w:w="374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ZIP zagotovi popoln, nespremenljiv delovni posnetek; repozitorij daje zgodovino.</w:t>
            </w:r>
          </w:p>
        </w:tc>
      </w:tr>
      <w:tr>
        <w:trPr/>
        <w:tc>
          <w:tcPr>
            <w:tcW w:w="333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Delovni CSV/XLSX</w:t>
            </w:r>
          </w:p>
        </w:tc>
        <w:tc>
          <w:tcPr>
            <w:tcW w:w="367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Naloži v konkretni klepet in ob potrditvi shrani normaliziran rezultat v source package.</w:t>
            </w:r>
          </w:p>
        </w:tc>
        <w:tc>
          <w:tcPr>
            <w:tcW w:w="374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Veliki delovni izvozi niso vsi trajni kontekst.</w:t>
            </w:r>
          </w:p>
        </w:tc>
      </w:tr>
    </w:tbl>
    <w:p>
      <w:pPr>
        <w:pStyle w:val="Normal"/>
        <w:spacing w:before="0" w:after="0"/>
        <w:rPr/>
      </w:pPr>
      <w:r>
        <w:rPr/>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Odgovor na ključno vprašanje</w:t>
            </w:r>
            <w:r>
              <w:rPr>
                <w:rFonts w:eastAsia="Liberation Sans"/>
              </w:rPr>
              <w:br/>
              <w:t>Da: javno spletno povezavo ali PDF lahko preberem in upoštevam. Za dolgoročno, dokazljivo uporabo pa je bolje v projekt naložiti uradno datoteko in ob njej hraniti tudi URL, naziv izdajatelja, datum, verzijo ter področje uporabe. Sama povezava ni dovolj zanesljiv arhiv.</w:t>
            </w:r>
          </w:p>
        </w:tc>
      </w:tr>
    </w:tbl>
    <w:p>
      <w:pPr>
        <w:pStyle w:val="Normal"/>
        <w:spacing w:before="0" w:after="0"/>
        <w:rPr/>
      </w:pPr>
      <w:r>
        <w:rPr/>
      </w:r>
    </w:p>
    <w:p>
      <w:pPr>
        <w:pStyle w:val="Heading2"/>
        <w:rPr/>
      </w:pPr>
      <w:bookmarkStart w:id="35" w:name="__RefHeading___Toc4837_3353252975"/>
      <w:bookmarkStart w:id="36" w:name="_Toc236375259"/>
      <w:bookmarkEnd w:id="35"/>
      <w:r>
        <w:rPr/>
        <w:t>4.3 Priporočena struktura projektnih virov</w:t>
      </w:r>
      <w:bookmarkEnd w:id="36"/>
    </w:p>
    <w:p>
      <w:pPr>
        <w:pStyle w:val="ListBullet"/>
        <w:numPr>
          <w:ilvl w:val="0"/>
          <w:numId w:val="1"/>
        </w:numPr>
        <w:spacing w:before="0" w:after="50"/>
        <w:ind w:hanging="360" w:left="0"/>
        <w:contextualSpacing/>
        <w:rPr/>
      </w:pPr>
      <w:r>
        <w:rPr>
          <w:rFonts w:eastAsia="Liberation Sans"/>
        </w:rPr>
        <w:t>00_TEMELJI_PLATFORME_vX.Y.docx</w:t>
      </w:r>
    </w:p>
    <w:p>
      <w:pPr>
        <w:pStyle w:val="ListBullet"/>
        <w:numPr>
          <w:ilvl w:val="0"/>
          <w:numId w:val="1"/>
        </w:numPr>
        <w:spacing w:before="0" w:after="50"/>
        <w:ind w:hanging="360" w:left="0"/>
        <w:contextualSpacing/>
        <w:rPr/>
      </w:pPr>
      <w:r>
        <w:rPr>
          <w:rFonts w:eastAsia="Liberation Sans"/>
        </w:rPr>
        <w:t>01_CHANGELOG_PLATFORME_vX.Y.docx</w:t>
      </w:r>
    </w:p>
    <w:p>
      <w:pPr>
        <w:pStyle w:val="ListBullet"/>
        <w:numPr>
          <w:ilvl w:val="0"/>
          <w:numId w:val="1"/>
        </w:numPr>
        <w:spacing w:before="0" w:after="50"/>
        <w:ind w:hanging="360" w:left="0"/>
        <w:contextualSpacing/>
        <w:rPr/>
      </w:pPr>
      <w:r>
        <w:rPr>
          <w:rFonts w:eastAsia="Liberation Sans"/>
        </w:rPr>
        <w:t>02_SOURCE_UTRIP_TRZICA_vX.YY.zip</w:t>
      </w:r>
    </w:p>
    <w:p>
      <w:pPr>
        <w:pStyle w:val="ListBullet"/>
        <w:numPr>
          <w:ilvl w:val="0"/>
          <w:numId w:val="1"/>
        </w:numPr>
        <w:spacing w:before="0" w:after="50"/>
        <w:ind w:hanging="360" w:left="0"/>
        <w:contextualSpacing/>
        <w:rPr/>
      </w:pPr>
      <w:r>
        <w:rPr>
          <w:rFonts w:eastAsia="Liberation Sans"/>
        </w:rPr>
        <w:t>10_REGISTER_VIROV_IN_DOKUMENTOV.xlsx ali DOCX</w:t>
      </w:r>
    </w:p>
    <w:p>
      <w:pPr>
        <w:pStyle w:val="ListBullet"/>
        <w:numPr>
          <w:ilvl w:val="0"/>
          <w:numId w:val="1"/>
        </w:numPr>
        <w:spacing w:before="0" w:after="50"/>
        <w:ind w:hanging="360" w:left="0"/>
        <w:contextualSpacing/>
        <w:rPr/>
      </w:pPr>
      <w:r>
        <w:rPr>
          <w:rFonts w:eastAsia="Liberation Sans"/>
        </w:rPr>
        <w:t>20_PRAVNE_PODLAGE_[področje]_[datum].pdf</w:t>
      </w:r>
    </w:p>
    <w:p>
      <w:pPr>
        <w:pStyle w:val="ListBullet"/>
        <w:numPr>
          <w:ilvl w:val="0"/>
          <w:numId w:val="1"/>
        </w:numPr>
        <w:spacing w:before="0" w:after="50"/>
        <w:ind w:hanging="360" w:left="0"/>
        <w:contextualSpacing/>
        <w:rPr/>
      </w:pPr>
      <w:r>
        <w:rPr>
          <w:rFonts w:eastAsia="Liberation Sans"/>
        </w:rPr>
        <w:t>30_STRATEGIJE_IN_PROSTORSKI_AKTI_[področje]_[datum].pdf</w:t>
      </w:r>
    </w:p>
    <w:p>
      <w:pPr>
        <w:pStyle w:val="ListBullet"/>
        <w:numPr>
          <w:ilvl w:val="0"/>
          <w:numId w:val="1"/>
        </w:numPr>
        <w:spacing w:before="0" w:after="50"/>
        <w:ind w:hanging="360" w:left="0"/>
        <w:contextualSpacing/>
        <w:rPr/>
      </w:pPr>
      <w:r>
        <w:rPr>
          <w:rFonts w:eastAsia="Liberation Sans"/>
        </w:rPr>
        <w:t>40_METODOLOGIJA_SENZORJEV_[sistem]_[verzija].pdf</w:t>
      </w:r>
    </w:p>
    <w:p>
      <w:pPr>
        <w:pStyle w:val="ListBullet"/>
        <w:numPr>
          <w:ilvl w:val="0"/>
          <w:numId w:val="1"/>
        </w:numPr>
        <w:spacing w:before="0" w:after="50"/>
        <w:ind w:hanging="360" w:left="0"/>
        <w:contextualSpacing/>
        <w:rPr/>
      </w:pPr>
      <w:r>
        <w:rPr>
          <w:rFonts w:eastAsia="Liberation Sans"/>
        </w:rPr>
        <w:t>50_PODATKOVNI_IZVOZI_[vir]_[od-do].[csv/xlsx/zip]</w:t>
      </w:r>
    </w:p>
    <w:p>
      <w:pPr>
        <w:pStyle w:val="Normal"/>
        <w:rPr/>
      </w:pPr>
      <w:r>
        <w:rPr>
          <w:rFonts w:eastAsia="Liberation Sans"/>
        </w:rPr>
        <w:t>V projektu naj bo samo ena datoteka označena kot trenutno veljavni source ZIP. Stare verzije se hranijo v GitHubu ali arhivu, v projektu pa ostanejo le, kadar jih potrebujemo za primerjavo. Če ostane več ZIP-ov, mora ime jasno vsebovati oznako ARHIV.</w:t>
      </w:r>
    </w:p>
    <w:p>
      <w:pPr>
        <w:pStyle w:val="Heading2"/>
        <w:rPr/>
      </w:pPr>
      <w:bookmarkStart w:id="37" w:name="__RefHeading___Toc4839_3353252975"/>
      <w:bookmarkStart w:id="38" w:name="_Toc236375260"/>
      <w:bookmarkEnd w:id="37"/>
      <w:r>
        <w:rPr/>
        <w:t>4.4 Register dokumentov in virov</w:t>
      </w:r>
      <w:bookmarkEnd w:id="38"/>
    </w:p>
    <w:p>
      <w:pPr>
        <w:pStyle w:val="Normal"/>
        <w:rPr/>
      </w:pPr>
      <w:r>
        <w:rPr>
          <w:rFonts w:eastAsia="Liberation Sans"/>
        </w:rPr>
        <w:t>Za vsak dokument ali podatkovni vir se vodi najmanj naslednje: ID, naziv, izdajatelj, datum/verzija, obdobje veljavnosti, uradni URL, lokalna datoteka, aplikacije, na katere vpliva, status veljavnosti, ključne omejitve in datum zadnjega preverjanja.</w:t>
      </w:r>
    </w:p>
    <w:p>
      <w:pPr>
        <w:pStyle w:val="Heading1"/>
        <w:rPr/>
      </w:pPr>
      <w:bookmarkStart w:id="39" w:name="__RefHeading___Toc4841_3353252975"/>
      <w:bookmarkStart w:id="40" w:name="_Toc236375261"/>
      <w:bookmarkEnd w:id="39"/>
      <w:r>
        <w:rPr/>
        <w:t>5. Tehnična arhitektura platforme</w:t>
      </w:r>
      <w:bookmarkEnd w:id="40"/>
    </w:p>
    <w:p>
      <w:pPr>
        <w:pStyle w:val="Normal"/>
        <w:rPr/>
      </w:pPr>
      <w:r>
        <w:rPr/>
        <w:t>Platforma je statična client-side rešitev v HTML, CSS in JavaScriptu. Deluje na GitHub Pages, običajnem spletnem strežniku ali lokalno iz datotek. Podatki so v lokalnih JavaScript datotekah, izvorni CSV/XLSX pa so ohranjeni tam, kjer so potrebni za sledljivost. Korenski odvečni /data imenik in zastarela TXT dokumentacija nista del izdaje. Prometni aplikaciji uporabljata Chart.js prek CDN; brez internetne povezave vsebinski izračuni delujejo, grafi pa se ne naložijo. Druge aplikacije imajo lastne lokalne prikaze. VERSION.js je centralni register verzij in datuma izdaje; apply-version.js ga uporabi na vseh straneh.</w:t>
      </w:r>
    </w:p>
    <w:tbl>
      <w:tblPr>
        <w:tblStyle w:val="Tabelamrea"/>
        <w:tblW w:w="11251"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31"/>
        <w:gridCol w:w="3671"/>
        <w:gridCol w:w="4249"/>
      </w:tblGrid>
      <w:tr>
        <w:trPr>
          <w:tblHeader w:val="true"/>
        </w:trPr>
        <w:tc>
          <w:tcPr>
            <w:tcW w:w="3331"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Sloj</w:t>
            </w:r>
          </w:p>
        </w:tc>
        <w:tc>
          <w:tcPr>
            <w:tcW w:w="3671"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Trenutna rešitev</w:t>
            </w:r>
          </w:p>
        </w:tc>
        <w:tc>
          <w:tcPr>
            <w:tcW w:w="4249"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Razvojna usmeritev</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Vstopna stran</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index.html + skupni CSS + VERSION.js + apply-version.js</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Centralni register je izveden; ob izdaji se preverijo datum, ime ZIP-a in vse strani.</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Aplikacije</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ločene mape apps/*; šest aktivnih modulov</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Ohraniti modularnost; Turistični utrip, Uresničevanje Strategije in regionalno primerjalno aplikacijo voditi kot ločene vsebinske sklope.</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Podatki</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lokalne data-js datoteke; izvorni CSV/XLSX; app-specifični JSON/JS; brez odvečnega korenskega /data imenika</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Avtomatiziran ETL, validacija, manifest virov, ponovljive SURS API-poizvedbe in po potrebi občinski podatkovni API.</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Grafi</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Chart.js CDN ali lastni SVG/HTML</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Lokalna kopija knjižnice za popolnoma offline delovanje.</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Objava</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GitHub Pages / lokalni disk</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Testna, interna in javna veja; sledljiv release in commit.</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Dokumentacija</w:t>
            </w:r>
          </w:p>
        </w:tc>
        <w:tc>
          <w:tcPr>
            <w:tcW w:w="367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korenski in aplikacijski README; docs/*.md; krovni DOCX dokumenti; brez zastarelih TXT datotek</w:t>
            </w:r>
          </w:p>
        </w:tc>
        <w:tc>
          <w:tcPr>
            <w:tcW w:w="424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TEMELJI + CHANGELOG + PODATKOVNI KATALOG kot obvezni release artefakti.</w:t>
            </w:r>
          </w:p>
        </w:tc>
      </w:tr>
      <w:tr>
        <w:trPr/>
        <w:tc>
          <w:tcPr>
            <w:tcW w:w="333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Verzioniranje</w:t>
            </w:r>
          </w:p>
        </w:tc>
        <w:tc>
          <w:tcPr>
            <w:tcW w:w="367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VERSION.js + assets/js/apply-version.js; statični fallback v HTML</w:t>
            </w:r>
          </w:p>
        </w:tc>
        <w:tc>
          <w:tcPr>
            <w:tcW w:w="424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En vpis verzije na izdajo, avtomatska uporaba v vseh aplikacijah in kontrola pred ZIP-om.</w:t>
            </w:r>
          </w:p>
        </w:tc>
      </w:tr>
    </w:tbl>
    <w:p>
      <w:pPr>
        <w:pStyle w:val="Normal"/>
        <w:spacing w:before="0" w:after="0"/>
        <w:rPr/>
      </w:pPr>
      <w:r>
        <w:rPr/>
      </w:r>
    </w:p>
    <w:p>
      <w:pPr>
        <w:pStyle w:val="Heading2"/>
        <w:rPr/>
      </w:pPr>
      <w:bookmarkStart w:id="41" w:name="__RefHeading___Toc4843_3353252975"/>
      <w:bookmarkEnd w:id="41"/>
      <w:r>
        <w:rPr/>
        <w:t>5.1 PISO Desktop in občinski prostorski kontekst</w:t>
      </w:r>
    </w:p>
    <w:p>
      <w:pPr>
        <w:pStyle w:val="Normal"/>
        <w:rPr/>
      </w:pPr>
      <w:r>
        <w:rPr/>
        <w:t>PISO Desktop je napredni prostorski informacijski sistem, ki dopolnjuje spletni pregledovalnik PISO ter omogoča delo z dinamičnimi in lokalnimi sloji, urejanje, uvoz in izvoz podatkov. Za Utrip Tržiča so bili 31. 7. 2026 pregledani ročni XLSX/CSV atributni izvozi občinskih prometnih slojev. Ker izvozi ne vsebujejo geometrije, so uporabni kot linearni referenčni in metodološki kontekst, ne kot samostojna karta.</w:t>
      </w:r>
    </w:p>
    <w:tbl>
      <w:tblPr>
        <w:tblStyle w:val="Tabelamrea"/>
        <w:tblW w:w="9404"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351"/>
        <w:gridCol w:w="2351"/>
        <w:gridCol w:w="2351"/>
        <w:gridCol w:w="2350"/>
      </w:tblGrid>
      <w:tr>
        <w:trPr/>
        <w:tc>
          <w:tcPr>
            <w:tcW w:w="2351" w:type="dxa"/>
            <w:tcBorders/>
            <w:shd w:fill="D9EAF2"/>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Izvoz</w:t>
            </w:r>
          </w:p>
        </w:tc>
        <w:tc>
          <w:tcPr>
            <w:tcW w:w="2351" w:type="dxa"/>
            <w:tcBorders/>
            <w:shd w:fill="D9EAF2"/>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Preverjena vsebina</w:t>
            </w:r>
          </w:p>
        </w:tc>
        <w:tc>
          <w:tcPr>
            <w:tcW w:w="2351" w:type="dxa"/>
            <w:tcBorders/>
            <w:shd w:fill="D9EAF2"/>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Uporaba v prvi fazi</w:t>
            </w:r>
          </w:p>
        </w:tc>
        <w:tc>
          <w:tcPr>
            <w:tcW w:w="2350" w:type="dxa"/>
            <w:tcBorders/>
            <w:shd w:fill="D9EAF2"/>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Omejitev / status</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BCP – osi cest</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275 zapisov; 96 cest; 114.651 m; 253 JP, 20 LC, 2 LZ.</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Osnovni referenčni okvir občinskih cest.</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Brez geometrije in potrjenega šifranta kategorij.</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BUS</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32 zapisov na 8 odsekih; lega, širina, čakalni prostor, pločnik, prehod, razsvetljava in označbe.</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Dopolnilni infrastrukturni kontekst postajališč.</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Brez imen in koordinat; kodirana polja zahtevajo šifrant.</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Pločniki</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156 zapisov; 154 trenutno veljavnih; 12.880 m; mediana širine 1,50 m.</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Prihodnja analiza peš dostopnosti in varnosti.</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Atributi brez geometrije; popolnost evidence še ni potrjena.</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Omejitve hitrosti</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52 zapisov; 46 trenutno veljavnih na 18 odsekih; 14.622 m; omejitve 20/30/40/70 km/h.</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Kontekst prometnih razlag in lokacijskih omejitev.</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dokazano, da gre za popoln register celotnega omrežja.</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Naselja ob odsekih</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269 zapisov; 261 trenutno veljavnih; 33 šifer naselij.</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Povezava stacionaž cest z naselbinskim kontekstom.</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register vseh 35 naselij in ne vsebuje poligonov.</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Hitrost</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Samo glava tabele, brez podatkovnih vrstic.</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uporabljeno.</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Manjkajoč vir; ne pomeni hitrosti nič.</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Kolesarske poti</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Samo glava tabele, brez podatkovnih vrstic.</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uporabljeno.</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dokaz odsotnosti kolesarskih poti.</w:t>
            </w:r>
          </w:p>
        </w:tc>
      </w:tr>
      <w:tr>
        <w:trPr/>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Cestne zapore</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Samo glava tabele, brez podatkovnih vrstic.</w:t>
            </w:r>
          </w:p>
        </w:tc>
        <w:tc>
          <w:tcPr>
            <w:tcW w:w="235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uporabljeno.</w:t>
            </w:r>
          </w:p>
        </w:tc>
        <w:tc>
          <w:tcPr>
            <w:tcW w:w="23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Ni zgodovine zapor; potreben drug izvoz ali vir.</w:t>
            </w:r>
          </w:p>
        </w:tc>
      </w:tr>
    </w:tbl>
    <w:p>
      <w:pPr>
        <w:pStyle w:val="IntenseQuote"/>
        <w:rPr/>
      </w:pPr>
      <w:r>
        <w:rPr/>
        <w:t>Metodološko pravilo: PISO podatki v prvi fazi ne spreminjajo indeksa Utrip Tržiča, regresij, uteži, scenarijev, kakovosti podatkov ali ocene zanesljivosti. Za prihodnje prostorske preseke so potrebni SHP, GPKG ali GeoJSON z navedenim koordinatnim sistemom, stabilnimi ID-ji in uradnimi šifranti kodiranih polj. Velikih rastrskih podlag in kart se ne vgrajuje v source ZIP.</w:t>
      </w:r>
    </w:p>
    <w:p>
      <w:pPr>
        <w:pStyle w:val="Heading1"/>
        <w:rPr/>
      </w:pPr>
      <w:bookmarkStart w:id="42" w:name="__RefHeading___Toc4845_3353252975"/>
      <w:bookmarkStart w:id="43" w:name="_Toc236375262"/>
      <w:bookmarkEnd w:id="42"/>
      <w:r>
        <w:rPr/>
        <w:t>6. Aplikacija: AI analiza prometa v Tržiču</w:t>
      </w:r>
      <w:bookmarkEnd w:id="43"/>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Trenutna verzija</w:t>
            </w:r>
            <w:r>
              <w:rPr/>
              <w:br/>
              <w:t>Uporabniški vmesnik: v1.62 v source package v1.9.1. Dodana sta občinski prostorski kontekst in dokumentacija PISO Desktop; koledar dogodkov ostaja revidiran. Formule, uteži, postavitev, indeks in scenariji niso spremenjeni.</w:t>
            </w:r>
          </w:p>
        </w:tc>
      </w:tr>
    </w:tbl>
    <w:p>
      <w:pPr>
        <w:pStyle w:val="Normal"/>
        <w:spacing w:before="0" w:after="0"/>
        <w:rPr/>
      </w:pPr>
      <w:r>
        <w:rPr/>
      </w:r>
    </w:p>
    <w:p>
      <w:pPr>
        <w:pStyle w:val="Heading2"/>
        <w:rPr/>
      </w:pPr>
      <w:bookmarkStart w:id="44" w:name="__RefHeading___Toc4847_3353252975"/>
      <w:bookmarkStart w:id="45" w:name="_Toc236375263"/>
      <w:bookmarkEnd w:id="44"/>
      <w:r>
        <w:rPr/>
        <w:t>6.1 Namen in cilj</w:t>
      </w:r>
      <w:bookmarkEnd w:id="45"/>
    </w:p>
    <w:p>
      <w:pPr>
        <w:pStyle w:val="Normal"/>
        <w:rPr/>
      </w:pPr>
      <w:r>
        <w:rPr>
          <w:rFonts w:eastAsia="Liberation Sans"/>
        </w:rPr>
        <w:t>Namen aplikacije je združiti promet, parkiranje, parkirnine, vreme, koledarske dejavnike, zaposlovanje, prebivalstvo, turizem, električno mobilnost in prekrške v enoten analitični kontekst. Cilj ni prikazati čim več grafov, temveč uporabniku omogočiti razumljiva vprašanja »kaj se je zgodilo« in »kaj bi se lahko zgodilo, če se spremeni določen dejavnik«.</w:t>
      </w:r>
    </w:p>
    <w:p>
      <w:pPr>
        <w:pStyle w:val="Heading2"/>
        <w:rPr/>
      </w:pPr>
      <w:bookmarkStart w:id="46" w:name="__RefHeading___Toc4849_3353252975"/>
      <w:bookmarkStart w:id="47" w:name="_Toc236375264"/>
      <w:bookmarkEnd w:id="46"/>
      <w:r>
        <w:rPr/>
        <w:t>6.2 NAREJENO</w:t>
      </w:r>
      <w:bookmarkEnd w:id="47"/>
    </w:p>
    <w:p>
      <w:pPr>
        <w:pStyle w:val="ListBullet"/>
        <w:numPr>
          <w:ilvl w:val="0"/>
          <w:numId w:val="1"/>
        </w:numPr>
        <w:spacing w:before="0" w:after="50"/>
        <w:ind w:hanging="360" w:left="0"/>
        <w:contextualSpacing/>
        <w:rPr/>
      </w:pPr>
      <w:r>
        <w:rPr>
          <w:rFonts w:eastAsia="Liberation Sans"/>
        </w:rPr>
        <w:t>Vzpostavljen je enotni mesečni podatkovni model za obdobje 2023–2026, z dodatnimi daljšimi nizi tam, kjer so na voljo.</w:t>
      </w:r>
    </w:p>
    <w:p>
      <w:pPr>
        <w:pStyle w:val="ListBullet"/>
        <w:numPr>
          <w:ilvl w:val="0"/>
          <w:numId w:val="1"/>
        </w:numPr>
        <w:spacing w:before="0" w:after="50"/>
        <w:ind w:hanging="360" w:left="0"/>
        <w:contextualSpacing/>
        <w:rPr/>
      </w:pPr>
      <w:r>
        <w:rPr>
          <w:rFonts w:eastAsia="Liberation Sans"/>
        </w:rPr>
        <w:t>Dodani so KPI-ji in sestavljeni indeks Utrip Tržiča z izbiro obdobja.</w:t>
      </w:r>
    </w:p>
    <w:p>
      <w:pPr>
        <w:pStyle w:val="ListBullet"/>
        <w:numPr>
          <w:ilvl w:val="0"/>
          <w:numId w:val="1"/>
        </w:numPr>
        <w:spacing w:before="0" w:after="50"/>
        <w:ind w:hanging="360" w:left="0"/>
        <w:contextualSpacing/>
        <w:rPr/>
      </w:pPr>
      <w:r>
        <w:rPr>
          <w:rFonts w:eastAsia="Liberation Sans"/>
        </w:rPr>
        <w:t>Dodani sta oceni kakovosti podatkov in zanesljivosti modela ter jasna opozorila o omejitvah.</w:t>
      </w:r>
    </w:p>
    <w:p>
      <w:pPr>
        <w:pStyle w:val="ListBullet"/>
        <w:numPr>
          <w:ilvl w:val="0"/>
          <w:numId w:val="1"/>
        </w:numPr>
        <w:spacing w:before="0" w:after="50"/>
        <w:ind w:hanging="360" w:left="0"/>
        <w:contextualSpacing/>
        <w:rPr/>
      </w:pPr>
      <w:r>
        <w:rPr>
          <w:rFonts w:eastAsia="Liberation Sans"/>
        </w:rPr>
        <w:t>AI svetovalec odgovarja na vprašanje »Kaj se je zgodilo dne …?« in za datum združi promet, vreme, praznike, dogodke, ocenjeno zasedenost in parkirnine. Evidentiran dogodek pomeni zapis v koledarju oziroma aktiven dan večdnevnega dogodka, ne dokazan prometni učinek.</w:t>
      </w:r>
    </w:p>
    <w:p>
      <w:pPr>
        <w:pStyle w:val="ListBullet"/>
        <w:numPr>
          <w:ilvl w:val="0"/>
          <w:numId w:val="1"/>
        </w:numPr>
        <w:spacing w:before="0" w:after="50"/>
        <w:ind w:hanging="360" w:left="0"/>
        <w:contextualSpacing/>
        <w:rPr/>
      </w:pPr>
      <w:r>
        <w:rPr>
          <w:rFonts w:eastAsia="Liberation Sans"/>
        </w:rPr>
        <w:t>Izvedenih je devet scenarijev: promet → parkirišča; vreme → parkirišča; delovno aktivni → promet; delovno aktivni → parkirišča; prebivalci → promet/parkiranje; parkirnine → prihodek; delovna mesta → prihodek; turizem → promet/parkiranje/parkirnine; rast aktivnosti → uporaba ene EV polnilnice.</w:t>
      </w:r>
    </w:p>
    <w:p>
      <w:pPr>
        <w:pStyle w:val="ListBullet"/>
        <w:numPr>
          <w:ilvl w:val="0"/>
          <w:numId w:val="1"/>
        </w:numPr>
        <w:spacing w:before="0" w:after="50"/>
        <w:ind w:hanging="360" w:left="0"/>
        <w:contextualSpacing/>
        <w:rPr/>
      </w:pPr>
      <w:r>
        <w:rPr>
          <w:rFonts w:eastAsia="Liberation Sans"/>
        </w:rPr>
        <w:t>Promet CABLEX je prikazan dnevno, tedensko, mesečno, po vrstah vozil, smereh in hitrostih. Smer 1 pomeni V lokacijo, smer 0 IZ lokacije.</w:t>
      </w:r>
    </w:p>
    <w:p>
      <w:pPr>
        <w:pStyle w:val="ListBullet"/>
        <w:numPr>
          <w:ilvl w:val="0"/>
          <w:numId w:val="1"/>
        </w:numPr>
        <w:spacing w:before="0" w:after="50"/>
        <w:ind w:hanging="360" w:left="0"/>
        <w:contextualSpacing/>
        <w:rPr/>
      </w:pPr>
      <w:r>
        <w:rPr>
          <w:rFonts w:eastAsia="Liberation Sans"/>
        </w:rPr>
        <w:t>Za parkirišča so vključeni mesečna/dnevna zasedenost, kapacitetno uteženo povprečje in enoletni 3-urni profil po dnevih v tednu.</w:t>
      </w:r>
    </w:p>
    <w:p>
      <w:pPr>
        <w:pStyle w:val="ListBullet"/>
        <w:numPr>
          <w:ilvl w:val="0"/>
          <w:numId w:val="1"/>
        </w:numPr>
        <w:spacing w:before="0" w:after="50"/>
        <w:ind w:hanging="360" w:left="0"/>
        <w:contextualSpacing/>
        <w:rPr/>
      </w:pPr>
      <w:r>
        <w:rPr>
          <w:rFonts w:eastAsia="Liberation Sans"/>
        </w:rPr>
        <w:t>EasyPark in HECTRONIC sta obravnavana ločeno; plačane in brezplačne transakcije niso enačene, dodani so prihodki in mapping lokacij.</w:t>
      </w:r>
    </w:p>
    <w:p>
      <w:pPr>
        <w:pStyle w:val="ListBullet"/>
        <w:numPr>
          <w:ilvl w:val="0"/>
          <w:numId w:val="1"/>
        </w:numPr>
        <w:spacing w:before="0" w:after="50"/>
        <w:ind w:hanging="360" w:left="0"/>
        <w:contextualSpacing/>
        <w:rPr/>
      </w:pPr>
      <w:r>
        <w:rPr>
          <w:rFonts w:eastAsia="Liberation Sans"/>
        </w:rPr>
        <w:t>Vključeni so SURS podatki o delovno aktivnih po občini delovnega mesta in prebivalci naselja Tržič.</w:t>
      </w:r>
    </w:p>
    <w:p>
      <w:pPr>
        <w:pStyle w:val="ListBullet"/>
        <w:numPr>
          <w:ilvl w:val="0"/>
          <w:numId w:val="1"/>
        </w:numPr>
        <w:spacing w:before="0" w:after="50"/>
        <w:ind w:hanging="360" w:left="0"/>
        <w:contextualSpacing/>
        <w:rPr/>
      </w:pPr>
      <w:r>
        <w:rPr>
          <w:rFonts w:eastAsia="Liberation Sans"/>
        </w:rPr>
        <w:t>Vključeni so turizem, prazniki, Open-Meteo vreme, ena EV polnilnica, prekrški po mesecih in ulicah ter 3.547 dnevnih zapisov dogodkov za obdobje 1. 11. 2023–10. 8. 2026.</w:t>
      </w:r>
    </w:p>
    <w:p>
      <w:pPr>
        <w:pStyle w:val="ListBullet"/>
        <w:numPr>
          <w:ilvl w:val="0"/>
          <w:numId w:val="1"/>
        </w:numPr>
        <w:rPr/>
      </w:pPr>
      <w:r>
        <w:rPr/>
        <w:t>Komponenta Dogodki v indeksu Utrip meri aktivne koledarske dneve dogodkov. Večdnevni dogodki so razširjeni na posamezne dni; kazalnik zato ni merilo števila različnih prireditev, njihove obiskanosti ali velikosti.</w:t>
      </w:r>
    </w:p>
    <w:p>
      <w:pPr>
        <w:pStyle w:val="ListBullet"/>
        <w:numPr>
          <w:ilvl w:val="0"/>
          <w:numId w:val="1"/>
        </w:numPr>
        <w:spacing w:before="0" w:after="50"/>
        <w:ind w:hanging="360" w:left="0"/>
        <w:contextualSpacing/>
        <w:rPr/>
      </w:pPr>
      <w:r>
        <w:rPr>
          <w:rFonts w:eastAsia="Liberation Sans"/>
        </w:rPr>
        <w:t>Manjkajoči prometni podatki 2024 so označeno interpolirani in na grafu ločeni od meritev.</w:t>
      </w:r>
    </w:p>
    <w:p>
      <w:pPr>
        <w:pStyle w:val="ListBullet"/>
        <w:numPr>
          <w:ilvl w:val="0"/>
          <w:numId w:val="1"/>
        </w:numPr>
        <w:spacing w:before="0" w:after="50"/>
        <w:ind w:hanging="360" w:left="0"/>
        <w:contextualSpacing/>
        <w:rPr/>
      </w:pPr>
      <w:r>
        <w:rPr>
          <w:rFonts w:eastAsia="Liberation Sans"/>
        </w:rPr>
        <w:t>Aplikacija deluje lokalno iz datotek; podatki so preneseni v lokalne JavaScript objekte.</w:t>
      </w:r>
    </w:p>
    <w:p>
      <w:pPr>
        <w:pStyle w:val="Heading2"/>
        <w:rPr/>
      </w:pPr>
      <w:bookmarkStart w:id="48" w:name="__RefHeading___Toc4851_3353252975"/>
      <w:bookmarkStart w:id="49" w:name="_Toc236375265"/>
      <w:bookmarkEnd w:id="48"/>
      <w:r>
        <w:rPr/>
        <w:t>6.3 Podatkovni viri in kako so bili pridobljeni</w:t>
      </w:r>
      <w:bookmarkEnd w:id="49"/>
    </w:p>
    <w:tbl>
      <w:tblPr>
        <w:tblStyle w:val="Tabelamrea"/>
        <w:tblW w:w="1003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520"/>
        <w:gridCol w:w="2520"/>
        <w:gridCol w:w="2498"/>
        <w:gridCol w:w="2497"/>
      </w:tblGrid>
      <w:tr>
        <w:trPr>
          <w:tblHeader w:val="true"/>
        </w:trPr>
        <w:tc>
          <w:tcPr>
            <w:tcW w:w="2520"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Vir in obdobje</w:t>
            </w:r>
          </w:p>
        </w:tc>
        <w:tc>
          <w:tcPr>
            <w:tcW w:w="2520"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Pridobitev / ločljivost</w:t>
            </w:r>
          </w:p>
        </w:tc>
        <w:tc>
          <w:tcPr>
            <w:tcW w:w="2498"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Uporaba</w:t>
            </w:r>
          </w:p>
        </w:tc>
        <w:tc>
          <w:tcPr>
            <w:tcW w:w="2497"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Glavna omejitev</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CABLEX, 3. 8. 2023–23. 7. 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Kibana Lens CSV; dnevni agregati, tedenski seštevki; smeri in vrste vozil</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promet, sestava vozil, smeri, hitrosti, scenariji</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ena lokacija na Cesti Ste Marie Aux Mines; ne predstavlja celotne občine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Parkirišča, 2023–2026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občinski/ponudniški izvoz zasedenosti; dnevno in mesečno</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zasedenost, sezona, profili, modeli</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DTO dodan 2024; Sokolnica jeseni 2025; različna dolžina zgodovine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Urni profil, 23. 7. 2025–23. 7. 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3-urni intervali po dnevu v tednu</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konice in dnevni ritem</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eno leto, ne večletni urni vzorec</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EasyPark, 3/2022–7/2026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izvozi transakcij, kategorij in prihodkov</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uporaba parkiranja, scenarij prihodkov</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transakcija ni nujno plačilo ali eno vozilo; prva ura/dovolilnice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HECTRONIC, 9/2022–7/2026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izvozi parkomatov</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transakcije in prihodki po napravah</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drugačna struktura od EasyParka; preprečiti dvojno štetje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SURS delovno aktivni, 6/2020–5/2026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SI-STAT tabela 0700941S; mesečno</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zaposlitveni scenariji</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delovno mesto v občini, ne prebivališče</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SURS prebivalci, 2017–2026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SI-STAT tabela 05C5003S; stanje 1. januar</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demografski scenarij</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samo naselje Tržič, ne občina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Open-Meteo, 15. 7. 2025–14. 7. 2026 + napoved</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urni arhiv in 16-dnevna napoved za koordinate CABLEX</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vreme in večfaktorski model</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približno eno leto arhiva; modelna/reanalizirana točka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Dogodki, priprava 30. 7. 2026; 1. 11. 2023–10. 8. 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izvoz koledarja Občine Tržič, združitev, normalizacija in razširitev večdnevnih dogodkov; 3.547 dnevnih zapisov</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dnevni odgovor in mesečna komponenta Dogodki v indeksu Utrip</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aktivni dnevi niso različne prireditve ali obiskovalci; večdnevni dogodki imajo več zapisov; robni delni meseci so manj primerljivi</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Prazniki, 2000–2030</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OPSI</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ločevanje delavnikov, vikendov in praznikov</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potrebno je pravilno obravnavati dela proste dni</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Turizem, 2018–6/2026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aplikacija turističnih taks in Kibana</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gostje, nočitve, taksa, kraji</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ne zajema dnevnih obiskovalcev; večina gostov izven mesta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EV Tržnica, 2022–7/2026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izvoz ene javne polnilnice</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polnjenja, energija, scenarij</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samo ena polnilnica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Prekrški, 7/2019–7/2026</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Elasticsearch/Kibana; mesečno po ulici</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opisna primerjava s prometom</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odvisno od obsega in usmerjenosti nadzora</w:t>
            </w:r>
          </w:p>
        </w:tc>
      </w:tr>
      <w:tr>
        <w:trPr/>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Odlok o cestno prometni ureditvi</w:t>
            </w:r>
          </w:p>
        </w:tc>
        <w:tc>
          <w:tcPr>
            <w:tcW w:w="252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občinski pravni akt, sprejet 20. 5. 2021</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pravni kontekst parkiranja</w:t>
            </w:r>
          </w:p>
        </w:tc>
        <w:tc>
          <w:tcPr>
            <w:tcW w:w="2497"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za tarifiranje je potreben tudi veljavni sklep/cenik</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PISO Desktop, atributni izvozi 31. 7. 2026</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ročni XLSX/CSV izvoz iz občinskega prostorskega informacijskega sistema; odsek in stacionaža</w:t>
            </w:r>
          </w:p>
        </w:tc>
        <w:tc>
          <w:tcPr>
            <w:tcW w:w="249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kontekst BCP, postajališč, pločnikov, omejitev hitrosti in naselij; preverjanje prostorske smiselnosti</w:t>
            </w:r>
          </w:p>
        </w:tc>
        <w:tc>
          <w:tcPr>
            <w:tcW w:w="2497"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brez geometrije in šifrantov; Hitrost, Kolesarske poti in Cestne zapore so prazni izvozi; brez vpliva na izračune</w:t>
            </w:r>
          </w:p>
        </w:tc>
      </w:tr>
    </w:tbl>
    <w:p>
      <w:pPr>
        <w:pStyle w:val="Normal"/>
        <w:spacing w:before="0" w:after="0"/>
        <w:rPr/>
      </w:pPr>
      <w:r>
        <w:rPr/>
      </w:r>
    </w:p>
    <w:p>
      <w:pPr>
        <w:pStyle w:val="Heading2"/>
        <w:rPr/>
      </w:pPr>
      <w:bookmarkStart w:id="50" w:name="__RefHeading___Toc4853_3353252975"/>
      <w:bookmarkStart w:id="51" w:name="_Toc236375266"/>
      <w:bookmarkEnd w:id="50"/>
      <w:r>
        <w:rPr/>
        <w:t>6.4 Uporabljena metodologija</w:t>
      </w:r>
      <w:bookmarkEnd w:id="51"/>
    </w:p>
    <w:p>
      <w:pPr>
        <w:pStyle w:val="ListBullet"/>
        <w:numPr>
          <w:ilvl w:val="0"/>
          <w:numId w:val="1"/>
        </w:numPr>
        <w:spacing w:before="0" w:after="50"/>
        <w:ind w:hanging="360" w:left="0"/>
        <w:contextualSpacing/>
        <w:rPr/>
      </w:pPr>
      <w:r>
        <w:rPr>
          <w:rFonts w:eastAsia="Liberation Sans"/>
          <w:b/>
        </w:rPr>
        <w:t xml:space="preserve">Promet → parkirišča. </w:t>
      </w:r>
      <w:r>
        <w:rPr>
          <w:rFonts w:eastAsia="Liberation Sans"/>
        </w:rPr>
        <w:t>Linearna regresija po skupnih mesecih; za vsa parkirišča se uporablja kapacitetno utežena zasedenost. R² je po lokacijah nizek, zato rezultat ostaja scenarij.</w:t>
      </w:r>
    </w:p>
    <w:p>
      <w:pPr>
        <w:pStyle w:val="ListBullet"/>
        <w:numPr>
          <w:ilvl w:val="0"/>
          <w:numId w:val="1"/>
        </w:numPr>
        <w:spacing w:before="0" w:after="50"/>
        <w:ind w:hanging="360" w:left="0"/>
        <w:contextualSpacing/>
        <w:rPr/>
      </w:pPr>
      <w:r>
        <w:rPr>
          <w:rFonts w:eastAsia="Liberation Sans"/>
          <w:b/>
        </w:rPr>
        <w:t xml:space="preserve">Vreme → parkirišča. </w:t>
      </w:r>
      <w:r>
        <w:rPr>
          <w:rFonts w:eastAsia="Liberation Sans"/>
        </w:rPr>
        <w:t>Večfaktorski mesečni model vključuje promet, temperaturo, padavine, ure slabega vremena, delovne/vikend dni, praznike, sezonske sinusne komponente in trend. Skupni model ima R² približno 0,70 pri n=37.</w:t>
      </w:r>
    </w:p>
    <w:p>
      <w:pPr>
        <w:pStyle w:val="ListBullet"/>
        <w:numPr>
          <w:ilvl w:val="0"/>
          <w:numId w:val="1"/>
        </w:numPr>
        <w:spacing w:before="0" w:after="50"/>
        <w:ind w:hanging="360" w:left="0"/>
        <w:contextualSpacing/>
        <w:rPr/>
      </w:pPr>
      <w:r>
        <w:rPr>
          <w:rFonts w:eastAsia="Liberation Sans"/>
          <w:b/>
        </w:rPr>
        <w:t xml:space="preserve">Delovno aktivni. </w:t>
      </w:r>
      <w:r>
        <w:rPr>
          <w:rFonts w:eastAsia="Liberation Sans"/>
        </w:rPr>
        <w:t>Strokovni razpon 45–70 vozil na 100 dodatnih delovno aktivnih; 30–45 % teh vozil naj bi uporabilo spremljana javna parkirišča.</w:t>
      </w:r>
    </w:p>
    <w:p>
      <w:pPr>
        <w:pStyle w:val="ListBullet"/>
        <w:numPr>
          <w:ilvl w:val="0"/>
          <w:numId w:val="1"/>
        </w:numPr>
        <w:spacing w:before="0" w:after="50"/>
        <w:ind w:hanging="360" w:left="0"/>
        <w:contextualSpacing/>
        <w:rPr/>
      </w:pPr>
      <w:r>
        <w:rPr>
          <w:rFonts w:eastAsia="Liberation Sans"/>
          <w:b/>
        </w:rPr>
        <w:t xml:space="preserve">Prebivalci. </w:t>
      </w:r>
      <w:r>
        <w:rPr>
          <w:rFonts w:eastAsia="Liberation Sans"/>
        </w:rPr>
        <w:t>Razpon 0,35–0,60 dnevnega prehoda vozila na dodatnega prebivalca ter 2–5 % istočasne uporabe spremljanih javnih parkirišč.</w:t>
      </w:r>
    </w:p>
    <w:p>
      <w:pPr>
        <w:pStyle w:val="ListBullet"/>
        <w:numPr>
          <w:ilvl w:val="0"/>
          <w:numId w:val="1"/>
        </w:numPr>
        <w:spacing w:before="0" w:after="50"/>
        <w:ind w:hanging="360" w:left="0"/>
        <w:contextualSpacing/>
        <w:rPr/>
      </w:pPr>
      <w:r>
        <w:rPr>
          <w:rFonts w:eastAsia="Liberation Sans"/>
          <w:b/>
        </w:rPr>
        <w:t xml:space="preserve">Parkirnine. </w:t>
      </w:r>
      <w:r>
        <w:rPr>
          <w:rFonts w:eastAsia="Liberation Sans"/>
        </w:rPr>
        <w:t>Prihodki se spreminjajo sorazmerno s transakcijami ob predpostavki enake strukture kategorij, trajanja in brezplačnih zapisov.</w:t>
      </w:r>
    </w:p>
    <w:p>
      <w:pPr>
        <w:pStyle w:val="ListBullet"/>
        <w:numPr>
          <w:ilvl w:val="0"/>
          <w:numId w:val="1"/>
        </w:numPr>
        <w:spacing w:before="0" w:after="50"/>
        <w:ind w:hanging="360" w:left="0"/>
        <w:contextualSpacing/>
        <w:rPr/>
      </w:pPr>
      <w:r>
        <w:rPr>
          <w:rFonts w:eastAsia="Liberation Sans"/>
          <w:b/>
        </w:rPr>
        <w:t xml:space="preserve">Turizem. </w:t>
      </w:r>
      <w:r>
        <w:rPr>
          <w:rFonts w:eastAsia="Liberation Sans"/>
        </w:rPr>
        <w:t>Uporablja se mesečni niz gostov/nočitev, vendar je zaradi majhnega deleža nastanitev v mestu vpliv na jedro omejen z lokalno izpostavljenostjo 10 %.</w:t>
      </w:r>
    </w:p>
    <w:p>
      <w:pPr>
        <w:pStyle w:val="ListBullet"/>
        <w:numPr>
          <w:ilvl w:val="0"/>
          <w:numId w:val="1"/>
        </w:numPr>
        <w:spacing w:before="0" w:after="50"/>
        <w:ind w:hanging="360" w:left="0"/>
        <w:contextualSpacing/>
        <w:rPr/>
      </w:pPr>
      <w:r>
        <w:rPr>
          <w:rFonts w:eastAsia="Liberation Sans"/>
          <w:b/>
        </w:rPr>
        <w:t xml:space="preserve">EV. </w:t>
      </w:r>
      <w:r>
        <w:rPr>
          <w:rFonts w:eastAsia="Liberation Sans"/>
        </w:rPr>
        <w:t>Dodatna vozila se množijo s predpostavljenim deležem novih EV 4–8 % in verjetnostjo uporabe javne polnilnice 5–15 %.</w:t>
      </w:r>
    </w:p>
    <w:p>
      <w:pPr>
        <w:pStyle w:val="ListBullet"/>
        <w:numPr>
          <w:ilvl w:val="0"/>
          <w:numId w:val="1"/>
        </w:numPr>
        <w:spacing w:before="0" w:after="50"/>
        <w:ind w:hanging="360" w:left="0"/>
        <w:contextualSpacing/>
        <w:rPr/>
      </w:pPr>
      <w:r>
        <w:rPr>
          <w:rFonts w:eastAsia="Liberation Sans"/>
          <w:b/>
        </w:rPr>
        <w:t>Datum. AI svetovalec združi razpoložljive dnevne vire; manjkajočih podatkov ne nadomešča brez opozorila. Zapis dogodka se razlaga kot koledarski kontekst, ne kot dokaz vzročnega vpliva na promet ali parkiranje.</w:t>
      </w:r>
    </w:p>
    <w:p>
      <w:pPr>
        <w:pStyle w:val="ListBullet"/>
        <w:numPr>
          <w:ilvl w:val="0"/>
          <w:numId w:val="1"/>
        </w:numPr>
        <w:rPr/>
      </w:pPr>
      <w:r>
        <w:rPr/>
        <w:t>Dogodki in Utrip. Za vsak mesec se štejejo dnevni zapisi. Ker so večdnevni dogodki razširjeni na vsak aktiven dan, komponenta meri aktivne koledarske dneve dogodkov. Utež ostaja 10 %, vendar rezultat zahteva previdno razlago in primerjavo samo med časovno primerljivimi polnimi meseci.</w:t>
      </w:r>
    </w:p>
    <w:p>
      <w:pPr>
        <w:pStyle w:val="Heading2"/>
        <w:rPr/>
      </w:pPr>
      <w:bookmarkStart w:id="52" w:name="__RefHeading___Toc4855_3353252975"/>
      <w:bookmarkStart w:id="53" w:name="_Toc236375267"/>
      <w:bookmarkEnd w:id="52"/>
      <w:r>
        <w:rPr/>
        <w:t>6.5 Trenutne omejitve</w:t>
      </w:r>
      <w:bookmarkEnd w:id="53"/>
    </w:p>
    <w:p>
      <w:pPr>
        <w:pStyle w:val="ListBullet"/>
        <w:numPr>
          <w:ilvl w:val="0"/>
          <w:numId w:val="1"/>
        </w:numPr>
        <w:spacing w:before="0" w:after="50"/>
        <w:ind w:hanging="360" w:left="0"/>
        <w:contextualSpacing/>
        <w:rPr/>
      </w:pPr>
      <w:r>
        <w:rPr>
          <w:rFonts w:eastAsia="Liberation Sans"/>
        </w:rPr>
        <w:t>Velik del enotnega modela je mesečen, zato ne more zanesljivo pojasniti posamezne ure ali kratkega dogodka.</w:t>
      </w:r>
    </w:p>
    <w:p>
      <w:pPr>
        <w:pStyle w:val="ListBullet"/>
        <w:numPr>
          <w:ilvl w:val="0"/>
          <w:numId w:val="1"/>
        </w:numPr>
        <w:spacing w:before="0" w:after="50"/>
        <w:ind w:hanging="360" w:left="0"/>
        <w:contextualSpacing/>
        <w:rPr/>
      </w:pPr>
      <w:r>
        <w:rPr>
          <w:rFonts w:eastAsia="Liberation Sans"/>
        </w:rPr>
        <w:t>Nekateri scenariji temeljijo na strokovnih razponih, ne na ocenjenih vzročnih učinkih.</w:t>
      </w:r>
    </w:p>
    <w:p>
      <w:pPr>
        <w:pStyle w:val="ListBullet"/>
        <w:numPr>
          <w:ilvl w:val="0"/>
          <w:numId w:val="1"/>
        </w:numPr>
        <w:spacing w:before="0" w:after="50"/>
        <w:ind w:hanging="360" w:left="0"/>
        <w:contextualSpacing/>
        <w:rPr/>
      </w:pPr>
      <w:r>
        <w:rPr>
          <w:rFonts w:eastAsia="Liberation Sans"/>
        </w:rPr>
        <w:t>CABLEX je ena prometna točka; parkirišča so predvsem okoli mestnega jedra; geografska območja se ne ujemajo popolnoma.</w:t>
      </w:r>
    </w:p>
    <w:p>
      <w:pPr>
        <w:pStyle w:val="ListBullet"/>
        <w:numPr>
          <w:ilvl w:val="0"/>
          <w:numId w:val="1"/>
        </w:numPr>
        <w:spacing w:before="0" w:after="50"/>
        <w:ind w:hanging="360" w:left="0"/>
        <w:contextualSpacing/>
        <w:rPr/>
      </w:pPr>
      <w:r>
        <w:rPr>
          <w:rFonts w:eastAsia="Liberation Sans"/>
        </w:rPr>
        <w:t>Vreme ima približno enoletni urni arhiv, kar je premalo za stabilno dolgoročno klimatsko primerjavo.</w:t>
      </w:r>
    </w:p>
    <w:p>
      <w:pPr>
        <w:pStyle w:val="ListBullet"/>
        <w:numPr>
          <w:ilvl w:val="0"/>
          <w:numId w:val="1"/>
        </w:numPr>
        <w:spacing w:before="0" w:after="50"/>
        <w:ind w:hanging="360" w:left="0"/>
        <w:contextualSpacing/>
        <w:rPr/>
      </w:pPr>
      <w:r>
        <w:rPr>
          <w:rFonts w:eastAsia="Liberation Sans"/>
        </w:rPr>
        <w:t>Spremembe tarif, dovolilnic, prve brezplačne ure, nadzora in ponudbe parkirišč niso še vodene kot formalni prelomi modela.</w:t>
      </w:r>
    </w:p>
    <w:p>
      <w:pPr>
        <w:pStyle w:val="ListBullet"/>
        <w:numPr>
          <w:ilvl w:val="0"/>
          <w:numId w:val="1"/>
        </w:numPr>
        <w:rPr/>
      </w:pPr>
      <w:r>
        <w:rPr/>
        <w:t>Koledar ne vsebuje obiskanosti, velikosti, vrste ali dejanskega prometnega učinka dogodka; popolnejši arhiv ne pomeni nujno več prireditvene aktivnosti.</w:t>
      </w:r>
    </w:p>
    <w:p>
      <w:pPr>
        <w:pStyle w:val="ListBullet"/>
        <w:numPr>
          <w:ilvl w:val="0"/>
          <w:numId w:val="1"/>
        </w:numPr>
        <w:spacing w:before="0" w:after="50"/>
        <w:ind w:hanging="360" w:left="0"/>
        <w:contextualSpacing/>
        <w:rPr/>
      </w:pPr>
      <w:r>
        <w:rPr>
          <w:rFonts w:eastAsia="Liberation Sans"/>
        </w:rPr>
        <w:t>Ocene zanesljivosti so heuristične in niso kalibrirane na dejanskih napakah napovedi.</w:t>
      </w:r>
    </w:p>
    <w:p>
      <w:pPr>
        <w:pStyle w:val="ListBullet"/>
        <w:numPr>
          <w:ilvl w:val="0"/>
          <w:numId w:val="1"/>
        </w:numPr>
        <w:spacing w:before="0" w:after="50"/>
        <w:ind w:hanging="360" w:left="0"/>
        <w:contextualSpacing/>
        <w:rPr/>
      </w:pPr>
      <w:r>
        <w:rPr>
          <w:rFonts w:eastAsia="Liberation Sans"/>
        </w:rPr>
        <w:t>Chart.js se nalaga prek interneta; brez povezave grafi ne delujejo.</w:t>
      </w:r>
    </w:p>
    <w:p>
      <w:pPr>
        <w:pStyle w:val="Heading2"/>
        <w:rPr/>
      </w:pPr>
      <w:bookmarkStart w:id="54" w:name="__RefHeading___Toc4857_3353252975"/>
      <w:bookmarkStart w:id="55" w:name="_Toc236375268"/>
      <w:bookmarkEnd w:id="54"/>
      <w:r>
        <w:rPr/>
        <w:t>6.6 TO DO</w:t>
      </w:r>
      <w:bookmarkEnd w:id="55"/>
    </w:p>
    <w:p>
      <w:pPr>
        <w:pStyle w:val="ListBullet"/>
        <w:numPr>
          <w:ilvl w:val="0"/>
          <w:numId w:val="1"/>
        </w:numPr>
        <w:spacing w:before="0" w:after="50"/>
        <w:ind w:hanging="360" w:left="0"/>
        <w:contextualSpacing/>
        <w:rPr/>
      </w:pPr>
      <w:r>
        <w:rPr>
          <w:rFonts w:eastAsia="Liberation Sans"/>
        </w:rPr>
        <w:t>Ohranjati VERSION.js kot enotni register verzij in dodati podatkovni manifest z datumom osvežitve vsakega vira.</w:t>
      </w:r>
    </w:p>
    <w:p>
      <w:pPr>
        <w:pStyle w:val="ListBullet"/>
        <w:numPr>
          <w:ilvl w:val="0"/>
          <w:numId w:val="1"/>
        </w:numPr>
        <w:spacing w:before="0" w:after="50"/>
        <w:ind w:hanging="360" w:left="0"/>
        <w:contextualSpacing/>
        <w:rPr/>
      </w:pPr>
      <w:r>
        <w:rPr>
          <w:rFonts w:eastAsia="Liberation Sans"/>
        </w:rPr>
        <w:t>Vzpostaviti dnevni model, kjer so dnevno poravnani promet, zasedenost, vreme, dogodki, prazniki in parkirnine.</w:t>
      </w:r>
    </w:p>
    <w:p>
      <w:pPr>
        <w:pStyle w:val="ListBullet"/>
        <w:numPr>
          <w:ilvl w:val="0"/>
          <w:numId w:val="1"/>
        </w:numPr>
        <w:rPr/>
      </w:pPr>
      <w:r>
        <w:rPr/>
        <w:t>Za indeks ločiti dnevni prikaz koledarja od stabilnejšega mesečnega kazalnika: unikaten dogodek, aktivni dnevi, vrsta/velikost in po možnosti agregirana obiskanost; do takrat ohraniti jasno metodološko opozorilo.</w:t>
      </w:r>
    </w:p>
    <w:p>
      <w:pPr>
        <w:pStyle w:val="ListBullet"/>
        <w:numPr>
          <w:ilvl w:val="0"/>
          <w:numId w:val="1"/>
        </w:numPr>
        <w:spacing w:before="0" w:after="50"/>
        <w:ind w:hanging="360" w:left="0"/>
        <w:contextualSpacing/>
        <w:rPr/>
      </w:pPr>
      <w:r>
        <w:rPr>
          <w:rFonts w:eastAsia="Liberation Sans"/>
        </w:rPr>
        <w:t>Dodati več prometnih merilnih mest ter PISO geometrijske sloje cest, pločnikov, omejitev in postajališč, da se zmanjša odvisnost od ene lokacije in omogoči prostorsko preverjanje.</w:t>
      </w:r>
    </w:p>
    <w:p>
      <w:pPr>
        <w:pStyle w:val="ListBullet"/>
        <w:numPr>
          <w:ilvl w:val="0"/>
          <w:numId w:val="1"/>
        </w:numPr>
        <w:spacing w:before="0" w:after="50"/>
        <w:ind w:hanging="360" w:left="0"/>
        <w:contextualSpacing/>
        <w:rPr/>
      </w:pPr>
      <w:r>
        <w:rPr>
          <w:rFonts w:eastAsia="Liberation Sans"/>
        </w:rPr>
        <w:t>Dodati formalno backtesting validacijo: učenje na starejših obdobjih, test na novejših, MAE/RMSE/MAPE in interval napovedi.</w:t>
      </w:r>
    </w:p>
    <w:p>
      <w:pPr>
        <w:pStyle w:val="ListBullet"/>
        <w:numPr>
          <w:ilvl w:val="0"/>
          <w:numId w:val="1"/>
        </w:numPr>
        <w:spacing w:before="0" w:after="50"/>
        <w:ind w:hanging="360" w:left="0"/>
        <w:contextualSpacing/>
        <w:rPr/>
      </w:pPr>
      <w:r>
        <w:rPr>
          <w:rFonts w:eastAsia="Liberation Sans"/>
        </w:rPr>
        <w:t>Prikazati rezultat z in brez interpoliranih podatkov ter občutljivost na posamezne vire.</w:t>
      </w:r>
    </w:p>
    <w:p>
      <w:pPr>
        <w:pStyle w:val="ListBullet"/>
        <w:numPr>
          <w:ilvl w:val="0"/>
          <w:numId w:val="1"/>
        </w:numPr>
        <w:spacing w:before="0" w:after="50"/>
        <w:ind w:hanging="360" w:left="0"/>
        <w:contextualSpacing/>
        <w:rPr/>
      </w:pPr>
      <w:r>
        <w:rPr>
          <w:rFonts w:eastAsia="Liberation Sans"/>
        </w:rPr>
        <w:t>Vključiti cestna dela, zapore, šolski koledar, večje prireditve, nesreče, javni prevoz, kolesarske/pohodne tokove in kakovost zraka.</w:t>
      </w:r>
    </w:p>
    <w:p>
      <w:pPr>
        <w:pStyle w:val="ListBullet"/>
        <w:numPr>
          <w:ilvl w:val="0"/>
          <w:numId w:val="1"/>
        </w:numPr>
        <w:spacing w:before="0" w:after="50"/>
        <w:ind w:hanging="360" w:left="0"/>
        <w:contextualSpacing/>
        <w:rPr/>
      </w:pPr>
      <w:r>
        <w:rPr>
          <w:rFonts w:eastAsia="Liberation Sans"/>
        </w:rPr>
        <w:t>Dodati scenarije spremembe tarif, brezplačne prve ure, dovolilnic, zmogljivosti parkirišč, novega parkirišča in zapore posamezne lokacije.</w:t>
      </w:r>
    </w:p>
    <w:p>
      <w:pPr>
        <w:pStyle w:val="ListBullet"/>
        <w:numPr>
          <w:ilvl w:val="0"/>
          <w:numId w:val="1"/>
        </w:numPr>
        <w:spacing w:before="0" w:after="50"/>
        <w:ind w:hanging="360" w:left="0"/>
        <w:contextualSpacing/>
        <w:rPr/>
      </w:pPr>
      <w:r>
        <w:rPr>
          <w:rFonts w:eastAsia="Liberation Sans"/>
        </w:rPr>
        <w:t>Dodati dnevne EasyPark/HECTRONIC podatke, trajanje parkiranja, tip dovolilnice (1 ali 12 mesecev) in ločeno uporabo brezplačnih parkiranj.</w:t>
      </w:r>
    </w:p>
    <w:p>
      <w:pPr>
        <w:pStyle w:val="ListBullet"/>
        <w:numPr>
          <w:ilvl w:val="0"/>
          <w:numId w:val="1"/>
        </w:numPr>
        <w:spacing w:before="0" w:after="50"/>
        <w:ind w:hanging="360" w:left="0"/>
        <w:contextualSpacing/>
        <w:rPr/>
      </w:pPr>
      <w:r>
        <w:rPr>
          <w:rFonts w:eastAsia="Liberation Sans"/>
        </w:rPr>
        <w:t>Dodati vir in obdobje neposredno ob vsaki razlagi ter omogočiti izvoz uporabljene metodologije.</w:t>
      </w:r>
    </w:p>
    <w:p>
      <w:pPr>
        <w:pStyle w:val="ListBullet"/>
        <w:numPr>
          <w:ilvl w:val="0"/>
          <w:numId w:val="1"/>
        </w:numPr>
        <w:spacing w:before="0" w:after="50"/>
        <w:ind w:hanging="360" w:left="0"/>
        <w:contextualSpacing/>
        <w:rPr/>
      </w:pPr>
      <w:r>
        <w:rPr>
          <w:rFonts w:eastAsia="Liberation Sans"/>
        </w:rPr>
        <w:t>Dodati lokalno kopijo Chart.js ter avtomatiziran test povezav, verzij in delovanja pred objavo.</w:t>
      </w:r>
    </w:p>
    <w:p>
      <w:pPr>
        <w:pStyle w:val="Heading1"/>
        <w:rPr/>
      </w:pPr>
      <w:bookmarkStart w:id="56" w:name="__RefHeading___Toc4859_3353252975"/>
      <w:bookmarkStart w:id="57" w:name="_Toc236375269"/>
      <w:bookmarkEnd w:id="56"/>
      <w:r>
        <w:rPr/>
        <w:t>7. Aplikacija: Prometni utrip Tržiča – javni prikaz</w:t>
      </w:r>
      <w:bookmarkEnd w:id="57"/>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Trenutna verzija</w:t>
            </w:r>
            <w:r>
              <w:rPr/>
              <w:br/>
              <w:t>v1.6 v source package v1.9.1. Namenjena je občanom in hitremu javnemu razumevanju, ne podrobni analitiki.</w:t>
            </w:r>
          </w:p>
        </w:tc>
      </w:tr>
    </w:tbl>
    <w:p>
      <w:pPr>
        <w:pStyle w:val="Normal"/>
        <w:spacing w:before="0" w:after="0"/>
        <w:rPr/>
      </w:pPr>
      <w:r>
        <w:rPr/>
      </w:r>
    </w:p>
    <w:p>
      <w:pPr>
        <w:pStyle w:val="Heading2"/>
        <w:rPr/>
      </w:pPr>
      <w:bookmarkStart w:id="58" w:name="__RefHeading___Toc4861_3353252975"/>
      <w:bookmarkStart w:id="59" w:name="_Toc236375270"/>
      <w:bookmarkEnd w:id="58"/>
      <w:r>
        <w:rPr/>
        <w:t>7.1 Namen in cilj</w:t>
      </w:r>
      <w:bookmarkEnd w:id="59"/>
    </w:p>
    <w:p>
      <w:pPr>
        <w:pStyle w:val="Normal"/>
        <w:rPr/>
      </w:pPr>
      <w:r>
        <w:rPr>
          <w:rFonts w:eastAsia="Liberation Sans"/>
        </w:rPr>
        <w:t>Namen javne aplikacije je brez analitičnega žargona prikazati osnovne prometne tokove, zasedenost parkirišč, hitrost in razlike med vrstami dni. Cilj je, da uporabnik v nekaj minutah razume, kaj podatki opisujejo in česa ne.</w:t>
      </w:r>
    </w:p>
    <w:p>
      <w:pPr>
        <w:pStyle w:val="Heading2"/>
        <w:rPr/>
      </w:pPr>
      <w:bookmarkStart w:id="60" w:name="__RefHeading___Toc4863_3353252975"/>
      <w:bookmarkStart w:id="61" w:name="_Toc236375271"/>
      <w:bookmarkEnd w:id="60"/>
      <w:r>
        <w:rPr/>
        <w:t>7.2 NAREJENO</w:t>
      </w:r>
      <w:bookmarkEnd w:id="61"/>
    </w:p>
    <w:p>
      <w:pPr>
        <w:pStyle w:val="ListBullet"/>
        <w:numPr>
          <w:ilvl w:val="0"/>
          <w:numId w:val="1"/>
        </w:numPr>
        <w:spacing w:before="0" w:after="50"/>
        <w:ind w:hanging="360" w:left="0"/>
        <w:contextualSpacing/>
        <w:rPr/>
      </w:pPr>
      <w:r>
        <w:rPr>
          <w:rFonts w:eastAsia="Liberation Sans"/>
        </w:rPr>
        <w:t>Izbira dejansko razpoložljivega obdobja in pravilno osveževanje vseh prometnih prikazov.</w:t>
      </w:r>
    </w:p>
    <w:p>
      <w:pPr>
        <w:pStyle w:val="ListBullet"/>
        <w:numPr>
          <w:ilvl w:val="0"/>
          <w:numId w:val="1"/>
        </w:numPr>
        <w:spacing w:before="0" w:after="50"/>
        <w:ind w:hanging="360" w:left="0"/>
        <w:contextualSpacing/>
        <w:rPr/>
      </w:pPr>
      <w:r>
        <w:rPr>
          <w:rFonts w:eastAsia="Liberation Sans"/>
        </w:rPr>
        <w:t>Povprečni dnevni promet CABLEX za izbrano obdobje.</w:t>
      </w:r>
    </w:p>
    <w:p>
      <w:pPr>
        <w:pStyle w:val="ListBullet"/>
        <w:numPr>
          <w:ilvl w:val="0"/>
          <w:numId w:val="1"/>
        </w:numPr>
        <w:spacing w:before="0" w:after="50"/>
        <w:ind w:hanging="360" w:left="0"/>
        <w:contextualSpacing/>
        <w:rPr/>
      </w:pPr>
      <w:r>
        <w:rPr>
          <w:rFonts w:eastAsia="Liberation Sans"/>
        </w:rPr>
        <w:t>Sezonska zasedenost vseh spremljanih parkirišč.</w:t>
      </w:r>
    </w:p>
    <w:p>
      <w:pPr>
        <w:pStyle w:val="ListBullet"/>
        <w:numPr>
          <w:ilvl w:val="0"/>
          <w:numId w:val="1"/>
        </w:numPr>
        <w:spacing w:before="0" w:after="50"/>
        <w:ind w:hanging="360" w:left="0"/>
        <w:contextualSpacing/>
        <w:rPr/>
      </w:pPr>
      <w:r>
        <w:rPr>
          <w:rFonts w:eastAsia="Liberation Sans"/>
        </w:rPr>
        <w:t>Enoletni 3-urni profil posameznega parkirišča z največjo, najmanjšo in povprečno zasedenostjo.</w:t>
      </w:r>
    </w:p>
    <w:p>
      <w:pPr>
        <w:pStyle w:val="ListBullet"/>
        <w:numPr>
          <w:ilvl w:val="0"/>
          <w:numId w:val="1"/>
        </w:numPr>
        <w:spacing w:before="0" w:after="50"/>
        <w:ind w:hanging="360" w:left="0"/>
        <w:contextualSpacing/>
        <w:rPr/>
      </w:pPr>
      <w:r>
        <w:rPr>
          <w:rFonts w:eastAsia="Liberation Sans"/>
        </w:rPr>
        <w:t>Povprečne hitrosti po kategorijah vozil in primerjava z omejitvijo 40 km/h.</w:t>
      </w:r>
    </w:p>
    <w:p>
      <w:pPr>
        <w:pStyle w:val="ListBullet"/>
        <w:numPr>
          <w:ilvl w:val="0"/>
          <w:numId w:val="1"/>
        </w:numPr>
        <w:spacing w:before="0" w:after="50"/>
        <w:ind w:hanging="360" w:left="0"/>
        <w:contextualSpacing/>
        <w:rPr/>
      </w:pPr>
      <w:r>
        <w:rPr>
          <w:rFonts w:eastAsia="Liberation Sans"/>
        </w:rPr>
        <w:t>Primerjava smeri V lokacijo in IZ lokacije ter pripadajočih hitrosti.</w:t>
      </w:r>
    </w:p>
    <w:p>
      <w:pPr>
        <w:pStyle w:val="ListBullet"/>
        <w:numPr>
          <w:ilvl w:val="0"/>
          <w:numId w:val="1"/>
        </w:numPr>
        <w:spacing w:before="0" w:after="50"/>
        <w:ind w:hanging="360" w:left="0"/>
        <w:contextualSpacing/>
        <w:rPr/>
      </w:pPr>
      <w:r>
        <w:rPr>
          <w:rFonts w:eastAsia="Liberation Sans"/>
        </w:rPr>
        <w:t>Primerjava delavnikov, vikendov in praznikov ter sestava vozil za izbrano obdobje.</w:t>
      </w:r>
    </w:p>
    <w:p>
      <w:pPr>
        <w:pStyle w:val="ListBullet"/>
        <w:numPr>
          <w:ilvl w:val="0"/>
          <w:numId w:val="1"/>
        </w:numPr>
        <w:spacing w:before="0" w:after="50"/>
        <w:ind w:hanging="360" w:left="0"/>
        <w:contextualSpacing/>
        <w:rPr/>
      </w:pPr>
      <w:r>
        <w:rPr>
          <w:rFonts w:eastAsia="Liberation Sans"/>
        </w:rPr>
        <w:t>Jasno pojasnilo, da gre za povprečne vzorce in eno lokacijo, ne trenutno stanje celotne občine.</w:t>
      </w:r>
    </w:p>
    <w:p>
      <w:pPr>
        <w:pStyle w:val="Heading2"/>
        <w:rPr/>
      </w:pPr>
      <w:bookmarkStart w:id="62" w:name="__RefHeading___Toc4865_3353252975"/>
      <w:bookmarkStart w:id="63" w:name="_Toc236375272"/>
      <w:bookmarkEnd w:id="62"/>
      <w:r>
        <w:rPr/>
        <w:t>7.3 Podatkovni viri in metodologija</w:t>
      </w:r>
      <w:bookmarkEnd w:id="63"/>
    </w:p>
    <w:p>
      <w:pPr>
        <w:pStyle w:val="Normal"/>
        <w:rPr/>
      </w:pPr>
      <w:r>
        <w:rPr>
          <w:rFonts w:eastAsia="Liberation Sans"/>
        </w:rPr>
        <w:t>Javni prikaz uporablja zmanjšan nabor istih lokalnih podatkov kot analitična aplikacija: dnevni promet CABLEX, praznike, hitrosti, smeri, mesečno zasedenost in enoletni 3-urni profil parkirišč. Povprečja se izračunajo za izbrano obdobje; prazniki imajo prednost pred klasifikacijo delavnik/vikend. Sezonske vrednosti so povprečja vseh razpoložljivih mesecev in parkirišč.</w:t>
      </w:r>
    </w:p>
    <w:p>
      <w:pPr>
        <w:pStyle w:val="Heading2"/>
        <w:rPr/>
      </w:pPr>
      <w:bookmarkStart w:id="64" w:name="__RefHeading___Toc4867_3353252975"/>
      <w:bookmarkStart w:id="65" w:name="_Toc236375273"/>
      <w:bookmarkEnd w:id="64"/>
      <w:r>
        <w:rPr/>
        <w:t>7.4 TO DO in priporočene izboljšave</w:t>
      </w:r>
      <w:bookmarkEnd w:id="65"/>
    </w:p>
    <w:p>
      <w:pPr>
        <w:pStyle w:val="ListBullet"/>
        <w:numPr>
          <w:ilvl w:val="0"/>
          <w:numId w:val="1"/>
        </w:numPr>
        <w:spacing w:before="0" w:after="50"/>
        <w:ind w:hanging="360" w:left="0"/>
        <w:contextualSpacing/>
        <w:rPr/>
      </w:pPr>
      <w:r>
        <w:rPr>
          <w:rFonts w:eastAsia="Liberation Sans"/>
        </w:rPr>
        <w:t>Dodati vidno oznako datuma zadnje osvežitve in pokritosti vsakega prikaza.</w:t>
      </w:r>
    </w:p>
    <w:p>
      <w:pPr>
        <w:pStyle w:val="ListBullet"/>
        <w:numPr>
          <w:ilvl w:val="0"/>
          <w:numId w:val="1"/>
        </w:numPr>
        <w:spacing w:before="0" w:after="50"/>
        <w:ind w:hanging="360" w:left="0"/>
        <w:contextualSpacing/>
        <w:rPr/>
      </w:pPr>
      <w:r>
        <w:rPr>
          <w:rFonts w:eastAsia="Liberation Sans"/>
        </w:rPr>
        <w:t>Dodati enostavno karto lokacij in razlago merilnega območja.</w:t>
      </w:r>
    </w:p>
    <w:p>
      <w:pPr>
        <w:pStyle w:val="ListBullet"/>
        <w:numPr>
          <w:ilvl w:val="0"/>
          <w:numId w:val="1"/>
        </w:numPr>
        <w:spacing w:before="0" w:after="50"/>
        <w:ind w:hanging="360" w:left="0"/>
        <w:contextualSpacing/>
        <w:rPr/>
      </w:pPr>
      <w:r>
        <w:rPr>
          <w:rFonts w:eastAsia="Liberation Sans"/>
        </w:rPr>
        <w:t>Dodati primerjavo izbranega leta s prejšnjim primerljivim letom, ob upoštevanju nepopolnih let.</w:t>
      </w:r>
    </w:p>
    <w:p>
      <w:pPr>
        <w:pStyle w:val="ListBullet"/>
        <w:numPr>
          <w:ilvl w:val="0"/>
          <w:numId w:val="1"/>
        </w:numPr>
        <w:spacing w:before="0" w:after="50"/>
        <w:ind w:hanging="360" w:left="0"/>
        <w:contextualSpacing/>
        <w:rPr/>
      </w:pPr>
      <w:r>
        <w:rPr>
          <w:rFonts w:eastAsia="Liberation Sans"/>
        </w:rPr>
        <w:t>Dodati prikaz deleža ocenjenih podatkov in možnost izključitve interpoliranih obdobij.</w:t>
      </w:r>
    </w:p>
    <w:p>
      <w:pPr>
        <w:pStyle w:val="ListBullet"/>
        <w:numPr>
          <w:ilvl w:val="0"/>
          <w:numId w:val="1"/>
        </w:numPr>
        <w:spacing w:before="0" w:after="50"/>
        <w:ind w:hanging="360" w:left="0"/>
        <w:contextualSpacing/>
        <w:rPr/>
      </w:pPr>
      <w:r>
        <w:rPr>
          <w:rFonts w:eastAsia="Liberation Sans"/>
        </w:rPr>
        <w:t>Dodati javno stran »Metodologija in viri« ter povezavo na krovni dokument.</w:t>
      </w:r>
    </w:p>
    <w:p>
      <w:pPr>
        <w:pStyle w:val="ListBullet"/>
        <w:numPr>
          <w:ilvl w:val="0"/>
          <w:numId w:val="1"/>
        </w:numPr>
        <w:spacing w:before="0" w:after="50"/>
        <w:ind w:hanging="360" w:left="0"/>
        <w:contextualSpacing/>
        <w:rPr/>
      </w:pPr>
      <w:r>
        <w:rPr>
          <w:rFonts w:eastAsia="Liberation Sans"/>
        </w:rPr>
        <w:t>Dodati dostopnost: tipkovnica, kontrasti, nadomestna besedila, test na mobilnih napravah.</w:t>
      </w:r>
    </w:p>
    <w:p>
      <w:pPr>
        <w:pStyle w:val="ListBullet"/>
        <w:numPr>
          <w:ilvl w:val="0"/>
          <w:numId w:val="1"/>
        </w:numPr>
        <w:spacing w:before="0" w:after="50"/>
        <w:ind w:hanging="360" w:left="0"/>
        <w:contextualSpacing/>
        <w:rPr/>
      </w:pPr>
      <w:r>
        <w:rPr>
          <w:rFonts w:eastAsia="Liberation Sans"/>
        </w:rPr>
        <w:t>Pozneje dodati aktualno stanje samo, če bo vir res dovolj svež, stabilen in jasno označen kot trenutno stanje.</w:t>
      </w:r>
    </w:p>
    <w:p>
      <w:pPr>
        <w:pStyle w:val="Normal"/>
        <w:rPr/>
      </w:pPr>
      <w:r>
        <w:rPr/>
      </w:r>
      <w:r>
        <w:br w:type="page"/>
      </w:r>
    </w:p>
    <w:p>
      <w:pPr>
        <w:pStyle w:val="Heading1"/>
        <w:spacing w:before="0" w:after="140"/>
        <w:rPr/>
      </w:pPr>
      <w:bookmarkStart w:id="66" w:name="__RefHeading___Toc4869_3353252975"/>
      <w:bookmarkStart w:id="67" w:name="_Toc236375274"/>
      <w:bookmarkEnd w:id="66"/>
      <w:r>
        <w:rPr/>
        <w:t>8. Aplikacija: Turistični utrip Tržiča</w:t>
      </w:r>
      <w:bookmarkEnd w:id="67"/>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b/>
              </w:rPr>
              <w:t>Trenutna verzija</w:t>
            </w:r>
            <w:r>
              <w:rPr/>
              <w:br/>
              <w:t>v0.4 v source package v1.9.1. Turistične evidence: januar 2018–junij 2026. GA4: 25. 5.–24. 7. 2026; maj in julij sta delna, junij 2026 pa je edini polni skupni mesec s turističnimi podatki.</w:t>
            </w:r>
          </w:p>
        </w:tc>
      </w:tr>
    </w:tbl>
    <w:p>
      <w:pPr>
        <w:pStyle w:val="Normal"/>
        <w:spacing w:before="0" w:after="0"/>
        <w:rPr/>
      </w:pPr>
      <w:r>
        <w:rPr/>
      </w:r>
    </w:p>
    <w:p>
      <w:pPr>
        <w:pStyle w:val="Heading2"/>
        <w:rPr/>
      </w:pPr>
      <w:bookmarkStart w:id="68" w:name="__RefHeading___Toc4871_3353252975"/>
      <w:bookmarkStart w:id="69" w:name="_Toc236375275"/>
      <w:bookmarkEnd w:id="68"/>
      <w:r>
        <w:rPr/>
        <w:t>8.1 Namen in cilj</w:t>
      </w:r>
      <w:bookmarkEnd w:id="69"/>
    </w:p>
    <w:p>
      <w:pPr>
        <w:pStyle w:val="Normal"/>
        <w:rPr/>
      </w:pPr>
      <w:r>
        <w:rPr/>
        <w:t>Namen je razumljiv pregled gostov, nočitev, turistične takse, turističnih trgov in nastanitvenih zmogljivosti ter previdna primerjava spletnega zanimanja na visit-trzic.com z evidentiranim turističnim obiskom. Cilj je podpreti razpravo o podaljševanju sezone, strukturi trgov, povprečni dolžini bivanja, realnih posledicah spremembe števila ležišč in o tem, ali se digitalni interes časovno ter tržno ujema s turističnimi evidencami. Spletna seja ni fizični obisk in primerjava ni merjenje konverzije posameznega uporabnika v gosta.</w:t>
      </w:r>
    </w:p>
    <w:p>
      <w:pPr>
        <w:pStyle w:val="Heading2"/>
        <w:rPr/>
      </w:pPr>
      <w:bookmarkStart w:id="70" w:name="__RefHeading___Toc4873_3353252975"/>
      <w:bookmarkStart w:id="71" w:name="_Toc236375276"/>
      <w:bookmarkEnd w:id="70"/>
      <w:r>
        <w:rPr/>
        <w:t>8.2 NAREJENO</w:t>
      </w:r>
      <w:bookmarkEnd w:id="71"/>
    </w:p>
    <w:p>
      <w:pPr>
        <w:pStyle w:val="ListBullet"/>
        <w:numPr>
          <w:ilvl w:val="0"/>
          <w:numId w:val="1"/>
        </w:numPr>
        <w:spacing w:before="0" w:after="50"/>
        <w:ind w:hanging="360" w:left="0"/>
        <w:contextualSpacing/>
        <w:rPr/>
      </w:pPr>
      <w:r>
        <w:rPr>
          <w:rFonts w:eastAsia="Liberation Sans"/>
        </w:rPr>
        <w:t>Izbira leta ali celotnega obdobja in jasno prikazano obdobje analize.</w:t>
      </w:r>
    </w:p>
    <w:p>
      <w:pPr>
        <w:pStyle w:val="ListBullet"/>
        <w:numPr>
          <w:ilvl w:val="0"/>
          <w:numId w:val="1"/>
        </w:numPr>
        <w:spacing w:before="0" w:after="50"/>
        <w:ind w:hanging="360" w:left="0"/>
        <w:contextualSpacing/>
        <w:rPr/>
      </w:pPr>
      <w:r>
        <w:rPr>
          <w:rFonts w:eastAsia="Liberation Sans"/>
        </w:rPr>
        <w:t>Uvodni KPI-ji: gostje, nočitve, dolžina bivanja, zasedenost, razpoložljiva ležišča in turistična taksa.</w:t>
      </w:r>
    </w:p>
    <w:p>
      <w:pPr>
        <w:pStyle w:val="ListBullet"/>
        <w:numPr>
          <w:ilvl w:val="0"/>
          <w:numId w:val="1"/>
        </w:numPr>
        <w:spacing w:before="0" w:after="50"/>
        <w:ind w:hanging="360" w:left="0"/>
        <w:contextualSpacing/>
        <w:rPr/>
      </w:pPr>
      <w:r>
        <w:rPr>
          <w:rFonts w:eastAsia="Liberation Sans"/>
        </w:rPr>
        <w:t>Mesečna profila gostov in nočitev.</w:t>
      </w:r>
    </w:p>
    <w:p>
      <w:pPr>
        <w:pStyle w:val="ListBullet"/>
        <w:numPr>
          <w:ilvl w:val="0"/>
          <w:numId w:val="1"/>
        </w:numPr>
        <w:spacing w:before="0" w:after="50"/>
        <w:ind w:hanging="360" w:left="0"/>
        <w:contextualSpacing/>
        <w:rPr/>
      </w:pPr>
      <w:r>
        <w:rPr>
          <w:rFonts w:eastAsia="Liberation Sans"/>
        </w:rPr>
        <w:t>Analiza trgov, ki ustvarjajo največ nočitev izven glavne poletne sezone (september–maj).</w:t>
      </w:r>
    </w:p>
    <w:p>
      <w:pPr>
        <w:pStyle w:val="ListBullet"/>
        <w:numPr>
          <w:ilvl w:val="0"/>
          <w:numId w:val="1"/>
        </w:numPr>
        <w:spacing w:before="0" w:after="50"/>
        <w:ind w:hanging="360" w:left="0"/>
        <w:contextualSpacing/>
        <w:rPr/>
      </w:pPr>
      <w:r>
        <w:rPr>
          <w:rFonts w:eastAsia="Liberation Sans"/>
        </w:rPr>
        <w:t>Top 10 trgov z nočitvami, gosti, deležem izven sezone in povprečnim bivanjem.</w:t>
      </w:r>
    </w:p>
    <w:p>
      <w:pPr>
        <w:pStyle w:val="ListBullet"/>
        <w:numPr>
          <w:ilvl w:val="0"/>
          <w:numId w:val="1"/>
        </w:numPr>
        <w:spacing w:before="0" w:after="50"/>
        <w:ind w:hanging="360" w:left="0"/>
        <w:contextualSpacing/>
        <w:rPr/>
      </w:pPr>
      <w:r>
        <w:rPr>
          <w:rFonts w:eastAsia="Liberation Sans"/>
        </w:rPr>
        <w:t>Analiza slovenskih gostov po mesecih; pri celotnem obdobju se uporabi povprečje posameznega meseca po letih, da delno leto 2026 ne izkrivi profila.</w:t>
      </w:r>
    </w:p>
    <w:p>
      <w:pPr>
        <w:pStyle w:val="ListBullet"/>
        <w:numPr>
          <w:ilvl w:val="0"/>
          <w:numId w:val="1"/>
        </w:numPr>
        <w:spacing w:before="0" w:after="50"/>
        <w:ind w:hanging="360" w:left="0"/>
        <w:contextualSpacing/>
        <w:rPr/>
      </w:pPr>
      <w:r>
        <w:rPr>
          <w:rFonts w:eastAsia="Liberation Sans"/>
        </w:rPr>
        <w:t>Konservativen kapacitetni scenarij spremembe ležišč za −100, −50, −20, +20, +50 ali +100.</w:t>
      </w:r>
    </w:p>
    <w:p>
      <w:pPr>
        <w:pStyle w:val="ListBullet"/>
        <w:numPr>
          <w:ilvl w:val="0"/>
          <w:numId w:val="1"/>
        </w:numPr>
        <w:spacing w:before="0" w:after="50"/>
        <w:ind w:hanging="360" w:left="0"/>
        <w:contextualSpacing/>
        <w:rPr/>
      </w:pPr>
      <w:r>
        <w:rPr>
          <w:rFonts w:eastAsia="Liberation Sans"/>
        </w:rPr>
        <w:t>Ločene lokalne podatkovne datoteke in delovanje brez zunanjih grafičnih knjižnic.</w:t>
      </w:r>
    </w:p>
    <w:p>
      <w:pPr>
        <w:pStyle w:val="ListBullet"/>
        <w:numPr>
          <w:ilvl w:val="0"/>
          <w:numId w:val="1"/>
        </w:numPr>
        <w:spacing w:before="0" w:after="50"/>
        <w:ind w:hanging="360" w:left="0"/>
        <w:contextualSpacing/>
        <w:rPr/>
      </w:pPr>
      <w:r>
        <w:rPr>
          <w:rFonts w:eastAsia="Liberation Sans"/>
        </w:rPr>
        <w:t>Negativen izvorni zapis Italija 11/2022 (−136 nočitev) je ohranjen zaradi sledljivosti, iz agregatov pa izločen.</w:t>
      </w:r>
    </w:p>
    <w:p>
      <w:pPr>
        <w:pStyle w:val="ListBullet"/>
        <w:numPr>
          <w:ilvl w:val="0"/>
          <w:numId w:val="1"/>
        </w:numPr>
        <w:rPr/>
      </w:pPr>
      <w:r>
        <w:rPr/>
        <w:t>Dodani so agregirani podatki Google Analytics 4 za visit-trzic.com za obdobje 25. 5.–24. 7. 2026. Šest izvornih CSV-jev je ohranjenih v data-source/google-analytics, normaliziran rezultat pa v data-js/visit-trzic-ga4.js; podatki ne vsebujejo osebnih identifikatorjev.</w:t>
      </w:r>
    </w:p>
    <w:p>
      <w:pPr>
        <w:pStyle w:val="ListBullet"/>
        <w:numPr>
          <w:ilvl w:val="0"/>
          <w:numId w:val="1"/>
        </w:numPr>
        <w:rPr/>
      </w:pPr>
      <w:r>
        <w:rPr/>
        <w:t>Namesto ločenega obsežnega GA4 nadzornega prikaza je v v0.4 ohranjen osredotočen sklop: spletne seje se po skupnih mesecih primerjajo z gosti in nočitvami, vsak mesec pa je označen kot poln ali delen. Junij 2026 je trenutno edini polni skupni mesec.</w:t>
      </w:r>
    </w:p>
    <w:p>
      <w:pPr>
        <w:pStyle w:val="ListBullet"/>
        <w:numPr>
          <w:ilvl w:val="0"/>
          <w:numId w:val="1"/>
        </w:numPr>
        <w:rPr/>
      </w:pPr>
      <w:r>
        <w:rPr/>
        <w:t>Dodana je primerjava spletnih držav z dejanskimi turističnimi trgi za zadnji polni skupni mesec. Imena držav so normalizirana, prekrivanje trgov pa je signal za spremljanje, ne dokaz konverzije.</w:t>
      </w:r>
    </w:p>
    <w:p>
      <w:pPr>
        <w:pStyle w:val="ListBullet"/>
        <w:numPr>
          <w:ilvl w:val="0"/>
          <w:numId w:val="1"/>
        </w:numPr>
        <w:rPr/>
      </w:pPr>
      <w:r>
        <w:rPr/>
        <w:t>Pripravljeni sta analiza časovnega zamika 0–3 mesece s Pearsonovo korelacijo in primerjava spletne ter turistične sezonskosti. Izračuna se aktivirata pri najmanj 12 polnih skupnih mesecih; za stabilnejšo oceno je priporočljivih 24.</w:t>
      </w:r>
    </w:p>
    <w:p>
      <w:pPr>
        <w:pStyle w:val="ListBullet"/>
        <w:numPr>
          <w:ilvl w:val="0"/>
          <w:numId w:val="1"/>
        </w:numPr>
        <w:rPr/>
      </w:pPr>
      <w:r>
        <w:rPr/>
        <w:t>Aplikacija zazna, da trenutni izvoz ne omogoča analize vsebin po državah, ker sta Country in Page path v ločenih izvozih. Manjkajočih povezav ne ustvarja po občutku, ampak zahteva skupni izvoz.</w:t>
      </w:r>
    </w:p>
    <w:p>
      <w:pPr>
        <w:pStyle w:val="ListBullet"/>
        <w:numPr>
          <w:ilvl w:val="0"/>
          <w:numId w:val="1"/>
        </w:numPr>
        <w:rPr/>
      </w:pPr>
      <w:r>
        <w:rPr/>
        <w:t>Dodana so opozorila, da spletna seja ni fizični obisk, del uporabnikov zaradi piškotkov in blokatorjev ni zajet, mesečnih aktivnih uporabnikov ni dovoljeno seštevati kot enolične uporabnike obdobja, trenutni izvoz pa nima evidentiranih ključnih dogodkov.</w:t>
      </w:r>
    </w:p>
    <w:p>
      <w:pPr>
        <w:pStyle w:val="Heading2"/>
        <w:rPr/>
      </w:pPr>
      <w:bookmarkStart w:id="72" w:name="__RefHeading___Toc4875_3353252975"/>
      <w:bookmarkStart w:id="73" w:name="_Toc236375277"/>
      <w:bookmarkEnd w:id="72"/>
      <w:r>
        <w:rPr/>
        <w:t>8.3 Podatkovni viri in metodologija</w:t>
      </w:r>
      <w:bookmarkEnd w:id="73"/>
    </w:p>
    <w:tbl>
      <w:tblPr>
        <w:tblStyle w:val="Tabelamrea"/>
        <w:tblW w:w="11044"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2498"/>
        <w:gridCol w:w="2880"/>
        <w:gridCol w:w="3167"/>
        <w:gridCol w:w="2498"/>
      </w:tblGrid>
      <w:tr>
        <w:trPr>
          <w:tblHeader w:val="true"/>
          <w:cantSplit w:val="true"/>
        </w:trPr>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Sklop</w:t>
            </w:r>
          </w:p>
        </w:tc>
        <w:tc>
          <w:tcPr>
            <w:tcW w:w="288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Vir / obdobje</w:t>
            </w:r>
          </w:p>
        </w:tc>
        <w:tc>
          <w:tcPr>
            <w:tcW w:w="316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Metodologija</w:t>
            </w:r>
          </w:p>
        </w:tc>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Omejitev</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Osnovni kazalniki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aplikacija obveznega poročanja o turističnih taksah; 2018–6/2026</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mesečni in letni seštevki gostov, nočitev in takse</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ne zajema dnevnih obiskovalcev</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Turistični trgi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Kibana/Elasticsearch turisticne_takse; 64 trgov</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razvrstitev po nočitvah september–maj in mesečni profil slovenskih gostov</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kakovost je odvisna od pravilne države in prijave gosta</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Nastanitvene zmogljivosti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Kibana/Elasticsearch; mesečno 2018–6/2026</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ležišča = posteljne noči / dnevi; zasedenost = nočitve / posteljne noči</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mesečna zmogljivost se spreminja; ni podatka o kakovosti, ceni ali odprtosti ponudnika</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Google Analytics 4</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visit-trzic.com; 25. 5.–24. 7. 2026; 6 CSV-jev + normaliziran JS</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seje, angažirane seje, uporabniki, ogledi, strani, vstopne strani, viri, države in dogodki; v aplikaciji predvsem seje in države</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maj in julij sta delna; samo junij je poln skupni mesec; zavrnitve piškotkov in blokatorji zmanjšujejo zajem; ključni dogodki = 0</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Primerjava splet–turizem</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skupni meseci GA4 in turističnih evidenc</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mesečna in državna primerjava; zamik 0–3 mesece in sezonskost se aktivirata pri najmanj 12 polnih mesecih</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ni individualne povezave med spletno sejo in gostom; korelacija ni vzročnost; za stabilnejšo oceno je priporočljivih 24 mesecev</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Scenarij ležišč</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izveden iz mesečne kapacitete</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več ležišč ne ustvari povpraševanja; manj ležišč zmanjša nočitve šele ob preseženi kapaciteti</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before="0" w:after="110"/>
              <w:jc w:val="left"/>
              <w:rPr>
                <w:rFonts w:eastAsia="ＭＳ 明朝" w:cs=""/>
                <w:kern w:val="0"/>
                <w:szCs w:val="22"/>
                <w:lang w:val="en-US" w:eastAsia="en-US" w:bidi="ar-SA"/>
              </w:rPr>
            </w:pPr>
            <w:r>
              <w:rPr>
                <w:rFonts w:eastAsia="ＭＳ 明朝" w:cs=""/>
                <w:kern w:val="0"/>
                <w:szCs w:val="22"/>
                <w:lang w:val="en-US" w:eastAsia="en-US" w:bidi="ar-SA"/>
              </w:rPr>
              <w:t>ne modelira cen, investicij, marketinga ali odziva trga</w:t>
            </w:r>
          </w:p>
        </w:tc>
      </w:tr>
    </w:tbl>
    <w:p>
      <w:pPr>
        <w:pStyle w:val="Normal"/>
        <w:spacing w:before="0" w:after="0"/>
        <w:rPr/>
      </w:pPr>
      <w:r>
        <w:rPr/>
      </w:r>
    </w:p>
    <w:p>
      <w:pPr>
        <w:pStyle w:val="Heading2"/>
        <w:rPr/>
      </w:pPr>
      <w:bookmarkStart w:id="74" w:name="__RefHeading___Toc4877_3353252975"/>
      <w:bookmarkStart w:id="75" w:name="_Toc236375278"/>
      <w:bookmarkEnd w:id="74"/>
      <w:r>
        <w:rPr/>
        <w:t>8.4 TO DO</w:t>
      </w:r>
      <w:bookmarkEnd w:id="75"/>
    </w:p>
    <w:p>
      <w:pPr>
        <w:pStyle w:val="ListBullet"/>
        <w:numPr>
          <w:ilvl w:val="0"/>
          <w:numId w:val="1"/>
        </w:numPr>
        <w:spacing w:before="0" w:after="50"/>
        <w:ind w:hanging="360" w:left="0"/>
        <w:contextualSpacing/>
        <w:rPr/>
      </w:pPr>
      <w:r>
        <w:rPr/>
        <w:t>Zbrati najmanj 12 polnih skupnih mesecev GA4 in turističnih evidenc, za stabilnejšo analizo pa 24; hkrati vzpostaviti redno osveževanje šestih izvozov, hranjenje izvornih CSV-jev in posodobitev normalizirane datoteke.</w:t>
      </w:r>
    </w:p>
    <w:p>
      <w:pPr>
        <w:pStyle w:val="ListBullet"/>
        <w:numPr>
          <w:ilvl w:val="0"/>
          <w:numId w:val="1"/>
        </w:numPr>
        <w:spacing w:before="0" w:after="50"/>
        <w:ind w:hanging="360" w:left="0"/>
        <w:contextualSpacing/>
        <w:rPr/>
      </w:pPr>
      <w:r>
        <w:rPr/>
        <w:t>Pripraviti GA4 izvoz z dimenzijami Year, Month, Country, Page path in Page title ter metriko Views oziroma Sessions, da bo mogoče pravilno analizirati vsebinske interese posameznih trgov.</w:t>
      </w:r>
    </w:p>
    <w:p>
      <w:pPr>
        <w:pStyle w:val="ListBullet"/>
        <w:numPr>
          <w:ilvl w:val="0"/>
          <w:numId w:val="1"/>
        </w:numPr>
        <w:spacing w:before="0" w:after="50"/>
        <w:ind w:hanging="360" w:left="0"/>
        <w:contextualSpacing/>
        <w:rPr/>
      </w:pPr>
      <w:r>
        <w:rPr/>
        <w:t>V GA4 nastaviti ključne dogodke, kot so klik na rezervacijo ali ponudnika, prenos brošure, kontakt in navigacija, ter dodati UTM kampanje, podrobnejši source/medium, Search Console in interna iskanja. Trenutni izvoz ima 0 ključnih dogodkov.</w:t>
      </w:r>
    </w:p>
    <w:p>
      <w:pPr>
        <w:pStyle w:val="ListBullet"/>
        <w:numPr>
          <w:ilvl w:val="0"/>
          <w:numId w:val="1"/>
        </w:numPr>
        <w:spacing w:before="0" w:after="50"/>
        <w:ind w:hanging="360" w:left="0"/>
        <w:contextualSpacing/>
        <w:rPr/>
      </w:pPr>
      <w:r>
        <w:rPr/>
        <w:t>Dodati dnevne obiskovalce prek števcev znamenitosti, parkirišč, mobilnostnih agregatov, vstopnic ali anket, ker turistična taksa zajema samo prijavljene prenočitve.</w:t>
      </w:r>
    </w:p>
    <w:p>
      <w:pPr>
        <w:pStyle w:val="ListBullet"/>
        <w:numPr>
          <w:ilvl w:val="0"/>
          <w:numId w:val="1"/>
        </w:numPr>
        <w:spacing w:before="0" w:after="50"/>
        <w:ind w:hanging="360" w:left="0"/>
        <w:contextualSpacing/>
        <w:rPr/>
      </w:pPr>
      <w:r>
        <w:rPr/>
        <w:t>Dodati kategorijo in lokacijo nastanitve, odprtost po mesecih, cene/ADR, odpovedi in kanal rezervacije, kadar so podatki zakonito in agregirano dostopni.</w:t>
      </w:r>
    </w:p>
    <w:p>
      <w:pPr>
        <w:pStyle w:val="ListBullet"/>
        <w:numPr>
          <w:ilvl w:val="0"/>
          <w:numId w:val="1"/>
        </w:numPr>
        <w:spacing w:before="0" w:after="50"/>
        <w:ind w:hanging="360" w:left="0"/>
        <w:contextualSpacing/>
        <w:rPr/>
      </w:pPr>
      <w:r>
        <w:rPr/>
        <w:t>Povezati daljši spletni niz z dogodki, vremenom, prazniki, prometom, parkiranjem in obiskom atrakcij; šele nato pripravljati validirane modele kampanj, konverzij ali napovedi z backtestingom.</w:t>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5F0"/>
              <w:left w:val="single" w:sz="16" w:space="0" w:color="2A7A5F"/>
              <w:bottom w:val="single" w:sz="2" w:space="0" w:color="EAF5F0"/>
              <w:right w:val="single" w:sz="2" w:space="0" w:color="EAF5F0"/>
            </w:tcBorders>
            <w:shd w:color="auto" w:fill="EAF5F0" w:val="clear"/>
          </w:tcPr>
          <w:p>
            <w:pPr>
              <w:pStyle w:val="Callout"/>
              <w:rPr/>
            </w:pPr>
            <w:r>
              <w:rPr>
                <w:b/>
              </w:rPr>
              <w:t>Kaj najbolj manjka za boljši turistični utrip</w:t>
            </w:r>
            <w:r>
              <w:rPr/>
              <w:br/>
              <w:t>Daljši in časovno primerljiv niz spletne analitike ter podatek o dnevnem obisku. GA4 je zdaj vključen, vendar trenutni izvoz vsebuje samo en polni skupni mesec; turistične takse pa še vedno ne povedo, koliko ljudi obišče Tržič brez prenočitve.</w:t>
            </w:r>
          </w:p>
        </w:tc>
      </w:tr>
    </w:tbl>
    <w:p>
      <w:pPr>
        <w:pStyle w:val="Heading1"/>
        <w:rPr/>
      </w:pPr>
      <w:bookmarkStart w:id="76" w:name="__RefHeading___Toc4879_3353252975"/>
      <w:bookmarkStart w:id="77" w:name="_Toc236375279"/>
      <w:bookmarkEnd w:id="76"/>
      <w:r>
        <w:rPr/>
        <w:t>9. Aplikacija: Uresničevanje Strategije turizma 2024–2031</w:t>
      </w:r>
      <w:bookmarkEnd w:id="77"/>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Trenutna verzija</w:t>
            </w:r>
            <w:r>
              <w:rPr/>
              <w:br/>
              <w:t>v0.1 v source package v1.9.1. Podatkovno obdobje je januar 2018–junij 2026; zadnje zaključeno leto za letne primerjave je 2025.</w:t>
            </w:r>
          </w:p>
        </w:tc>
      </w:tr>
    </w:tbl>
    <w:p>
      <w:pPr>
        <w:pStyle w:val="Heading2"/>
        <w:rPr/>
      </w:pPr>
      <w:bookmarkStart w:id="78" w:name="__RefHeading___Toc4881_3353252975"/>
      <w:bookmarkStart w:id="79" w:name="_Toc236375280"/>
      <w:bookmarkEnd w:id="78"/>
      <w:r>
        <w:rPr/>
        <w:t>9.1 Namen in cilj</w:t>
      </w:r>
      <w:bookmarkEnd w:id="79"/>
    </w:p>
    <w:p>
      <w:pPr>
        <w:pStyle w:val="Normal"/>
        <w:rPr/>
      </w:pPr>
      <w:r>
        <w:rPr/>
        <w:t>Namen aplikacije je javno in sledljivo pokazati, koliko se številčno določeni cilji Strategije razvoja turizma v Občini Tržič 2024–2031 ujemajo z dejanskim stanjem v podatkih turističnega poročanja. Aplikacija ni simulator in ne napoveduje prihodnosti: prikazuje samo strateški cilj, evidentirano ali izračunano stanje, razliko do cilja, uporabljeno metodologijo in omejitve. Ne ocenjuje celotne uspešnosti Strategije, kadar za cilj ni ustreznega merljivega podatka.</w:t>
      </w:r>
    </w:p>
    <w:p>
      <w:pPr>
        <w:pStyle w:val="Heading2"/>
        <w:rPr/>
      </w:pPr>
      <w:bookmarkStart w:id="80" w:name="__RefHeading___Toc4883_3353252975"/>
      <w:bookmarkStart w:id="81" w:name="_Toc236375281"/>
      <w:bookmarkEnd w:id="80"/>
      <w:r>
        <w:rPr/>
        <w:t>9.2 NAREJENO</w:t>
      </w:r>
      <w:bookmarkEnd w:id="81"/>
    </w:p>
    <w:p>
      <w:pPr>
        <w:pStyle w:val="ListBullet"/>
        <w:numPr>
          <w:ilvl w:val="0"/>
          <w:numId w:val="1"/>
        </w:numPr>
        <w:rPr/>
      </w:pPr>
      <w:r>
        <w:rPr/>
        <w:t>Vzpostavljena je samostojna aplikacija z lastnimi datotekami index.html, styles.css, app.js in README.md ter novo kartico na vstopni platformi.</w:t>
      </w:r>
    </w:p>
    <w:p>
      <w:pPr>
        <w:pStyle w:val="ListBullet"/>
        <w:numPr>
          <w:ilvl w:val="0"/>
          <w:numId w:val="1"/>
        </w:numPr>
        <w:rPr/>
      </w:pPr>
      <w:r>
        <w:rPr/>
        <w:t>Aplikacija neposredno uporablja tourism-summary.js in tourism-accommodation.js iz Turističnega utripa, zato ne podvaja ali ročno prepisuje turističnih podatkov.</w:t>
      </w:r>
    </w:p>
    <w:p>
      <w:pPr>
        <w:pStyle w:val="ListBullet"/>
        <w:numPr>
          <w:ilvl w:val="0"/>
          <w:numId w:val="1"/>
        </w:numPr>
        <w:rPr/>
      </w:pPr>
      <w:r>
        <w:rPr/>
        <w:t>Letne primerjave uporabljajo leto 2025 kot zadnje zaključeno leto. Leto 2026 je prikazano ločeno samo za januar–junij in primerjano z januarjem–junijem 2025.</w:t>
      </w:r>
    </w:p>
    <w:p>
      <w:pPr>
        <w:pStyle w:val="ListBullet"/>
        <w:numPr>
          <w:ilvl w:val="0"/>
          <w:numId w:val="1"/>
        </w:numPr>
        <w:rPr/>
      </w:pPr>
      <w:r>
        <w:rPr/>
        <w:t>Dodane so primerjave cilja 90.000 nočitev, cilja 4,0 dneva povprečnega bivanja, rasti nastanitvenih zmogljivosti in zmanjševanja sezonskosti.</w:t>
      </w:r>
    </w:p>
    <w:p>
      <w:pPr>
        <w:pStyle w:val="ListBullet"/>
        <w:numPr>
          <w:ilvl w:val="0"/>
          <w:numId w:val="1"/>
        </w:numPr>
        <w:rPr/>
      </w:pPr>
      <w:r>
        <w:rPr/>
        <w:t>Dodana je časovna vrsta evidentiranih nočitev za zaključena leta 2018–2025.</w:t>
      </w:r>
    </w:p>
    <w:p>
      <w:pPr>
        <w:pStyle w:val="ListBullet"/>
        <w:numPr>
          <w:ilvl w:val="0"/>
          <w:numId w:val="1"/>
        </w:numPr>
        <w:rPr/>
      </w:pPr>
      <w:r>
        <w:rPr/>
        <w:t>Cilji brez številčne ciljne vrednosti ali brez ustreznega kazalnika v poročanju so označeni kot nemerljivi; odstotek doseganja se ne izmišljuje.</w:t>
      </w:r>
    </w:p>
    <w:p>
      <w:pPr>
        <w:pStyle w:val="ListBullet"/>
        <w:numPr>
          <w:ilvl w:val="0"/>
          <w:numId w:val="1"/>
        </w:numPr>
        <w:rPr/>
      </w:pPr>
      <w:r>
        <w:rPr/>
        <w:t>Strategija turizma je uporabljena kot strateški vir, OPN UPB1 pa samo kot prostorski kontekst; nobeden od dokumentov sam po sebi ne dokazuje izvedbe ukrepov.</w:t>
      </w:r>
    </w:p>
    <w:p>
      <w:pPr>
        <w:pStyle w:val="ListBullet"/>
        <w:numPr>
          <w:ilvl w:val="0"/>
          <w:numId w:val="1"/>
        </w:numPr>
        <w:rPr/>
      </w:pPr>
      <w:r>
        <w:rPr/>
        <w:t>Aplikacija uporablja lokalni SVG/HTML prikaz, je odzivna in deluje brez zunanje grafične knjižnice.</w:t>
      </w:r>
    </w:p>
    <w:p>
      <w:pPr>
        <w:pStyle w:val="Heading2"/>
        <w:rPr/>
      </w:pPr>
      <w:bookmarkStart w:id="82" w:name="__RefHeading___Toc4885_3353252975"/>
      <w:bookmarkStart w:id="83" w:name="_Toc236375282"/>
      <w:bookmarkEnd w:id="82"/>
      <w:r>
        <w:rPr/>
        <w:t>9.3 Primerjava ciljev in dejanskega stanja</w:t>
      </w:r>
      <w:bookmarkEnd w:id="83"/>
    </w:p>
    <w:tbl>
      <w:tblPr>
        <w:tblStyle w:val="Tabelamrea"/>
        <w:tblW w:w="11044"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2498"/>
        <w:gridCol w:w="2880"/>
        <w:gridCol w:w="3167"/>
        <w:gridCol w:w="2498"/>
      </w:tblGrid>
      <w:tr>
        <w:trPr>
          <w:tblHeader w:val="true"/>
        </w:trPr>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Kazalnik</w:t>
            </w:r>
          </w:p>
        </w:tc>
        <w:tc>
          <w:tcPr>
            <w:tcW w:w="288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Cilj Strategije</w:t>
            </w:r>
          </w:p>
        </w:tc>
        <w:tc>
          <w:tcPr>
            <w:tcW w:w="316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Dejansko stanje</w:t>
            </w:r>
          </w:p>
        </w:tc>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Metodologija in status</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Letne nočitve</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90.000</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28.329 v letu 2025; 31,5 % ciljne vrednosti; razlika 61.671</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Seštevek evidentiranih nočitev v zadnjem zaključenem letu / cilj.</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Povprečna dolžina bivanja</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4,0 dneva</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2,56 dneva v letu 2025; približno 64,0 % ciljne vrednosti; razlika 1,44 dneva</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Nočitve / gostje. Izračunano iz poročanja.</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Nastanitvene zmogljivosti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Znatno povečanje</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Približno 450 povprečno razpoložljivih ležišč v 2025; +16,2 % glede na 2022</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Ležišča = razpoložljive posteljne noči / dnevi. Cilj ni številčno določen, zato odstotka doseganja ni.</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Nočitve izven junija–avgusta</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Zmanjšanje sezonskosti</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36,3 % v letu 2025; +2,4 odstotne točke glede na 2022</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Nočitve januar–maj in september–december / vse nočitve. Ciljna vrednost ni določena.</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Kvalitativni cilji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Outdoor prepoznavnost, trajnost, pohodništvo, turno smučanje, oživitev mestnega jedra</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S trenutnimi podatki turističnega poročanja niso neposredno merljivi</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6"/>
                <w:szCs w:val="22"/>
                <w:lang w:val="en-US" w:eastAsia="en-US" w:bidi="ar-SA"/>
              </w:rPr>
              <w:t>Potrebni so posebni kazalniki, evidence izvedenih ukrepov in dodatni viri.</w:t>
            </w:r>
          </w:p>
        </w:tc>
      </w:tr>
    </w:tbl>
    <w:p>
      <w:pPr>
        <w:pStyle w:val="Smallnote"/>
        <w:rPr/>
      </w:pPr>
      <w:r>
        <w:rPr/>
        <w:t>Delno leto 2026: januar–junij 2026 je evidentiranih 4.258 gostov in 9.935 nočitev. Glede na enako obdobje leta 2025 je to +23,2 % gostov in +21,9 % nočitev; povprečno bivanje znaša 2,33 dneva in je za približno 1,1 % nižje. Ti podatki niso primerjani s celotnim letom 2025 ali s končnim ciljem kot letna realizacija.</w:t>
      </w:r>
    </w:p>
    <w:p>
      <w:pPr>
        <w:pStyle w:val="Heading2"/>
        <w:rPr/>
      </w:pPr>
      <w:bookmarkStart w:id="84" w:name="__RefHeading___Toc4887_3353252975"/>
      <w:bookmarkStart w:id="85" w:name="_Toc236375283"/>
      <w:bookmarkEnd w:id="84"/>
      <w:r>
        <w:rPr/>
        <w:t>9.4 Podatkovni viri in metodologija</w:t>
      </w:r>
      <w:bookmarkEnd w:id="85"/>
    </w:p>
    <w:p>
      <w:pPr>
        <w:pStyle w:val="ListBullet"/>
        <w:numPr>
          <w:ilvl w:val="0"/>
          <w:numId w:val="1"/>
        </w:numPr>
        <w:rPr/>
      </w:pPr>
      <w:r>
        <w:rPr/>
        <w:t>Strateški vir: Strategija razvoja turizma v Občini Tržič 2024–2031. Uporabljeni so izrecno navedeni cilji 90.000 nočitev, 4,0 dneva bivanja, znatna rast kapacitet in zmanjševanje sezonskosti.</w:t>
      </w:r>
    </w:p>
    <w:p>
      <w:pPr>
        <w:pStyle w:val="ListBullet"/>
        <w:numPr>
          <w:ilvl w:val="0"/>
          <w:numId w:val="1"/>
        </w:numPr>
        <w:rPr/>
      </w:pPr>
      <w:r>
        <w:rPr/>
        <w:t>Podatkovni vir: aplikacija obveznega poročanja v turizmu oziroma podatki, že pripravljeni v Turističnem utripu, za obdobje januar 2018–junij 2026.</w:t>
      </w:r>
    </w:p>
    <w:p>
      <w:pPr>
        <w:pStyle w:val="ListBullet"/>
        <w:numPr>
          <w:ilvl w:val="0"/>
          <w:numId w:val="1"/>
        </w:numPr>
        <w:rPr/>
      </w:pPr>
      <w:r>
        <w:rPr/>
        <w:t>Primerljivo obdobje: letni kazalniki se računajo samo za zaključena leta; trenutno je to leto 2025. Delno leto 2026 se primerja samo z enakimi meseci leta 2025.</w:t>
      </w:r>
    </w:p>
    <w:p>
      <w:pPr>
        <w:pStyle w:val="ListBullet"/>
        <w:numPr>
          <w:ilvl w:val="0"/>
          <w:numId w:val="1"/>
        </w:numPr>
        <w:rPr/>
      </w:pPr>
      <w:r>
        <w:rPr/>
        <w:t>Merljivi cilj: odstotek doseganja se prikaže samo, če Strategija določa številčno ciljno vrednost in podatkovni vir meri primerljivo spremenljivko.</w:t>
      </w:r>
    </w:p>
    <w:p>
      <w:pPr>
        <w:pStyle w:val="ListBullet"/>
        <w:numPr>
          <w:ilvl w:val="0"/>
          <w:numId w:val="1"/>
        </w:numPr>
        <w:rPr/>
      </w:pPr>
      <w:r>
        <w:rPr/>
        <w:t>Kvalitativni cilj: kadar ni potrjenega kazalnika, se cilj označi kot nemerljiv in se ne pretvarja v subjektivno odstotno oceno.</w:t>
      </w:r>
    </w:p>
    <w:p>
      <w:pPr>
        <w:pStyle w:val="ListBullet"/>
        <w:numPr>
          <w:ilvl w:val="0"/>
          <w:numId w:val="1"/>
        </w:numPr>
        <w:rPr/>
      </w:pPr>
      <w:r>
        <w:rPr/>
        <w:t>OPN UPB1: uporablja se kot prostorski okvir za turizem, kapacitete, kampiranje, trajnostno mobilnost, parkiranje, naravne omejitve in varovana območja; ne uporablja se kot dokaz realizacije.</w:t>
      </w:r>
    </w:p>
    <w:p>
      <w:pPr>
        <w:pStyle w:val="Heading2"/>
        <w:rPr/>
      </w:pPr>
      <w:bookmarkStart w:id="86" w:name="__RefHeading___Toc4889_3353252975"/>
      <w:bookmarkStart w:id="87" w:name="_Toc236375284"/>
      <w:bookmarkEnd w:id="86"/>
      <w:r>
        <w:rPr/>
        <w:t>9.5 Omejitve in TO DO</w:t>
      </w:r>
      <w:bookmarkEnd w:id="87"/>
    </w:p>
    <w:p>
      <w:pPr>
        <w:pStyle w:val="ListBullet"/>
        <w:numPr>
          <w:ilvl w:val="0"/>
          <w:numId w:val="1"/>
        </w:numPr>
        <w:rPr/>
      </w:pPr>
      <w:r>
        <w:rPr/>
        <w:t>Turistično poročanje zajema prijavljene goste in prenočitve, ne pa vseh enodnevnih obiskovalcev, porabe obiskovalcev ali kakovosti turistične izkušnje.</w:t>
      </w:r>
    </w:p>
    <w:p>
      <w:pPr>
        <w:pStyle w:val="ListBullet"/>
        <w:numPr>
          <w:ilvl w:val="0"/>
          <w:numId w:val="1"/>
        </w:numPr>
        <w:rPr/>
      </w:pPr>
      <w:r>
        <w:rPr/>
        <w:t>Strategija pri povečanju zmogljivosti in zmanjševanju sezonskosti ne določa številčne ciljne vrednosti, zato je možen samo opis trenda.</w:t>
      </w:r>
    </w:p>
    <w:p>
      <w:pPr>
        <w:pStyle w:val="ListBullet"/>
        <w:numPr>
          <w:ilvl w:val="0"/>
          <w:numId w:val="1"/>
        </w:numPr>
        <w:rPr/>
      </w:pPr>
      <w:r>
        <w:rPr/>
        <w:t>Aplikacija še ne spremlja izvedbe posameznih ukrepov, nosilcev, rokov, proračunov in dokazil o zaključku iz akcijskega načrta.</w:t>
      </w:r>
    </w:p>
    <w:p>
      <w:pPr>
        <w:pStyle w:val="ListBullet"/>
        <w:numPr>
          <w:ilvl w:val="0"/>
          <w:numId w:val="1"/>
        </w:numPr>
        <w:rPr/>
      </w:pPr>
      <w:r>
        <w:rPr/>
        <w:t>Ob naslednji posodobitvi turističnih podatkov se ohrani celoten niz od januarja 2018 naprej in kot glavno letno stanje uporabi novo zadnje zaključeno leto.</w:t>
      </w:r>
    </w:p>
    <w:p>
      <w:pPr>
        <w:pStyle w:val="ListBullet"/>
        <w:numPr>
          <w:ilvl w:val="0"/>
          <w:numId w:val="1"/>
        </w:numPr>
        <w:rPr/>
      </w:pPr>
      <w:r>
        <w:rPr/>
        <w:t>Dodati uradni register ukrepov Strategije: ukrep, nosilec, rok, kazalnik, izhodišče, cilj, vir dokaza in status izvedbe.</w:t>
      </w:r>
    </w:p>
    <w:p>
      <w:pPr>
        <w:pStyle w:val="ListBullet"/>
        <w:numPr>
          <w:ilvl w:val="0"/>
          <w:numId w:val="1"/>
        </w:numPr>
        <w:rPr/>
      </w:pPr>
      <w:r>
        <w:rPr/>
        <w:t>Dodati realne kazalnike dnevnega obiska, znamenitosti, prireditev, trajnostne mobilnosti, turističnih produktov in lokalne ekonomske koristi, ko bodo zanje na voljo preverljivi viri.</w:t>
      </w:r>
    </w:p>
    <w:p>
      <w:pPr>
        <w:pStyle w:val="ListBullet"/>
        <w:numPr>
          <w:ilvl w:val="0"/>
          <w:numId w:val="1"/>
        </w:numPr>
        <w:rPr/>
      </w:pPr>
      <w:r>
        <w:rPr/>
        <w:t>Aplikacija mora tudi v prihodnje ostati brez simulacij in napovedi; dovoljene so samo primerjave uradnega cilja z dejanskim, časovno primerljivim stanjem.</w:t>
      </w:r>
    </w:p>
    <w:p>
      <w:pPr>
        <w:pStyle w:val="Heading1"/>
        <w:rPr/>
      </w:pPr>
      <w:bookmarkStart w:id="88" w:name="__RefHeading___Toc4891_3353252975"/>
      <w:bookmarkStart w:id="89" w:name="_Toc236375285"/>
      <w:bookmarkEnd w:id="88"/>
      <w:r>
        <w:rPr/>
        <w:t>10. Aplikacija: Tržič v turističnem okolju</w:t>
      </w:r>
      <w:bookmarkEnd w:id="89"/>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b/>
                <w:color w:val="0067A3"/>
              </w:rPr>
              <w:t>Trenutna verzija</w:t>
            </w:r>
            <w:r>
              <w:rPr/>
              <w:br/>
              <w:t>v0.2 v source package v1.9.1. Letni podatki SURS zajemajo 2018–2025, mesečni januar 2020–junij 2026, modelna potrošnja pa tuje nočitve v letu 2025.</w:t>
            </w:r>
          </w:p>
        </w:tc>
      </w:tr>
    </w:tbl>
    <w:p>
      <w:pPr>
        <w:pStyle w:val="Heading2"/>
        <w:rPr/>
      </w:pPr>
      <w:bookmarkStart w:id="90" w:name="__RefHeading___Toc4893_3353252975"/>
      <w:bookmarkStart w:id="91" w:name="_Toc236375286"/>
      <w:bookmarkEnd w:id="90"/>
      <w:r>
        <w:rPr/>
        <w:t>10.1 Namen in cilj</w:t>
      </w:r>
      <w:bookmarkEnd w:id="91"/>
    </w:p>
    <w:p>
      <w:pPr>
        <w:pStyle w:val="Normal"/>
        <w:rPr/>
      </w:pPr>
      <w:r>
        <w:rPr/>
        <w:t>Namen aplikacije je umestiti Tržič v širše turistično okolje z enotno uradno primerjavo z Radovljico, Bledom, Preddvorom, Jesenicami in Idrijo. Prikazuje razvoj gostov in nočitev, sezonskost, turistične trge, nastanitvene zmogljivosti, okvirno modelno potrošnjo tujih turistov ter previdne konkurenčne in prelivne signale. Ne ocenjuje uspešnosti občin po absolutni velikosti, ne dokazuje gibanja istih gostov med destinacijami in modelne potrošnje ne predstavlja kot dejanski prihodek lokalnega gospodarstva.</w:t>
      </w:r>
    </w:p>
    <w:p>
      <w:pPr>
        <w:pStyle w:val="Heading2"/>
        <w:rPr/>
      </w:pPr>
      <w:bookmarkStart w:id="92" w:name="__RefHeading___Toc4895_3353252975"/>
      <w:bookmarkStart w:id="93" w:name="_Toc236375287"/>
      <w:bookmarkEnd w:id="92"/>
      <w:r>
        <w:rPr/>
        <w:t>10.2 NAREJENO</w:t>
      </w:r>
      <w:bookmarkEnd w:id="93"/>
    </w:p>
    <w:p>
      <w:pPr>
        <w:pStyle w:val="ListBullet"/>
        <w:numPr>
          <w:ilvl w:val="0"/>
          <w:numId w:val="1"/>
        </w:numPr>
        <w:rPr/>
      </w:pPr>
      <w:r>
        <w:rPr/>
        <w:t>Samostojna statična aplikacija apps/turisticno-okolje je posodobljena na v0.2. Ohranja lastne datoteke index.html, styles.css, app.js in README.md, lastno barvno podobo ter ločene mape data-source, data-json in data-js. V tej nadgradnji druge aplikacije in vstopna stran niso bile spremenjene.</w:t>
      </w:r>
    </w:p>
    <w:p>
      <w:pPr>
        <w:pStyle w:val="ListBullet"/>
        <w:numPr>
          <w:ilvl w:val="0"/>
          <w:numId w:val="1"/>
        </w:numPr>
        <w:rPr/>
      </w:pPr>
      <w:r>
        <w:rPr/>
        <w:t>Na enotni podatkovni osnovi SURS SI-STAT so primerjani Tržič, Radovljica, Bled, Preddvor, Jesenice in Idrija.</w:t>
      </w:r>
    </w:p>
    <w:p>
      <w:pPr>
        <w:pStyle w:val="ListBullet"/>
        <w:numPr>
          <w:ilvl w:val="0"/>
          <w:numId w:val="1"/>
        </w:numPr>
        <w:rPr/>
      </w:pPr>
      <w:r>
        <w:rPr/>
        <w:t>Letni razvoj gostov in nočitev je prikazan za obdobje 2018–2025; poleg absolutnih vrednosti je uporabljen indeks 2019 = 100, da velikost večjih destinacij ne prekrije dinamike manjših občin. Mesečni niz je razširjen na januar 2020–junij 2026.</w:t>
      </w:r>
    </w:p>
    <w:p>
      <w:pPr>
        <w:pStyle w:val="ListBullet"/>
        <w:numPr>
          <w:ilvl w:val="0"/>
          <w:numId w:val="1"/>
        </w:numPr>
        <w:rPr/>
      </w:pPr>
      <w:r>
        <w:rPr/>
        <w:t>Sezonskost temelji na deležu mesečnih nočitev v celotnih nočitvah leta 2025. Zaščitene mesečne vrednosti SURS pri Preddvoru ostanejo manjkajoče in so na grafih prikazane kot vrzeli, ne kot nič.</w:t>
      </w:r>
    </w:p>
    <w:p>
      <w:pPr>
        <w:pStyle w:val="ListBullet"/>
        <w:numPr>
          <w:ilvl w:val="0"/>
          <w:numId w:val="1"/>
        </w:numPr>
        <w:rPr/>
      </w:pPr>
      <w:r>
        <w:rPr/>
        <w:t>Turistični trgi so primerjani po državah; možni neizkoriščeni trgi so opisni signal večjega deleža v združenih tujih nočitvah primerjalnih občin ob nižjem deležu v Tržiču. Preddvor je zaradi zaščitenih mesečnih vrednosti iz tega izračuna izključen.</w:t>
      </w:r>
    </w:p>
    <w:p>
      <w:pPr>
        <w:pStyle w:val="ListBullet"/>
        <w:numPr>
          <w:ilvl w:val="0"/>
          <w:numId w:val="1"/>
        </w:numPr>
        <w:rPr/>
      </w:pPr>
      <w:r>
        <w:rPr/>
        <w:t>Nastanitvene zmogljivosti so prikazane za 2019–2025; nočitve na stalno ležišče so približen kazalnik uporabe zmogljivosti, ne uradna stopnja zasedenosti.</w:t>
      </w:r>
    </w:p>
    <w:p>
      <w:pPr>
        <w:pStyle w:val="ListBullet"/>
        <w:numPr>
          <w:ilvl w:val="0"/>
          <w:numId w:val="1"/>
        </w:numPr>
        <w:rPr/>
      </w:pPr>
      <w:r>
        <w:rPr/>
        <w:t>Konkurenčni in prelivni signali uporabljajo Pearsonovo in Spearmanovo korelacijo medletnih mesečnih sprememb nočitev od januarja 2023 do junija 2026 z zamiki 0–3 mesece. Uporaba medletnih sprememb zmanjša vpliv običajne sezonskosti.</w:t>
      </w:r>
    </w:p>
    <w:p>
      <w:pPr>
        <w:pStyle w:val="ListBullet"/>
        <w:numPr>
          <w:ilvl w:val="0"/>
          <w:numId w:val="1"/>
        </w:numPr>
        <w:rPr/>
      </w:pPr>
      <w:r>
        <w:rPr/>
        <w:t>Šest izvornih XLSX izvozov je ohranjenih v data-source/surs, normalizirani podatki in izračun modelne potrošnje pa v lokalnem JSON in JavaScriptu. Aplikacija deluje tudi neposredno prek file:///.</w:t>
      </w:r>
    </w:p>
    <w:p>
      <w:pPr>
        <w:pStyle w:val="Heading2"/>
        <w:rPr/>
      </w:pPr>
      <w:bookmarkStart w:id="94" w:name="__RefHeading___Toc4897_3353252975"/>
      <w:bookmarkStart w:id="95" w:name="_Toc236375288"/>
      <w:bookmarkEnd w:id="94"/>
      <w:r>
        <w:rPr/>
        <w:t>10.3 Podatkovni viri in metodologija</w:t>
      </w:r>
      <w:bookmarkEnd w:id="95"/>
    </w:p>
    <w:tbl>
      <w:tblPr>
        <w:tblStyle w:val="Tabelamrea"/>
        <w:tblW w:w="11044"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2498"/>
        <w:gridCol w:w="2880"/>
        <w:gridCol w:w="3167"/>
        <w:gridCol w:w="2498"/>
      </w:tblGrid>
      <w:tr>
        <w:trPr>
          <w:tblHeader w:val="true"/>
          <w:cantSplit w:val="true"/>
        </w:trPr>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Sklop</w:t>
            </w:r>
          </w:p>
        </w:tc>
        <w:tc>
          <w:tcPr>
            <w:tcW w:w="288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Vir / obdobje</w:t>
            </w:r>
          </w:p>
        </w:tc>
        <w:tc>
          <w:tcPr>
            <w:tcW w:w="316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Metodologija</w:t>
            </w:r>
          </w:p>
        </w:tc>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6"/>
                <w:szCs w:val="22"/>
                <w:lang w:val="en-US" w:eastAsia="en-US" w:bidi="ar-SA"/>
              </w:rPr>
              <w:t>Omejitev</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Mesečni gostje, nočitve in trgi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SI-STAT 2164466S; šest občin; januar 2020–junij 2026; ročni XLSX izvoz 30. 7. 2026</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mesečni trendi, države, sezonskost 2025 in medletne spremembe</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ne zajema dnevnih obiskovalcev; pri Preddvoru so nekatere vrednosti statistično zaščitene</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Letni gostje in nočitve</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SI-STAT 2164525S; šest občin; 2018–2025</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absolutne vrednosti, domači/tuji gostje in indeks 2019 = 100</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indeks primerja dinamiko, ne velikosti ali kakovosti destinacije</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Nastanitvene zmogljivosti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SI-STAT 2164527S; šest občin; 2019–2025</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nastanitvene enote, vsa/stalna ležišča in nočitve na stalno ležišče</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ni uradna stopnja zasedenosti; struktura in odprtost nastanitev se razlikujeta</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Modelna potrošnja po trgih</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SI-STAT 2176731S; povprečni dnevni izdatki po vrsti občine in državi prebivališča</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tuje nočitve 2025 × ocenjeni dnevni izdatek skupine trga</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anketni podatek po vrstah občin; izdatek lahko nastane tudi zunaj občine nastanitve</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Struktura in občutljivost potrošnje</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SI-STAT 2176740S in 2176737S; struktura izdatkov ter poletni izdatki po hotelih/kampih</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razdelitev ocene po vrstah porabe in orientacijski razpon</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razpon ni interval zaupanja; zajem nastanitev se med obdobji razlikuje</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Vrsta turistične občine</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SURS KLASJE eTUR_VrsteOBCIN; tabela 15827</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Bled, Jesenice, Preddvor, Radovljica in Tržič = gorske občine; Idrija = mestne in druge občine</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široka klasifikacija ne zajame vseh lokalnih razlik</w:t>
            </w:r>
          </w:p>
        </w:tc>
      </w:tr>
      <w:tr>
        <w:trPr>
          <w:cantSplit w:val="true"/>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Konkurenčni in prelivni signali</w:t>
            </w:r>
          </w:p>
        </w:tc>
        <w:tc>
          <w:tcPr>
            <w:tcW w:w="288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medletne mesečne spremembe nočitev; januar 2023–junij 2026; zamik 0–3 mesece</w:t>
            </w:r>
          </w:p>
        </w:tc>
        <w:tc>
          <w:tcPr>
            <w:tcW w:w="31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Pearsonova in Spearmanova korelacija</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t>korelacija ni vzročnost in ne dokazuje gibanja istih gostov; rezultat je občutljiv na izbor obdobja in zunanje dejavnike</w:t>
            </w:r>
          </w:p>
        </w:tc>
      </w:tr>
    </w:tbl>
    <w:p>
      <w:pPr>
        <w:pStyle w:val="Heading2"/>
        <w:rPr/>
      </w:pPr>
      <w:bookmarkStart w:id="96" w:name="__RefHeading___Toc4899_3353252975"/>
      <w:bookmarkStart w:id="97" w:name="_Toc236375289"/>
      <w:bookmarkEnd w:id="96"/>
      <w:r>
        <w:rPr/>
        <w:t>10.4 Modelna ocena turistične potrošnje</w:t>
      </w:r>
      <w:bookmarkEnd w:id="97"/>
    </w:p>
    <w:p>
      <w:pPr>
        <w:pStyle w:val="Normal"/>
        <w:rPr/>
      </w:pPr>
      <w:r>
        <w:rPr/>
        <w:t>Model velja samo za tuje nočitve v letu 2025. Mesečne nočitve po državah se povežejo s skupinami v SURS tabeli 2176731S, vsaka občina pa uporablja vrednosti svoje uradne vrste turistične občine. Za mesece brez neposrednega dvomesečnega anketnega obdobja se dnevni izdatek interpolira med najbližjima razpoložljivima obdobjema.</w:t>
      </w:r>
    </w:p>
    <w:p>
      <w:pPr>
        <w:pStyle w:val="Normal"/>
        <w:rPr/>
      </w:pPr>
      <w:r>
        <w:rPr/>
        <w:t>Osrednja ocena je vsota tujih nočitev in ocenjenih dnevnih izdatkov. Za Tržič znaša približno 2,9 milijona EUR, orientacijski razpon pa približno 1,5–4,4 milijona EUR. Struktura ocene uporablja tabelo 2176740S, občutljivost pa najnižje in najvišje uradne vrednosti leta 2025 skupaj s poletnimi podatki hotelov in kampov iz 2176737S. Razpon ni statistični interval zaupanja.</w:t>
      </w:r>
    </w:p>
    <w:p>
      <w:pPr>
        <w:pStyle w:val="Normal"/>
        <w:rPr/>
      </w:pPr>
      <w:r>
        <w:rPr/>
        <w:t>Pri Preddvoru so štirje mesečni podatki statistično zaščiteni. Manjkajoče vrednosti ostanejo prazne; razlika do uradnega letnega števila tujih nočitev je v modelu ovrednotena s povprečno modelno porabo objavljenih mesecev. Modelna potrošnja ni dejanski prihodek podjetij v občini, ker SURS meri izdatke med bivanjem v Sloveniji in del potrošnje lahko nastane drugje.</w:t>
      </w:r>
    </w:p>
    <w:p>
      <w:pPr>
        <w:pStyle w:val="Heading2"/>
        <w:rPr/>
      </w:pPr>
      <w:bookmarkStart w:id="98" w:name="__RefHeading___Toc4901_3353252975"/>
      <w:bookmarkStart w:id="99" w:name="_Toc236375290"/>
      <w:bookmarkEnd w:id="98"/>
      <w:r>
        <w:rPr/>
        <w:t>10.5 Omejitve in TO DO</w:t>
      </w:r>
      <w:bookmarkEnd w:id="99"/>
    </w:p>
    <w:p>
      <w:pPr>
        <w:pStyle w:val="ListBullet"/>
        <w:numPr>
          <w:ilvl w:val="0"/>
          <w:numId w:val="1"/>
        </w:numPr>
        <w:rPr/>
      </w:pPr>
      <w:r>
        <w:rPr/>
        <w:t>Mesečni niz obsega 78 mesecev, konkurenčni in prelivni izračuni pa uporabljajo medletne spremembe od januarja 2023 naprej. Daljši niz izboljšuje osnovo, vendar so povezave še vedno opisne in občutljive na izbor obdobja, izredne dogodke, spremembe ponudbe ter druge strukturne dejavnike.</w:t>
      </w:r>
    </w:p>
    <w:p>
      <w:pPr>
        <w:pStyle w:val="ListBullet"/>
        <w:numPr>
          <w:ilvl w:val="0"/>
          <w:numId w:val="1"/>
        </w:numPr>
        <w:rPr/>
      </w:pPr>
      <w:r>
        <w:rPr/>
        <w:t>Podatki merijo prijavljene turiste v nastanitvenih obratih, ne dnevnih obiskovalcev, izletnikov ali gibanja istih oseb med občinami.</w:t>
      </w:r>
    </w:p>
    <w:p>
      <w:pPr>
        <w:pStyle w:val="ListBullet"/>
        <w:numPr>
          <w:ilvl w:val="0"/>
          <w:numId w:val="1"/>
        </w:numPr>
        <w:rPr/>
      </w:pPr>
      <w:r>
        <w:rPr/>
        <w:t>Na razlike vplivajo velikost destinacije, struktura in kakovost nastanitev, cene, promocija, dogodki, vreme, dostopnost in drugi dejavniki, ki niso vključeni v model.</w:t>
      </w:r>
    </w:p>
    <w:p>
      <w:pPr>
        <w:pStyle w:val="Normal"/>
        <w:rPr/>
      </w:pPr>
      <w:r>
        <w:rPr/>
        <w:t>Pri Preddvoru statistično zaščitenih mesečnih vrednosti ni dovoljeno pretvoriti v nič ali jih brez oznake nadomestiti. Analize, ki zahtevajo popolno porazdelitev po državah, ga morajo izločiti ali uporabiti posebej dokumentirano občutljivost.</w:t>
      </w:r>
    </w:p>
    <w:p>
      <w:pPr>
        <w:pStyle w:val="Normal"/>
        <w:rPr/>
      </w:pPr>
      <w:r>
        <w:rPr/>
        <w:t>Model potrošnje temelji na anketnih povprečjih po širokih vrstah turističnih občin, interpolaciji med dvomesečji in strukturi tujih nočitev. Ne uporablja lokalnih računov, davčnih evidenc ali dejanske lokacije porabe; zato je dovoljen samo kot jasno označena okvirna modelna ocena.</w:t>
      </w:r>
    </w:p>
    <w:p>
      <w:pPr>
        <w:pStyle w:val="ListBullet"/>
        <w:numPr>
          <w:ilvl w:val="0"/>
          <w:numId w:val="1"/>
        </w:numPr>
        <w:rPr/>
      </w:pPr>
      <w:r>
        <w:rPr/>
        <w:t>Dopolniti primerjavo s kakovostjo in cenami nastanitev, dejansko odprtostjo, rezervacijskimi kanali, dogodki, digitalnim zanimanjem, lokalno gospodarsko realizacijo ter podatki dnevnega obiska in mobilnosti, ko bodo zakonito in primerljivo dostopni.</w:t>
      </w:r>
    </w:p>
    <w:p>
      <w:pPr>
        <w:pStyle w:val="ListBullet"/>
        <w:numPr>
          <w:ilvl w:val="0"/>
          <w:numId w:val="1"/>
        </w:numPr>
        <w:rPr/>
      </w:pPr>
      <w:r>
        <w:rPr/>
        <w:t>Konkurenčne in prelivne signale validirati na daljšem obdobju ter ohraniti izrazoslovje signal/povezava; brez jezika dokazane vzročnosti ali napovedi gibanja gostov.</w:t>
      </w:r>
    </w:p>
    <w:p>
      <w:pPr>
        <w:pStyle w:val="Heading1"/>
        <w:rPr/>
      </w:pPr>
      <w:bookmarkStart w:id="100" w:name="__RefHeading___Toc4903_3353252975"/>
      <w:bookmarkStart w:id="101" w:name="_Toc236375291"/>
      <w:bookmarkEnd w:id="100"/>
      <w:r>
        <w:rPr/>
        <w:t>11. Aplikacija: Deževni vrt OŠ Bistrica</w:t>
      </w:r>
      <w:bookmarkEnd w:id="101"/>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Trenutna verzija</w:t>
            </w:r>
            <w:r>
              <w:rPr/>
              <w:br/>
              <w:t>v0.1 v source package v1.9.1. Podatki ZENTRA od 27. 5. 2026 do 23. 7. 2026 v urnem intervalu; dnevno agregirani za prikaz.</w:t>
            </w:r>
          </w:p>
        </w:tc>
      </w:tr>
    </w:tbl>
    <w:p>
      <w:pPr>
        <w:pStyle w:val="Normal"/>
        <w:spacing w:before="0" w:after="0"/>
        <w:rPr/>
      </w:pPr>
      <w:r>
        <w:rPr/>
      </w:r>
    </w:p>
    <w:p>
      <w:pPr>
        <w:pStyle w:val="Heading2"/>
        <w:rPr/>
      </w:pPr>
      <w:bookmarkStart w:id="102" w:name="__RefHeading___Toc4905_3353252975"/>
      <w:bookmarkStart w:id="103" w:name="_Toc236375292"/>
      <w:bookmarkEnd w:id="102"/>
      <w:r>
        <w:rPr/>
        <w:t>11.1 Namen in cilj</w:t>
      </w:r>
      <w:bookmarkEnd w:id="103"/>
    </w:p>
    <w:p>
      <w:pPr>
        <w:pStyle w:val="Normal"/>
        <w:rPr/>
      </w:pPr>
      <w:r>
        <w:rPr>
          <w:rFonts w:eastAsia="Liberation Sans"/>
        </w:rPr>
        <w:t>Namen aplikacije je javnosti razumljivo pokazati, kako se voda zadržuje in premika v petih raziskovalnih posodah z različnim deležem peska in zasaditvijo. Cilj prve verzije je previden opis začetnih vzorcev brez lažne diagnoze sušnega stresa, optimalne vlažnosti ali napake senzorja.</w:t>
      </w:r>
    </w:p>
    <w:p>
      <w:pPr>
        <w:pStyle w:val="Heading2"/>
        <w:rPr/>
      </w:pPr>
      <w:bookmarkStart w:id="104" w:name="__RefHeading___Toc4907_3353252975"/>
      <w:bookmarkStart w:id="105" w:name="_Toc236375293"/>
      <w:bookmarkEnd w:id="104"/>
      <w:r>
        <w:rPr/>
        <w:t>11.2 NAREJENO</w:t>
      </w:r>
      <w:bookmarkEnd w:id="105"/>
    </w:p>
    <w:p>
      <w:pPr>
        <w:pStyle w:val="ListBullet"/>
        <w:numPr>
          <w:ilvl w:val="0"/>
          <w:numId w:val="1"/>
        </w:numPr>
        <w:spacing w:before="0" w:after="50"/>
        <w:ind w:hanging="360" w:left="0"/>
        <w:contextualSpacing/>
        <w:rPr/>
      </w:pPr>
      <w:r>
        <w:rPr>
          <w:rFonts w:eastAsia="Liberation Sans"/>
        </w:rPr>
        <w:t>Vzpostavljena je samostojna okoljska aplikacija z lokalnimi podatki ZENTRA.</w:t>
      </w:r>
    </w:p>
    <w:p>
      <w:pPr>
        <w:pStyle w:val="ListBullet"/>
        <w:numPr>
          <w:ilvl w:val="0"/>
          <w:numId w:val="1"/>
        </w:numPr>
        <w:spacing w:before="0" w:after="50"/>
        <w:ind w:hanging="360" w:left="0"/>
        <w:contextualSpacing/>
        <w:rPr/>
      </w:pPr>
      <w:r>
        <w:rPr>
          <w:rFonts w:eastAsia="Liberation Sans"/>
        </w:rPr>
        <w:t>Ohranjeni so izvorni CSV-ji, normalizirana datoteka in metapodatki o obdobju, intervalu ter sestavi Tankov.</w:t>
      </w:r>
    </w:p>
    <w:p>
      <w:pPr>
        <w:pStyle w:val="ListBullet"/>
        <w:numPr>
          <w:ilvl w:val="0"/>
          <w:numId w:val="1"/>
        </w:numPr>
        <w:spacing w:before="0" w:after="50"/>
        <w:ind w:hanging="360" w:left="0"/>
        <w:contextualSpacing/>
        <w:rPr/>
      </w:pPr>
      <w:r>
        <w:rPr>
          <w:rFonts w:eastAsia="Liberation Sans"/>
        </w:rPr>
        <w:t>Prikazanih je pet Tankov: Tank 1 brez rastlin in peska; Tank 2 z rastlinami brez peska; Tanki 3–5 z 10, 20 in 30 % peska.</w:t>
      </w:r>
    </w:p>
    <w:p>
      <w:pPr>
        <w:pStyle w:val="ListBullet"/>
        <w:numPr>
          <w:ilvl w:val="0"/>
          <w:numId w:val="1"/>
        </w:numPr>
        <w:spacing w:before="0" w:after="50"/>
        <w:ind w:hanging="360" w:left="0"/>
        <w:contextualSpacing/>
        <w:rPr/>
      </w:pPr>
      <w:r>
        <w:rPr>
          <w:rFonts w:eastAsia="Liberation Sans"/>
        </w:rPr>
        <w:t>Vlažnost tal je prikazana na 15 in 35 cm za 7 dni, 30 dni ali celotno obdobje.</w:t>
      </w:r>
    </w:p>
    <w:p>
      <w:pPr>
        <w:pStyle w:val="ListBullet"/>
        <w:numPr>
          <w:ilvl w:val="0"/>
          <w:numId w:val="1"/>
        </w:numPr>
        <w:spacing w:before="0" w:after="50"/>
        <w:ind w:hanging="360" w:left="0"/>
        <w:contextualSpacing/>
        <w:rPr/>
      </w:pPr>
      <w:r>
        <w:rPr>
          <w:rFonts w:eastAsia="Liberation Sans"/>
        </w:rPr>
        <w:t>Dodana je primerjava zadnjega dne in dnevni trend po Tankih.</w:t>
      </w:r>
    </w:p>
    <w:p>
      <w:pPr>
        <w:pStyle w:val="ListBullet"/>
        <w:numPr>
          <w:ilvl w:val="0"/>
          <w:numId w:val="1"/>
        </w:numPr>
        <w:spacing w:before="0" w:after="50"/>
        <w:ind w:hanging="360" w:left="0"/>
        <w:contextualSpacing/>
        <w:rPr/>
      </w:pPr>
      <w:r>
        <w:rPr>
          <w:rFonts w:eastAsia="Liberation Sans"/>
        </w:rPr>
        <w:t>Tenziometer je razložen kot merilo vezanosti oziroma dostopnosti vode, ne količine vode.</w:t>
      </w:r>
    </w:p>
    <w:p>
      <w:pPr>
        <w:pStyle w:val="ListBullet"/>
        <w:numPr>
          <w:ilvl w:val="0"/>
          <w:numId w:val="1"/>
        </w:numPr>
        <w:spacing w:before="0" w:after="50"/>
        <w:ind w:hanging="360" w:left="0"/>
        <w:contextualSpacing/>
        <w:rPr/>
      </w:pPr>
      <w:r>
        <w:rPr>
          <w:rFonts w:eastAsia="Liberation Sans"/>
        </w:rPr>
        <w:t>AI povzetek izpostavi globlji sloj, primerjavo Tanka 2 in 5 ter primerjavo zasajenega/nezasajenega Tanka 1 in 2.</w:t>
      </w:r>
    </w:p>
    <w:p>
      <w:pPr>
        <w:pStyle w:val="ListBullet"/>
        <w:numPr>
          <w:ilvl w:val="0"/>
          <w:numId w:val="1"/>
        </w:numPr>
        <w:spacing w:before="0" w:after="50"/>
        <w:ind w:hanging="360" w:left="0"/>
        <w:contextualSpacing/>
        <w:rPr/>
      </w:pPr>
      <w:r>
        <w:rPr>
          <w:rFonts w:eastAsia="Liberation Sans"/>
        </w:rPr>
        <w:t>Padavinski signal ni seštet v enotno meteorološko količino, ker se vrednosti med Tanki razlikujejo.</w:t>
      </w:r>
    </w:p>
    <w:p>
      <w:pPr>
        <w:pStyle w:val="ListBullet"/>
        <w:numPr>
          <w:ilvl w:val="0"/>
          <w:numId w:val="1"/>
        </w:numPr>
        <w:spacing w:before="0" w:after="50"/>
        <w:ind w:hanging="360" w:left="0"/>
        <w:contextualSpacing/>
        <w:rPr/>
      </w:pPr>
      <w:r>
        <w:rPr>
          <w:rFonts w:eastAsia="Liberation Sans"/>
        </w:rPr>
        <w:t>Zelo negativne in nespremenjene tenziometrske meritve niso uporabljene za samodejno diagnozo.</w:t>
      </w:r>
    </w:p>
    <w:p>
      <w:pPr>
        <w:pStyle w:val="ListBullet"/>
        <w:numPr>
          <w:ilvl w:val="0"/>
          <w:numId w:val="1"/>
        </w:numPr>
        <w:spacing w:before="0" w:after="50"/>
        <w:ind w:hanging="360" w:left="0"/>
        <w:contextualSpacing/>
        <w:rPr/>
      </w:pPr>
      <w:r>
        <w:rPr>
          <w:rFonts w:eastAsia="Liberation Sans"/>
        </w:rPr>
        <w:t>Jasno je zapisano, da ima vsaka sestava le eno posodo in da približno osem tednov ni dovolj za dolgoročne zakonitosti.</w:t>
      </w:r>
    </w:p>
    <w:p>
      <w:pPr>
        <w:pStyle w:val="Heading2"/>
        <w:rPr/>
      </w:pPr>
      <w:bookmarkStart w:id="106" w:name="__RefHeading___Toc4909_3353252975"/>
      <w:bookmarkStart w:id="107" w:name="_Toc236375294"/>
      <w:bookmarkEnd w:id="106"/>
      <w:r>
        <w:rPr/>
        <w:t>11.3 Podatkovni viri in metodologija</w:t>
      </w:r>
      <w:bookmarkEnd w:id="107"/>
    </w:p>
    <w:p>
      <w:pPr>
        <w:pStyle w:val="Normal"/>
        <w:rPr/>
      </w:pPr>
      <w:r>
        <w:rPr>
          <w:rFonts w:eastAsia="Liberation Sans"/>
        </w:rPr>
        <w:t>Podatki prihajajo iz ZENTRA Cloud oziroma izvoza senzorjev. Urni podatki so normalizirani; pri tenziometrih so odstranjena tisočiška ločila, manjkajoče vrednosti pa ostanejo prazne. Za prikaz se izračunajo dnevna povprečja. Vlažnost se primerja med globinama, Tanki in obdobji. Trenutni povzetki uporabljajo relativne razlike, ne absolutnih pragov, ker pragovi za konkretne substrate in rastline še niso potrjeni.</w:t>
      </w:r>
    </w:p>
    <w:tbl>
      <w:tblPr>
        <w:tblStyle w:val="Tabelamrea"/>
        <w:tblW w:w="10612"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2498"/>
        <w:gridCol w:w="2498"/>
        <w:gridCol w:w="2591"/>
        <w:gridCol w:w="3024"/>
      </w:tblGrid>
      <w:tr>
        <w:trPr>
          <w:tblHeader w:val="true"/>
        </w:trPr>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Senzorski sklop</w:t>
            </w:r>
          </w:p>
        </w:tc>
        <w:tc>
          <w:tcPr>
            <w:tcW w:w="249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Kaj meri</w:t>
            </w:r>
          </w:p>
        </w:tc>
        <w:tc>
          <w:tcPr>
            <w:tcW w:w="2591"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Trenutna uporaba</w:t>
            </w:r>
          </w:p>
        </w:tc>
        <w:tc>
          <w:tcPr>
            <w:tcW w:w="3024"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Potrebna potrditev</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Vlažnost 15/35 cm</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volumetrični delež vode v tleh</w:t>
            </w:r>
          </w:p>
        </w:tc>
        <w:tc>
          <w:tcPr>
            <w:tcW w:w="259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glavni trendi in primerjave</w:t>
            </w:r>
          </w:p>
        </w:tc>
        <w:tc>
          <w:tcPr>
            <w:tcW w:w="302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kalibracija za konkretni substrat, območje veljavnih vrednosti</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Tenziometer 15/35 cm</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kako močno je voda vezana v tleh</w:t>
            </w:r>
          </w:p>
        </w:tc>
        <w:tc>
          <w:tcPr>
            <w:tcW w:w="259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graf in razlaga brez diagnoze</w:t>
            </w:r>
          </w:p>
        </w:tc>
        <w:tc>
          <w:tcPr>
            <w:tcW w:w="302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pravilna enota, območje, saturacija/napaka, servisni dogodki</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Padavinski signal</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zabeležene vrednosti, ki se razlikujejo med Tanki</w:t>
            </w:r>
          </w:p>
        </w:tc>
        <w:tc>
          <w:tcPr>
            <w:tcW w:w="259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ne uporablja se kot enotna vsota</w:t>
            </w:r>
          </w:p>
        </w:tc>
        <w:tc>
          <w:tcPr>
            <w:tcW w:w="302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ali gre za senzor, kanal, kumulativo, reset ali lokalno meritev</w:t>
            </w:r>
          </w:p>
        </w:tc>
      </w:tr>
      <w:tr>
        <w:trPr/>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Vremenska postaja</w:t>
            </w:r>
          </w:p>
        </w:tc>
        <w:tc>
          <w:tcPr>
            <w:tcW w:w="249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padavine, sevanje, veter, vlaga zraka in drugo</w:t>
            </w:r>
          </w:p>
        </w:tc>
        <w:tc>
          <w:tcPr>
            <w:tcW w:w="2591"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trenutno predvsem opisni kontekst</w:t>
            </w:r>
          </w:p>
        </w:tc>
        <w:tc>
          <w:tcPr>
            <w:tcW w:w="302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7"/>
                <w:szCs w:val="22"/>
                <w:lang w:val="en-US" w:eastAsia="en-US" w:bidi="ar-SA"/>
              </w:rPr>
              <w:t>točna vezava ATMOS 41 G2/ECRN-100, enote, kakovost in časovna sinhronizacija</w:t>
            </w:r>
          </w:p>
        </w:tc>
      </w:tr>
    </w:tbl>
    <w:p>
      <w:pPr>
        <w:pStyle w:val="Normal"/>
        <w:spacing w:before="0" w:after="0"/>
        <w:rPr/>
      </w:pPr>
      <w:r>
        <w:rPr/>
      </w:r>
    </w:p>
    <w:p>
      <w:pPr>
        <w:pStyle w:val="Heading2"/>
        <w:rPr/>
      </w:pPr>
      <w:bookmarkStart w:id="108" w:name="__RefHeading___Toc4911_3353252975"/>
      <w:bookmarkStart w:id="109" w:name="_Toc236375295"/>
      <w:bookmarkEnd w:id="108"/>
      <w:r>
        <w:rPr/>
        <w:t>11.4 TO DO</w:t>
      </w:r>
      <w:bookmarkEnd w:id="109"/>
    </w:p>
    <w:p>
      <w:pPr>
        <w:pStyle w:val="ListBullet"/>
        <w:numPr>
          <w:ilvl w:val="0"/>
          <w:numId w:val="1"/>
        </w:numPr>
        <w:spacing w:before="0" w:after="50"/>
        <w:ind w:hanging="360" w:left="0"/>
        <w:contextualSpacing/>
        <w:rPr/>
      </w:pPr>
      <w:r>
        <w:rPr>
          <w:rFonts w:eastAsia="Liberation Sans"/>
        </w:rPr>
        <w:t>Pridobiti uradni podatkovni slovar ZENTRA, opise senzorjev, serijske številke, porte, enote, kalibracije in pomen kakovostnih zastavic.</w:t>
      </w:r>
    </w:p>
    <w:p>
      <w:pPr>
        <w:pStyle w:val="ListBullet"/>
        <w:numPr>
          <w:ilvl w:val="0"/>
          <w:numId w:val="1"/>
        </w:numPr>
        <w:spacing w:before="0" w:after="50"/>
        <w:ind w:hanging="360" w:left="0"/>
        <w:contextualSpacing/>
        <w:rPr/>
      </w:pPr>
      <w:r>
        <w:rPr>
          <w:rFonts w:eastAsia="Liberation Sans"/>
        </w:rPr>
        <w:t>Potrditi meteorološki vir in razložiti, zakaj se padavinski podatki med Tanki razlikujejo.</w:t>
      </w:r>
    </w:p>
    <w:p>
      <w:pPr>
        <w:pStyle w:val="ListBullet"/>
        <w:numPr>
          <w:ilvl w:val="0"/>
          <w:numId w:val="1"/>
        </w:numPr>
        <w:spacing w:before="0" w:after="50"/>
        <w:ind w:hanging="360" w:left="0"/>
        <w:contextualSpacing/>
        <w:rPr/>
      </w:pPr>
      <w:r>
        <w:rPr>
          <w:rFonts w:eastAsia="Liberation Sans"/>
        </w:rPr>
        <w:t>Opredeliti kalibrirane pragove za substrate in rastline: suho, sprejemljivo, optimalno, mokro in nasičeno; pragove potrdi strokovnjak, ne AI.</w:t>
      </w:r>
    </w:p>
    <w:p>
      <w:pPr>
        <w:pStyle w:val="ListBullet"/>
        <w:numPr>
          <w:ilvl w:val="0"/>
          <w:numId w:val="1"/>
        </w:numPr>
        <w:spacing w:before="0" w:after="50"/>
        <w:ind w:hanging="360" w:left="0"/>
        <w:contextualSpacing/>
        <w:rPr/>
      </w:pPr>
      <w:r>
        <w:rPr>
          <w:rFonts w:eastAsia="Liberation Sans"/>
        </w:rPr>
        <w:t>Dodati temperaturo tal, temperaturo/vlažnost zraka, sončno obsevanje, veter, VPD in oceno evapotranspiracije, ko bodo podatki pravilno dokumentirani.</w:t>
      </w:r>
    </w:p>
    <w:p>
      <w:pPr>
        <w:pStyle w:val="ListBullet"/>
        <w:numPr>
          <w:ilvl w:val="0"/>
          <w:numId w:val="1"/>
        </w:numPr>
        <w:spacing w:before="0" w:after="50"/>
        <w:ind w:hanging="360" w:left="0"/>
        <w:contextualSpacing/>
        <w:rPr/>
      </w:pPr>
      <w:r>
        <w:rPr>
          <w:rFonts w:eastAsia="Liberation Sans"/>
        </w:rPr>
        <w:t>Voditi dnevnik zalivanja, vzdrževanja, sajenja, košnje, okvar, prestavitev senzorja in drugih dogodkov.</w:t>
      </w:r>
    </w:p>
    <w:p>
      <w:pPr>
        <w:pStyle w:val="ListBullet"/>
        <w:numPr>
          <w:ilvl w:val="0"/>
          <w:numId w:val="1"/>
        </w:numPr>
        <w:spacing w:before="0" w:after="50"/>
        <w:ind w:hanging="360" w:left="0"/>
        <w:contextualSpacing/>
        <w:rPr/>
      </w:pPr>
      <w:r>
        <w:rPr>
          <w:rFonts w:eastAsia="Liberation Sans"/>
        </w:rPr>
        <w:t>Dodati fotografije in fenološka opažanja rastlin, da se številke povežejo z dejanskim stanjem zasaditve.</w:t>
      </w:r>
    </w:p>
    <w:p>
      <w:pPr>
        <w:pStyle w:val="ListBullet"/>
        <w:numPr>
          <w:ilvl w:val="0"/>
          <w:numId w:val="1"/>
        </w:numPr>
        <w:spacing w:before="0" w:after="50"/>
        <w:ind w:hanging="360" w:left="0"/>
        <w:contextualSpacing/>
        <w:rPr/>
      </w:pPr>
      <w:r>
        <w:rPr>
          <w:rFonts w:eastAsia="Liberation Sans"/>
        </w:rPr>
        <w:t>Zbirati najmanj celo rastno sezono, po možnosti več let, ter ponovitve enakih sestav, če naj se sklep o vplivu peska ali rastlin obravnava kot dokaznejši.</w:t>
      </w:r>
    </w:p>
    <w:p>
      <w:pPr>
        <w:pStyle w:val="ListBullet"/>
        <w:numPr>
          <w:ilvl w:val="0"/>
          <w:numId w:val="1"/>
        </w:numPr>
        <w:spacing w:before="0" w:after="50"/>
        <w:ind w:hanging="360" w:left="0"/>
        <w:contextualSpacing/>
        <w:rPr/>
      </w:pPr>
      <w:r>
        <w:rPr>
          <w:rFonts w:eastAsia="Liberation Sans"/>
        </w:rPr>
        <w:t>Dodati zaznavanje anomalij senzorjev in ločiti »nenavadno okoljsko stanje« od »verjetne tehnične napake«.</w:t>
      </w:r>
    </w:p>
    <w:p>
      <w:pPr>
        <w:pStyle w:val="ListBullet"/>
        <w:numPr>
          <w:ilvl w:val="0"/>
          <w:numId w:val="1"/>
        </w:numPr>
        <w:spacing w:before="0" w:after="50"/>
        <w:ind w:hanging="360" w:left="0"/>
        <w:contextualSpacing/>
        <w:rPr/>
      </w:pPr>
      <w:r>
        <w:rPr>
          <w:rFonts w:eastAsia="Liberation Sans"/>
        </w:rPr>
        <w:t>Dodati simulacije odziva na padavinski dogodek, sušno obdobje, zalivanje in različne deleže peska – šele po kalibraciji in daljšem nizu.</w:t>
      </w:r>
    </w:p>
    <w:p>
      <w:pPr>
        <w:pStyle w:val="Heading1"/>
        <w:rPr/>
      </w:pPr>
      <w:bookmarkStart w:id="110" w:name="__RefHeading___Toc4913_3353252975"/>
      <w:bookmarkEnd w:id="110"/>
      <w:r>
        <w:rPr/>
        <w:t>12. Razvojna možnost: AI analiza občinskega proračuna</w:t>
      </w:r>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F5F8FA"/>
              <w:left w:val="single" w:sz="16" w:space="0" w:color="52636D"/>
              <w:bottom w:val="single" w:sz="2" w:space="0" w:color="F5F8FA"/>
              <w:right w:val="single" w:sz="2" w:space="0" w:color="F5F8FA"/>
            </w:tcBorders>
            <w:shd w:color="auto" w:fill="F5F8FA" w:val="clear"/>
          </w:tcPr>
          <w:p>
            <w:pPr>
              <w:pStyle w:val="Callout"/>
              <w:rPr/>
            </w:pPr>
            <w:r>
              <w:rPr>
                <w:rFonts w:eastAsia="Liberation Sans"/>
                <w:b/>
                <w:color w:val="52636D"/>
              </w:rPr>
              <w:t>Status koncepta</w:t>
            </w:r>
            <w:r>
              <w:rPr>
                <w:rFonts w:eastAsia="Liberation Sans"/>
              </w:rPr>
              <w:br/>
              <w:t>AI analiza občinskega proračuna ni del zaključene prve razvojne faze in trenutno ni načrtovani modul. Poglavje ostaja dokumentirana razvojna možnost za čas, ko bodo potrjeni interes, podatkovni model in vhodni dokumenti.</w:t>
            </w:r>
          </w:p>
        </w:tc>
      </w:tr>
    </w:tbl>
    <w:p>
      <w:pPr>
        <w:pStyle w:val="Normal"/>
        <w:spacing w:before="0" w:after="0"/>
        <w:rPr/>
      </w:pPr>
      <w:r>
        <w:rPr/>
      </w:r>
    </w:p>
    <w:p>
      <w:pPr>
        <w:pStyle w:val="Heading2"/>
        <w:rPr/>
      </w:pPr>
      <w:bookmarkStart w:id="111" w:name="__RefHeading___Toc4915_3353252975"/>
      <w:bookmarkStart w:id="112" w:name="_Toc236375297"/>
      <w:bookmarkEnd w:id="111"/>
      <w:r>
        <w:rPr/>
        <w:t>12.1 Namen in cilj</w:t>
      </w:r>
      <w:bookmarkEnd w:id="112"/>
    </w:p>
    <w:p>
      <w:pPr>
        <w:pStyle w:val="Normal"/>
        <w:rPr/>
      </w:pPr>
      <w:r>
        <w:rPr>
          <w:rFonts w:eastAsia="Liberation Sans"/>
        </w:rPr>
        <w:t>Namen bo javno in interno razumljiva analiza občinskega proračuna, ki poleg prikaza prihodkov in odhodkov pojasni razlike med sprejetim proračunom, rebalansi in realizacijo ter omogoči scenarije posledic odločitev. Cilj ni avtomatsko finančno odločanje, temveč preglednost, zgodnje zaznavanje odstopanj in boljše razumevanje razvojnih prioritet.</w:t>
      </w:r>
    </w:p>
    <w:p>
      <w:pPr>
        <w:pStyle w:val="Heading2"/>
        <w:rPr/>
      </w:pPr>
      <w:bookmarkStart w:id="113" w:name="__RefHeading___Toc4917_3353252975"/>
      <w:bookmarkStart w:id="114" w:name="_Toc236375298"/>
      <w:bookmarkEnd w:id="113"/>
      <w:r>
        <w:rPr/>
        <w:t>12.2 Predvideni podatkovni viri</w:t>
      </w:r>
      <w:bookmarkEnd w:id="114"/>
    </w:p>
    <w:p>
      <w:pPr>
        <w:pStyle w:val="ListBullet"/>
        <w:numPr>
          <w:ilvl w:val="0"/>
          <w:numId w:val="1"/>
        </w:numPr>
        <w:spacing w:before="0" w:after="50"/>
        <w:ind w:hanging="360" w:left="0"/>
        <w:contextualSpacing/>
        <w:rPr/>
      </w:pPr>
      <w:r>
        <w:rPr>
          <w:rFonts w:eastAsia="Liberation Sans"/>
        </w:rPr>
        <w:t>zaključni računi več let in realizacija po obdobjih;</w:t>
      </w:r>
    </w:p>
    <w:p>
      <w:pPr>
        <w:pStyle w:val="ListBullet"/>
        <w:numPr>
          <w:ilvl w:val="0"/>
          <w:numId w:val="1"/>
        </w:numPr>
        <w:spacing w:before="0" w:after="50"/>
        <w:ind w:hanging="360" w:left="0"/>
        <w:contextualSpacing/>
        <w:rPr/>
      </w:pPr>
      <w:r>
        <w:rPr>
          <w:rFonts w:eastAsia="Liberation Sans"/>
        </w:rPr>
        <w:t>sprejeti proračuni in vsi rebalansi;</w:t>
      </w:r>
    </w:p>
    <w:p>
      <w:pPr>
        <w:pStyle w:val="ListBullet"/>
        <w:numPr>
          <w:ilvl w:val="0"/>
          <w:numId w:val="1"/>
        </w:numPr>
        <w:spacing w:before="0" w:after="50"/>
        <w:ind w:hanging="360" w:left="0"/>
        <w:contextualSpacing/>
        <w:rPr/>
      </w:pPr>
      <w:r>
        <w:rPr>
          <w:rFonts w:eastAsia="Liberation Sans"/>
        </w:rPr>
        <w:t>prihodki, odhodki, proračunske postavke, konti, programi in podprogrami;</w:t>
      </w:r>
    </w:p>
    <w:p>
      <w:pPr>
        <w:pStyle w:val="ListBullet"/>
        <w:numPr>
          <w:ilvl w:val="0"/>
          <w:numId w:val="1"/>
        </w:numPr>
        <w:spacing w:before="0" w:after="50"/>
        <w:ind w:hanging="360" w:left="0"/>
        <w:contextualSpacing/>
        <w:rPr/>
      </w:pPr>
      <w:r>
        <w:rPr>
          <w:rFonts w:eastAsia="Liberation Sans"/>
        </w:rPr>
        <w:t>NRP – načrt razvojnih programov, dinamika projektov in viri financiranja;</w:t>
      </w:r>
    </w:p>
    <w:p>
      <w:pPr>
        <w:pStyle w:val="ListBullet"/>
        <w:numPr>
          <w:ilvl w:val="0"/>
          <w:numId w:val="1"/>
        </w:numPr>
        <w:spacing w:before="0" w:after="50"/>
        <w:ind w:hanging="360" w:left="0"/>
        <w:contextualSpacing/>
        <w:rPr/>
      </w:pPr>
      <w:r>
        <w:rPr>
          <w:rFonts w:eastAsia="Liberation Sans"/>
        </w:rPr>
        <w:t>odloki o proračunu, sklepi, investicijska dokumentacija in pogodbeno prevzete obveznosti;</w:t>
      </w:r>
    </w:p>
    <w:p>
      <w:pPr>
        <w:pStyle w:val="ListBullet"/>
        <w:numPr>
          <w:ilvl w:val="0"/>
          <w:numId w:val="1"/>
        </w:numPr>
        <w:spacing w:before="0" w:after="50"/>
        <w:ind w:hanging="360" w:left="0"/>
        <w:contextualSpacing/>
        <w:rPr/>
      </w:pPr>
      <w:r>
        <w:rPr>
          <w:rFonts w:eastAsia="Liberation Sans"/>
        </w:rPr>
        <w:t>ZJF, ZFO in druge relevantne pravne podlage;</w:t>
      </w:r>
    </w:p>
    <w:p>
      <w:pPr>
        <w:pStyle w:val="ListBullet"/>
        <w:numPr>
          <w:ilvl w:val="0"/>
          <w:numId w:val="1"/>
        </w:numPr>
        <w:spacing w:before="0" w:after="50"/>
        <w:ind w:hanging="360" w:left="0"/>
        <w:contextualSpacing/>
        <w:rPr/>
      </w:pPr>
      <w:r>
        <w:rPr>
          <w:rFonts w:eastAsia="Liberation Sans"/>
        </w:rPr>
        <w:t>državni/EU transferji, razpisi, zadolževanje, obresti, likvidnost in demografski/ekonomski kontekst.</w:t>
      </w:r>
    </w:p>
    <w:p>
      <w:pPr>
        <w:pStyle w:val="Heading2"/>
        <w:rPr/>
      </w:pPr>
      <w:bookmarkStart w:id="115" w:name="__RefHeading___Toc4919_3353252975"/>
      <w:bookmarkStart w:id="116" w:name="_Toc236375299"/>
      <w:bookmarkEnd w:id="115"/>
      <w:r>
        <w:rPr/>
        <w:t>12.3 Predvidena metodologija in simulacije</w:t>
      </w:r>
      <w:bookmarkEnd w:id="116"/>
    </w:p>
    <w:p>
      <w:pPr>
        <w:pStyle w:val="ListBullet"/>
        <w:numPr>
          <w:ilvl w:val="0"/>
          <w:numId w:val="1"/>
        </w:numPr>
        <w:spacing w:before="0" w:after="50"/>
        <w:ind w:hanging="360" w:left="0"/>
        <w:contextualSpacing/>
        <w:rPr/>
      </w:pPr>
      <w:r>
        <w:rPr>
          <w:rFonts w:eastAsia="Liberation Sans"/>
        </w:rPr>
        <w:t>Enoten večletni model: plan, rebalans, realizacija, odstopanje in trend.</w:t>
      </w:r>
    </w:p>
    <w:p>
      <w:pPr>
        <w:pStyle w:val="ListBullet"/>
        <w:numPr>
          <w:ilvl w:val="0"/>
          <w:numId w:val="1"/>
        </w:numPr>
        <w:spacing w:before="0" w:after="50"/>
        <w:ind w:hanging="360" w:left="0"/>
        <w:contextualSpacing/>
        <w:rPr/>
      </w:pPr>
      <w:r>
        <w:rPr>
          <w:rFonts w:eastAsia="Liberation Sans"/>
        </w:rPr>
        <w:t>Ločitev tekočih in investicijskih prihodkov/odhodkov ter lastnih in namenskih virov.</w:t>
      </w:r>
    </w:p>
    <w:p>
      <w:pPr>
        <w:pStyle w:val="ListBullet"/>
        <w:numPr>
          <w:ilvl w:val="0"/>
          <w:numId w:val="1"/>
        </w:numPr>
        <w:spacing w:before="0" w:after="50"/>
        <w:ind w:hanging="360" w:left="0"/>
        <w:contextualSpacing/>
        <w:rPr/>
      </w:pPr>
      <w:r>
        <w:rPr>
          <w:rFonts w:eastAsia="Liberation Sans"/>
        </w:rPr>
        <w:t>Preračun nominalnih in realnih vrednosti z inflacijo, kadar je to smiselno.</w:t>
      </w:r>
    </w:p>
    <w:p>
      <w:pPr>
        <w:pStyle w:val="ListBullet"/>
        <w:numPr>
          <w:ilvl w:val="0"/>
          <w:numId w:val="1"/>
        </w:numPr>
        <w:spacing w:before="0" w:after="50"/>
        <w:ind w:hanging="360" w:left="0"/>
        <w:contextualSpacing/>
        <w:rPr/>
      </w:pPr>
      <w:r>
        <w:rPr>
          <w:rFonts w:eastAsia="Liberation Sans"/>
        </w:rPr>
        <w:t>Scenarij stagnacije prihodkov in rasti stroškov; učinek na presežek/primanjkljaj.</w:t>
      </w:r>
    </w:p>
    <w:p>
      <w:pPr>
        <w:pStyle w:val="ListBullet"/>
        <w:numPr>
          <w:ilvl w:val="0"/>
          <w:numId w:val="1"/>
        </w:numPr>
        <w:spacing w:before="0" w:after="50"/>
        <w:ind w:hanging="360" w:left="0"/>
        <w:contextualSpacing/>
        <w:rPr/>
      </w:pPr>
      <w:r>
        <w:rPr>
          <w:rFonts w:eastAsia="Liberation Sans"/>
        </w:rPr>
        <w:t>Scenarij zamika ali podražitve NRP projekta; vpliv na leta, vire in druge projekte.</w:t>
      </w:r>
    </w:p>
    <w:p>
      <w:pPr>
        <w:pStyle w:val="ListBullet"/>
        <w:numPr>
          <w:ilvl w:val="0"/>
          <w:numId w:val="1"/>
        </w:numPr>
        <w:spacing w:before="0" w:after="50"/>
        <w:ind w:hanging="360" w:left="0"/>
        <w:contextualSpacing/>
        <w:rPr/>
      </w:pPr>
      <w:r>
        <w:rPr>
          <w:rFonts w:eastAsia="Liberation Sans"/>
        </w:rPr>
        <w:t>Scenarij nove investicije, sofinanciranja, zadolževanja in stroškov vzdrževanja po zaključku.</w:t>
      </w:r>
    </w:p>
    <w:p>
      <w:pPr>
        <w:pStyle w:val="ListBullet"/>
        <w:numPr>
          <w:ilvl w:val="0"/>
          <w:numId w:val="1"/>
        </w:numPr>
        <w:spacing w:before="0" w:after="50"/>
        <w:ind w:hanging="360" w:left="0"/>
        <w:contextualSpacing/>
        <w:rPr/>
      </w:pPr>
      <w:r>
        <w:rPr>
          <w:rFonts w:eastAsia="Liberation Sans"/>
        </w:rPr>
        <w:t>Ocena izvedljivosti na podlagi zgodovinske realizacije podobnih postavk, ne samo sprejetega plana.</w:t>
      </w:r>
    </w:p>
    <w:p>
      <w:pPr>
        <w:pStyle w:val="ListBullet"/>
        <w:numPr>
          <w:ilvl w:val="0"/>
          <w:numId w:val="1"/>
        </w:numPr>
        <w:spacing w:before="0" w:after="50"/>
        <w:ind w:hanging="360" w:left="0"/>
        <w:contextualSpacing/>
        <w:rPr/>
      </w:pPr>
      <w:r>
        <w:rPr>
          <w:rFonts w:eastAsia="Liberation Sans"/>
        </w:rPr>
        <w:t>Razlaga zakonskih in namenskih omejitev pri prerazporejanju sredstev.</w:t>
      </w:r>
    </w:p>
    <w:p>
      <w:pPr>
        <w:pStyle w:val="Heading2"/>
        <w:rPr/>
      </w:pPr>
      <w:bookmarkStart w:id="117" w:name="__RefHeading___Toc4921_3353252975"/>
      <w:bookmarkStart w:id="118" w:name="_Toc236375300"/>
      <w:bookmarkEnd w:id="117"/>
      <w:r>
        <w:rPr/>
        <w:t>12.4 Predpogoji za zanesljivost</w:t>
      </w:r>
      <w:bookmarkEnd w:id="118"/>
    </w:p>
    <w:p>
      <w:pPr>
        <w:pStyle w:val="ListBullet"/>
        <w:numPr>
          <w:ilvl w:val="0"/>
          <w:numId w:val="1"/>
        </w:numPr>
        <w:spacing w:before="0" w:after="50"/>
        <w:ind w:hanging="360" w:left="0"/>
        <w:contextualSpacing/>
        <w:rPr/>
      </w:pPr>
      <w:r>
        <w:rPr>
          <w:rFonts w:eastAsia="Liberation Sans"/>
        </w:rPr>
        <w:t>stabilen šifrant postavk in povezava starih/novih oznak;</w:t>
      </w:r>
    </w:p>
    <w:p>
      <w:pPr>
        <w:pStyle w:val="ListBullet"/>
        <w:numPr>
          <w:ilvl w:val="0"/>
          <w:numId w:val="1"/>
        </w:numPr>
        <w:spacing w:before="0" w:after="50"/>
        <w:ind w:hanging="360" w:left="0"/>
        <w:contextualSpacing/>
        <w:rPr/>
      </w:pPr>
      <w:r>
        <w:rPr>
          <w:rFonts w:eastAsia="Liberation Sans"/>
        </w:rPr>
        <w:t>jasna verzija vsakega proračuna in rebalansa;</w:t>
      </w:r>
    </w:p>
    <w:p>
      <w:pPr>
        <w:pStyle w:val="ListBullet"/>
        <w:numPr>
          <w:ilvl w:val="0"/>
          <w:numId w:val="1"/>
        </w:numPr>
        <w:spacing w:before="0" w:after="50"/>
        <w:ind w:hanging="360" w:left="0"/>
        <w:contextualSpacing/>
        <w:rPr/>
      </w:pPr>
      <w:r>
        <w:rPr>
          <w:rFonts w:eastAsia="Liberation Sans"/>
        </w:rPr>
        <w:t>ločeni enkratni in ponavljajoči se učinki;</w:t>
      </w:r>
    </w:p>
    <w:p>
      <w:pPr>
        <w:pStyle w:val="ListBullet"/>
        <w:numPr>
          <w:ilvl w:val="0"/>
          <w:numId w:val="1"/>
        </w:numPr>
        <w:spacing w:before="0" w:after="50"/>
        <w:ind w:hanging="360" w:left="0"/>
        <w:contextualSpacing/>
        <w:rPr/>
      </w:pPr>
      <w:r>
        <w:rPr>
          <w:rFonts w:eastAsia="Liberation Sans"/>
        </w:rPr>
        <w:t>povezava NRP s postavkami in dejanskimi plačili;</w:t>
      </w:r>
    </w:p>
    <w:p>
      <w:pPr>
        <w:pStyle w:val="ListBullet"/>
        <w:numPr>
          <w:ilvl w:val="0"/>
          <w:numId w:val="1"/>
        </w:numPr>
        <w:spacing w:before="0" w:after="50"/>
        <w:ind w:hanging="360" w:left="0"/>
        <w:contextualSpacing/>
        <w:rPr/>
      </w:pPr>
      <w:r>
        <w:rPr>
          <w:rFonts w:eastAsia="Liberation Sans"/>
        </w:rPr>
        <w:t>dokumentirana pravila za izločanje notranjih prenosov in dvojnega štetja;</w:t>
      </w:r>
    </w:p>
    <w:p>
      <w:pPr>
        <w:pStyle w:val="ListBullet"/>
        <w:numPr>
          <w:ilvl w:val="0"/>
          <w:numId w:val="1"/>
        </w:numPr>
        <w:spacing w:before="0" w:after="50"/>
        <w:ind w:hanging="360" w:left="0"/>
        <w:contextualSpacing/>
        <w:rPr/>
      </w:pPr>
      <w:r>
        <w:rPr>
          <w:rFonts w:eastAsia="Liberation Sans"/>
        </w:rPr>
        <w:t>strokovni pregled finančne službe pred javno objavo scenarijev.</w:t>
      </w:r>
    </w:p>
    <w:p>
      <w:pPr>
        <w:pStyle w:val="Normal"/>
        <w:rPr/>
      </w:pPr>
      <w:r>
        <w:rPr/>
      </w:r>
      <w:r>
        <w:br w:type="page"/>
      </w:r>
    </w:p>
    <w:p>
      <w:pPr>
        <w:pStyle w:val="Heading1"/>
        <w:spacing w:before="0" w:after="140"/>
        <w:rPr/>
      </w:pPr>
      <w:bookmarkStart w:id="119" w:name="__RefHeading___Toc4923_3353252975"/>
      <w:bookmarkStart w:id="120" w:name="_Toc236375301"/>
      <w:bookmarkEnd w:id="119"/>
      <w:r>
        <w:rPr/>
        <w:t>13. Posebno poglavje: kaj dodati za natančnejše analize in boljši Utrip</w:t>
      </w:r>
      <w:bookmarkEnd w:id="120"/>
    </w:p>
    <w:p>
      <w:pPr>
        <w:pStyle w:val="Normal"/>
        <w:rPr/>
      </w:pPr>
      <w:r>
        <w:rPr>
          <w:rFonts w:eastAsia="Liberation Sans"/>
        </w:rPr>
        <w:t>Spodnja priporočila so prednostni seznam dodatnih virov, simulacij in metod, ki bi najbolj povečali uporabnost in dokazljivost posameznega modula.</w:t>
      </w:r>
    </w:p>
    <w:tbl>
      <w:tblPr>
        <w:tblStyle w:val="Tabelamrea"/>
        <w:tblW w:w="11188"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98"/>
        <w:gridCol w:w="3096"/>
        <w:gridCol w:w="3095"/>
        <w:gridCol w:w="2498"/>
      </w:tblGrid>
      <w:tr>
        <w:trPr>
          <w:tblHeader w:val="true"/>
        </w:trPr>
        <w:tc>
          <w:tcPr>
            <w:tcW w:w="2498"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Aplikacija</w:t>
            </w:r>
          </w:p>
        </w:tc>
        <w:tc>
          <w:tcPr>
            <w:tcW w:w="3096"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Najpomembnejši novi viri</w:t>
            </w:r>
          </w:p>
        </w:tc>
        <w:tc>
          <w:tcPr>
            <w:tcW w:w="3095"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Predlagane simulacije</w:t>
            </w:r>
          </w:p>
        </w:tc>
        <w:tc>
          <w:tcPr>
            <w:tcW w:w="2498"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Kaj izboljša zanesljivost</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AI promet</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več prometnih točk, dnevne parkirnine, zapore/dela, javni prevoz, šolski koledar, nesreče; PISO geometrije BCP, pločnikov, omejitev in postajališč; OPN/OPPN</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tarife in brezplačna ura; novo/ukinjeno parkirišče; zapora ceste; nova delovna mesta ali stanovanja; velik dogodek</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dnevna časovna uskladitev, backtesting, več lokacij, geometrijsko preverjanje, šifranti in intervali napovedi</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Javni prometni prikaz</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isti preverjeni viri kot analitika + datumi osvežitve</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primerjava obdobij in scenarij brez ocenjenih dni</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jasna pokritost, prikaz negotovosti, manj posploševanja</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Turizem</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daljši GA4 niz (12–24+ polnih mesecev), združen Country + Page izvoz, key events/konverzije, Search Console, dnevni obisk, atrakcije/vstopnice, nastanitvene kategorije, cene, dogodki, vreme in mobilnost</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podaljšanje sezone; kampanja po trgu; nov dogodek; nova ležišča z oceno povpraševanja; sprememba takse; po dovolj dolgem nizu opis časovnega zamika spletnega zanimanja</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polni primerljivi meseci, merjenje obiskovalcev brez prenočitve, dogovorjene konverzije, segmentacija po trgih in vsebinah, backtesting ter ločevanje korelacije od vzročnosti</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Uresničevanje Strategije turizma</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akcijski načrt, letna poročila o izvajanju, register ukrepov, podatki atrakcij in dogodkov, mobilnost, trajnostni kazalniki, dokazila projektov, OPN/OPPN</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brez simulacij; samo uradni cilj, dejansko stanje, primerljivo obdobje in dokazljiv status ukrepov</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jasne ciljne definicije, isti način merjenja skozi leta, dokazila o izvedbi in popolna časovna primerljivost</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Tržič v turističnem okolju</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periodične osvežitve šestih SURS tabel, dodatni primerljivi stroški/cene, kakovost in odprtost nastanitev, lokalna gospodarska realizacija, promocija, dogodki, vreme, dnevni obisk ter agregirani mobilnostni podatki</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občutljivost rezultatov na izbor obdobja, občin in potrošnih predpostavk; scenariji tržnega prelivanja šele po dodatni validaciji</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daljša časovna vrsta, enake definicije, preverjanje zaščitenih vrednosti, lokalni podatki potrošnje, kontrola sezonskosti in ločevanje povezave od vzročnosti</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Deževni vrt</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kalibracije, prava meteorološka postaja, dnevnik zalivanja/servisa, temperature, VPD/ET0, fotografije, ponovitve</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padavinski dogodek; suša; zalivanje; primerjava substratov; pričakovani čas odtekanja</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daljše obdobje, strokovni pragovi, ponovitve, kakovostne zastavice senzorjev</w:t>
            </w:r>
          </w:p>
        </w:tc>
      </w:tr>
      <w:tr>
        <w:trPr/>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Proračun</w:t>
            </w:r>
          </w:p>
        </w:tc>
        <w:tc>
          <w:tcPr>
            <w:tcW w:w="3096"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večletni plan/rebalans/realizacija, NRP, pogodbe, transferji, inflacija, zadolževanje</w:t>
            </w:r>
          </w:p>
        </w:tc>
        <w:tc>
          <w:tcPr>
            <w:tcW w:w="309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rast stroškov, stagnacija prihodkov, zamik investicije, nova investicija, sofinanciranje, dolg</w:t>
            </w:r>
          </w:p>
        </w:tc>
        <w:tc>
          <w:tcPr>
            <w:tcW w:w="2498"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stabilni šifranti, pravilno povezane verzije, strokovni pregled finančne službe</w:t>
            </w:r>
          </w:p>
        </w:tc>
      </w:tr>
    </w:tbl>
    <w:p>
      <w:pPr>
        <w:pStyle w:val="Normal"/>
        <w:spacing w:before="0" w:after="0"/>
        <w:rPr/>
      </w:pPr>
      <w:r>
        <w:rPr/>
      </w:r>
    </w:p>
    <w:p>
      <w:pPr>
        <w:pStyle w:val="Heading1"/>
        <w:rPr/>
      </w:pPr>
      <w:bookmarkStart w:id="121" w:name="__RefHeading___Toc4925_3353252975"/>
      <w:bookmarkStart w:id="122" w:name="_Toc236375302"/>
      <w:bookmarkEnd w:id="121"/>
      <w:r>
        <w:rPr/>
        <w:t>14. Kontekstualna dokumentacija, ki jo je treba vključevati</w:t>
      </w:r>
      <w:bookmarkEnd w:id="122"/>
    </w:p>
    <w:p>
      <w:pPr>
        <w:pStyle w:val="Normal"/>
        <w:rPr/>
      </w:pPr>
      <w:r>
        <w:rPr>
          <w:rFonts w:eastAsia="Liberation Sans"/>
        </w:rPr>
        <w:t>Pri vsakem appu se podatkovna razlaga preveri tudi glede na veljavne dokumente. Ti dokumenti ne spremenijo meritev, lahko pa pojasnijo, zakaj je bila ureditev uvedena, katere omejitve veljajo in kateri scenariji so pravno ali prostorsko sploh možni.</w:t>
      </w:r>
    </w:p>
    <w:tbl>
      <w:tblPr>
        <w:tblStyle w:val="Tabelamrea"/>
        <w:tblW w:w="11755"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31"/>
        <w:gridCol w:w="4535"/>
        <w:gridCol w:w="3889"/>
      </w:tblGrid>
      <w:tr>
        <w:trPr>
          <w:tblHeader w:val="true"/>
        </w:trPr>
        <w:tc>
          <w:tcPr>
            <w:tcW w:w="3331"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Področje</w:t>
            </w:r>
          </w:p>
        </w:tc>
        <w:tc>
          <w:tcPr>
            <w:tcW w:w="4535"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Dokumenti in viri</w:t>
            </w:r>
          </w:p>
        </w:tc>
        <w:tc>
          <w:tcPr>
            <w:tcW w:w="3889"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5"/>
                <w:szCs w:val="22"/>
                <w:lang w:val="en-US" w:eastAsia="en-US" w:bidi="ar-SA"/>
              </w:rPr>
              <w:t>Vpliv na aplikacije</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Promet in parkiranje</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odlok o cestno prometni ureditvi, sklepi/ceniki, celostna prometna strategija, načrti zapor, parkirni režimi, dovolilnice</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pravila parkiranja, tarife, scenariji kapacitet in razlaga prelomov</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Prostor</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OPN, relevantni OPPN, PISO Desktop in uradni GIS sloji, šifranti, gradbena dovoljenja, stanovanjski in poslovni projekti</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prostorska izvedljivost, povezava cest/pločnikov/postajališč z naselji, scenariji prebivalstva, delovnih mest, prometa in infrastrukture</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Turizem</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Strategija turizma 2024–2031, koledar dogodkov, načrti upravljanja znamenitosti, promocijski načrti, turistično poročanje, merilni načrt GA4, Search Console in dokumentirane kampanje</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5"/>
                <w:szCs w:val="22"/>
                <w:lang w:val="en-US" w:eastAsia="en-US" w:bidi="ar-SA"/>
              </w:rPr>
              <w:t>sezonski cilji, ciljni trgi, dogodki, zmogljivosti, razlaga obiskov ter previdna povezava digitalnega zanimanja z evidentiranim turizmom</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Uresničevanje Strategije turizma</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Strategija 2024–2031, akcijski načrt, letna izvedbena poročila, sklepi, projektna dokumentacija, OPN UPB1 in relevantni OPPN</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cilji, merljivi kazalniki, dokaz izvedbe, prostorska izvedljivost in poštena oznaka nemerljivih ciljev</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Regionalno turistično okolje</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SURS SI-STAT 2164466S, 2164525S, 2164527S, 2176731S, 2176740S in 2176737S; SURS KLASJE eTUR_VrsteOBCIN; strategije primerjanih destinacij; registri nastanitev; promocijski in dogodkovni načrti</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primerljiv razvoj, sezonskost, trgi, zmogljivosti, modelna potrošnja ter previdna razlaga konkurenčnih in prelivnih signalov</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Okolje</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načrti prilagajanja podnebnim spremembam, projektna dokumentacija deževnega vrta, tehnični listi senzorjev, zasaditveni načrt</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pragovi, pričakovano delovanje, izbor rastlin, validacija senzorjev</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Proračun</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odloki, zaključni računi, NRP, investicijski programi, zakonodaja in sklepi</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omejitve scenarijev, namenskost virov, dolgoročne obveznosti</w:t>
            </w:r>
          </w:p>
        </w:tc>
      </w:tr>
      <w:tr>
        <w:trPr/>
        <w:tc>
          <w:tcPr>
            <w:tcW w:w="3331"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Skupno</w:t>
            </w:r>
          </w:p>
        </w:tc>
        <w:tc>
          <w:tcPr>
            <w:tcW w:w="453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strategija razvoja občine, demografija, gospodarstvo, javni projekti, pogodbe z upravljavci podatkov</w:t>
            </w:r>
          </w:p>
        </w:tc>
        <w:tc>
          <w:tcPr>
            <w:tcW w:w="3889"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5"/>
                <w:szCs w:val="22"/>
                <w:lang w:val="en-US" w:eastAsia="en-US" w:bidi="ar-SA"/>
              </w:rPr>
              <w:t>prednostne naloge, razlaga sprememb in kakovost podatkov</w:t>
            </w:r>
          </w:p>
        </w:tc>
      </w:tr>
    </w:tbl>
    <w:p>
      <w:pPr>
        <w:pStyle w:val="Normal"/>
        <w:spacing w:before="0" w:after="0"/>
        <w:rPr/>
      </w:pPr>
      <w:r>
        <w:rPr/>
      </w:r>
    </w:p>
    <w:p>
      <w:pPr>
        <w:pStyle w:val="Heading1"/>
        <w:rPr/>
      </w:pPr>
      <w:bookmarkStart w:id="123" w:name="__RefHeading___Toc4927_3353252975"/>
      <w:bookmarkStart w:id="124" w:name="_Toc236375303"/>
      <w:bookmarkEnd w:id="123"/>
      <w:r>
        <w:rPr/>
        <w:t>15. Prednostni razvojni načrt</w:t>
      </w:r>
      <w:bookmarkEnd w:id="124"/>
    </w:p>
    <w:tbl>
      <w:tblPr>
        <w:tblStyle w:val="Tabelamrea"/>
        <w:tblW w:w="11827"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30"/>
        <w:gridCol w:w="4465"/>
        <w:gridCol w:w="4032"/>
      </w:tblGrid>
      <w:tr>
        <w:trPr>
          <w:tblHeader w:val="true"/>
        </w:trPr>
        <w:tc>
          <w:tcPr>
            <w:tcW w:w="3330"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Faza</w:t>
            </w:r>
          </w:p>
        </w:tc>
        <w:tc>
          <w:tcPr>
            <w:tcW w:w="4465"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Vsebina</w:t>
            </w:r>
          </w:p>
        </w:tc>
        <w:tc>
          <w:tcPr>
            <w:tcW w:w="4032" w:type="dxa"/>
            <w:tcBorders>
              <w:top w:val="single" w:sz="4" w:space="0" w:color="0067A3"/>
              <w:left w:val="single" w:sz="4" w:space="0" w:color="0067A3"/>
              <w:bottom w:val="single" w:sz="4" w:space="0" w:color="0067A3"/>
              <w:right w:val="single" w:sz="4" w:space="0" w:color="0067A3"/>
            </w:tcBorders>
            <w:shd w:color="auto" w:fill="D9EAF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Liberation Sans" w:cs=""/>
                <w:b/>
                <w:color w:val="FFFFFF"/>
                <w:kern w:val="0"/>
                <w:sz w:val="16"/>
                <w:szCs w:val="22"/>
                <w:lang w:val="en-US" w:eastAsia="en-US" w:bidi="ar-SA"/>
              </w:rPr>
              <w:t>Rezultat</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1. Temelji – zaključeno 31. 7. 2026</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usklajene verzije, VERSION.js, TEMELJI v1.5, CHANGELOG v1.5, PODATKOVNI KATALOG v1.1, PISO kontekst in zadnji ZIP</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avtoritativni presek prve faze</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2. Kakovost podatkov</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avtomatske kontrole, datumi osvežitve, status merjeno/ocenjeno, podatkovni slovar</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manj tihih napak in boljša sledljivost</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3. Validacija modelov</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časovni backtesting, napake, intervali, stabilnost po letih, občutljivost</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zanesljivost, ki temelji na merjeni uspešnosti</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4. Kontekst</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vključitev odlokov, strategij, OPN/OPPN, PISO/GIS slojev in tehnične dokumentacije</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realnejše in pravno/prostorsko smiselne razlage</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5. Avtomatizacija</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ETL, občinski podatkovni API, načrt osveževanja, testi pred objavo</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manj ročnega dela in ponovljive izdaje</w:t>
            </w:r>
          </w:p>
        </w:tc>
      </w:tr>
      <w:tr>
        <w:trPr/>
        <w:tc>
          <w:tcPr>
            <w:tcW w:w="3330"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6. Javna transparentnost</w:t>
            </w:r>
          </w:p>
        </w:tc>
        <w:tc>
          <w:tcPr>
            <w:tcW w:w="4465"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viri ob grafih, metodologija, changelog, odprte omejitve</w:t>
            </w:r>
          </w:p>
        </w:tc>
        <w:tc>
          <w:tcPr>
            <w:tcW w:w="4032" w:type="dxa"/>
            <w:tcBorders>
              <w:top w:val="single" w:sz="2" w:space="0" w:color="CBD5DC"/>
              <w:left w:val="single" w:sz="2" w:space="0" w:color="CBD5DC"/>
              <w:bottom w:val="single" w:sz="2" w:space="0" w:color="CBD5DC"/>
              <w:right w:val="single" w:sz="2" w:space="0" w:color="CBD5DC"/>
            </w:tcBorders>
            <w:vAlign w:val="center"/>
          </w:tcPr>
          <w:p>
            <w:pPr>
              <w:pStyle w:val="Normal"/>
              <w:widowControl/>
              <w:spacing w:lineRule="auto" w:line="240" w:before="0" w:after="0"/>
              <w:jc w:val="left"/>
              <w:rPr>
                <w:rFonts w:eastAsia="ＭＳ 明朝" w:cs=""/>
                <w:kern w:val="0"/>
                <w:szCs w:val="22"/>
                <w:lang w:val="en-US" w:eastAsia="en-US" w:bidi="ar-SA"/>
              </w:rPr>
            </w:pPr>
            <w:r>
              <w:rPr>
                <w:rFonts w:eastAsia="Liberation Sans" w:cs=""/>
                <w:kern w:val="0"/>
                <w:sz w:val="16"/>
                <w:szCs w:val="22"/>
                <w:lang w:val="en-US" w:eastAsia="en-US" w:bidi="ar-SA"/>
              </w:rPr>
              <w:t>večje zaupanje in manj očitkov o izmišljanju</w:t>
            </w:r>
          </w:p>
        </w:tc>
      </w:tr>
    </w:tbl>
    <w:p>
      <w:pPr>
        <w:pStyle w:val="Normal"/>
        <w:spacing w:before="0" w:after="0"/>
        <w:rPr/>
      </w:pPr>
      <w:r>
        <w:rPr/>
      </w:r>
    </w:p>
    <w:p>
      <w:pPr>
        <w:pStyle w:val="Heading1"/>
        <w:rPr/>
      </w:pPr>
      <w:bookmarkStart w:id="125" w:name="__RefHeading___Toc4929_3353252975"/>
      <w:bookmarkStart w:id="126" w:name="_Toc236375304"/>
      <w:bookmarkEnd w:id="125"/>
      <w:r>
        <w:rPr/>
        <w:t>16. Obvezna projektna navodila za prihodnje pogovore</w:t>
      </w:r>
      <w:bookmarkEnd w:id="126"/>
    </w:p>
    <w:tbl>
      <w:tblPr>
        <w:tblW w:w="9706" w:type="dxa"/>
        <w:jc w:val="center"/>
        <w:tblInd w:w="0" w:type="dxa"/>
        <w:tblLayout w:type="fixed"/>
        <w:tblCellMar>
          <w:top w:w="130" w:type="dxa"/>
          <w:left w:w="150" w:type="dxa"/>
          <w:bottom w:w="130" w:type="dxa"/>
          <w:right w:w="150" w:type="dxa"/>
        </w:tblCellMar>
        <w:tblLook w:val="04a0" w:noHBand="0" w:noVBand="1" w:firstColumn="1" w:lastRow="0" w:lastColumn="0" w:firstRow="1"/>
      </w:tblPr>
      <w:tblGrid>
        <w:gridCol w:w="9706"/>
      </w:tblGrid>
      <w:tr>
        <w:trPr>
          <w:cantSplit w:val="true"/>
        </w:trPr>
        <w:tc>
          <w:tcPr>
            <w:tcW w:w="9706" w:type="dxa"/>
            <w:tcBorders>
              <w:top w:val="single" w:sz="2" w:space="0" w:color="EAF3F8"/>
              <w:left w:val="single" w:sz="16" w:space="0" w:color="0067A3"/>
              <w:bottom w:val="single" w:sz="2" w:space="0" w:color="EAF3F8"/>
              <w:right w:val="single" w:sz="2" w:space="0" w:color="EAF3F8"/>
            </w:tcBorders>
            <w:shd w:color="auto" w:fill="EAF3F8" w:val="clear"/>
          </w:tcPr>
          <w:p>
            <w:pPr>
              <w:pStyle w:val="Callout"/>
              <w:rPr/>
            </w:pPr>
            <w:r>
              <w:rPr>
                <w:rFonts w:eastAsia="Liberation Sans"/>
                <w:b/>
                <w:color w:val="0067A3"/>
              </w:rPr>
              <w:t>Uporaba kot projektni prompt</w:t>
            </w:r>
            <w:r>
              <w:rPr>
                <w:rFonts w:eastAsia="Liberation Sans"/>
              </w:rPr>
              <w:br/>
              <w:t>Spodnje besedilo se lahko uporabi kot jedro projektnih navodil ali kot uvod v nov klepet. TEMELJI PLATFORME ostanejo podrobnejši referenčni vir.</w:t>
            </w:r>
          </w:p>
        </w:tc>
      </w:tr>
    </w:tbl>
    <w:p>
      <w:pPr>
        <w:pStyle w:val="Normal"/>
        <w:spacing w:before="0" w:after="0"/>
        <w:rPr/>
      </w:pPr>
      <w:r>
        <w:rPr/>
      </w:r>
    </w:p>
    <w:p>
      <w:pPr>
        <w:pStyle w:val="Code-ish"/>
        <w:rPr/>
      </w:pPr>
      <w:r>
        <w:rPr>
          <w:rFonts w:eastAsia="Liberation Mono"/>
        </w:rPr>
        <w:t xml:space="preserve">• </w:t>
      </w:r>
      <w:r>
        <w:rPr>
          <w:rFonts w:eastAsia="Liberation Mono"/>
        </w:rPr>
        <w:t>Projekt se imenuje UTRIP TRŽIČA. Vedno uporabljaj zadnji potrjeni source ZIP in zadnjo verzijo dokumenta TEMELJI PLATFORME.</w:t>
      </w:r>
    </w:p>
    <w:p>
      <w:pPr>
        <w:pStyle w:val="Code-ish"/>
        <w:rPr/>
      </w:pPr>
      <w:r>
        <w:rPr>
          <w:rFonts w:eastAsia="Liberation Mono"/>
        </w:rPr>
        <w:t xml:space="preserve">• </w:t>
      </w:r>
      <w:r>
        <w:rPr>
          <w:rFonts w:eastAsia="Liberation Mono"/>
        </w:rPr>
        <w:t>Pred spremembo kode najprej preveri dejansko strukturo ZIP-a, verzije aplikacij in datoteke, ki jih sprememba zadeva. Ne spreminjaj drugih appov ali funkcionalnosti brez izrecnega dogovora.</w:t>
      </w:r>
    </w:p>
    <w:p>
      <w:pPr>
        <w:pStyle w:val="Code-ish"/>
        <w:rPr/>
      </w:pPr>
      <w:r>
        <w:rPr>
          <w:rFonts w:eastAsia="Liberation Mono"/>
        </w:rPr>
        <w:t xml:space="preserve">• </w:t>
      </w:r>
      <w:r>
        <w:rPr>
          <w:rFonts w:eastAsia="Liberation Mono"/>
        </w:rPr>
        <w:t>Pri vseh analizah jasno loči: izmerjeno/evidentirano, izračunano, ocenjeno/interpolirano, scenarij, napoved in manjkajoč podatek.</w:t>
      </w:r>
    </w:p>
    <w:p>
      <w:pPr>
        <w:pStyle w:val="Code-ish"/>
        <w:rPr/>
      </w:pPr>
      <w:r>
        <w:rPr>
          <w:rFonts w:eastAsia="Liberation Mono"/>
        </w:rPr>
        <w:t xml:space="preserve">• </w:t>
      </w:r>
      <w:r>
        <w:rPr>
          <w:rFonts w:eastAsia="Liberation Mono"/>
        </w:rPr>
        <w:t>Vedno upoštevaj prostorski obseg, obdobje, ločljivost, spremembe sistema in relevantne odloke, pravilnike, strategije, OPN/OPPN, sklepe ter drugo dokumentacijo v projektu.</w:t>
      </w:r>
    </w:p>
    <w:p>
      <w:pPr>
        <w:pStyle w:val="Code-ish"/>
        <w:rPr/>
      </w:pPr>
      <w:r>
        <w:rPr/>
        <w:t xml:space="preserve">• </w:t>
      </w:r>
      <w:r>
        <w:rPr/>
        <w:t>PISO atributne izvoze uporabljaj samo v njihovem potrjenem obsegu. Brez geometrije ne izdeluj kart ali prostorskih presekov; praznih izvozov ne razlagaj kot vrednost nič ali odsotnost infrastrukture.</w:t>
      </w:r>
    </w:p>
    <w:p>
      <w:pPr>
        <w:pStyle w:val="Code-ish"/>
        <w:rPr/>
      </w:pPr>
      <w:r>
        <w:rPr>
          <w:rFonts w:eastAsia="Liberation Mono"/>
        </w:rPr>
        <w:t xml:space="preserve">• </w:t>
      </w:r>
      <w:r>
        <w:rPr>
          <w:rFonts w:eastAsia="Liberation Mono"/>
        </w:rPr>
        <w:t>Ne izmišljaj manjkajočih dejstev. Če vira ni ali je dvoumen, to povej in predlagaj točen manjkajoči podatek ali dokument.</w:t>
      </w:r>
    </w:p>
    <w:p>
      <w:pPr>
        <w:pStyle w:val="Code-ish"/>
        <w:rPr/>
      </w:pPr>
      <w:r>
        <w:rPr>
          <w:rFonts w:eastAsia="Liberation Mono"/>
        </w:rPr>
        <w:t xml:space="preserve">• </w:t>
      </w:r>
      <w:r>
        <w:rPr>
          <w:rFonts w:eastAsia="Liberation Mono"/>
        </w:rPr>
        <w:t>Korelacije ne razlagaj kot vzročnost. Scenarije prikazuj kot razpon s predpostavkami. Predikcije označi kot napoved in dodaj validacijsko napako/interval, ko sta na voljo.</w:t>
      </w:r>
    </w:p>
    <w:p>
      <w:pPr>
        <w:pStyle w:val="Code-ish"/>
        <w:rPr/>
      </w:pPr>
      <w:r>
        <w:rPr>
          <w:rFonts w:eastAsia="Liberation Mono"/>
        </w:rPr>
        <w:t xml:space="preserve">• </w:t>
      </w:r>
      <w:r>
        <w:rPr>
          <w:rFonts w:eastAsia="Liberation Mono"/>
        </w:rPr>
        <w:t>Vsaka javna razlaga naj bo preprosta, vendar naj ostanejo dostopni vir, metodologija, obdobje in omejitve.</w:t>
      </w:r>
    </w:p>
    <w:p>
      <w:pPr>
        <w:pStyle w:val="Code-ish"/>
        <w:rPr/>
      </w:pPr>
      <w:r>
        <w:rPr/>
        <w:t xml:space="preserve">• </w:t>
      </w:r>
      <w:r>
        <w:rPr/>
        <w:t>V Turističnem utripu spletnih sej, uporabnikov ali ogledov ne enači s fizičnim obiskom. Trend in sezonskost računaj samo iz polnih skupnih mesecev; za prvi opisni izračun zahtevaj najmanj 12, za stabilnejšo oceno pa 24 mesecev. Ločenih dimenzij Country in Page ne združuj brez ustreznega skupnega izvoza.</w:t>
      </w:r>
    </w:p>
    <w:p>
      <w:pPr>
        <w:pStyle w:val="Code-ish"/>
        <w:rPr/>
      </w:pPr>
      <w:r>
        <w:rPr/>
        <w:t xml:space="preserve">• </w:t>
      </w:r>
      <w:r>
        <w:rPr/>
        <w:t>Aplikacija Uresničevanje Strategije turizma mora prikazovati samo cilj Strategije, dejansko stanje iz turističnega poročanja, razliko, metodologijo in omejitve. Brez simulacij, napovedi ali izmišljenega skupnega odstotka uspešnosti; delna leta se primerjajo samo z enakim obdobjem.</w:t>
      </w:r>
    </w:p>
    <w:p>
      <w:pPr>
        <w:pStyle w:val="Code-ish"/>
        <w:rPr/>
      </w:pPr>
      <w:r>
        <w:rPr/>
        <w:t xml:space="preserve">• </w:t>
      </w:r>
      <w:r>
        <w:rPr/>
        <w:t>Pri dogodkih loči dnevni koledarski kontekst od analitičnega kazalnika. Komponenta Dogodki trenutno meri aktivne koledarske dneve, ne števila različnih prireditev ali obiskanosti; večdnevni dogodki imajo več dnevnih zapisov, robni delni meseci pa so manj primerljivi.</w:t>
      </w:r>
    </w:p>
    <w:p>
      <w:pPr>
        <w:pStyle w:val="Code-ish"/>
        <w:rPr/>
      </w:pPr>
      <w:r>
        <w:rPr/>
        <w:t xml:space="preserve">• </w:t>
      </w:r>
      <w:r>
        <w:rPr/>
        <w:t>Aplikacija Tržič v turističnem okolju uporablja uradne primerljive podatke SURS za šest občin. Indeks 2019 = 100 prikazuje dinamiko, ne velikosti; korelacije in zamiki so opisni signali, ne dokaz gibanja istih gostov ali vzročnosti. Statistično zaščitene vrednosti ostanejo manjkajoče. Modelna potrošnja mora biti označena kot ocena, ne kot dejanski lokalni prihodek.</w:t>
      </w:r>
    </w:p>
    <w:p>
      <w:pPr>
        <w:pStyle w:val="Code-ish"/>
        <w:rPr/>
      </w:pPr>
      <w:r>
        <w:rPr>
          <w:rFonts w:eastAsia="Liberation Mono"/>
        </w:rPr>
        <w:t xml:space="preserve">• </w:t>
      </w:r>
      <w:r>
        <w:rPr>
          <w:rFonts w:eastAsia="Liberation Mono"/>
        </w:rPr>
        <w:t>Ob vsaki večji spremembi najprej posodobi VERSION.js, nato ime ZIP-a, README-je, docs, CHANGELOG, PODATKOVNI KATALOG in po potrebi TEMELJE PLATFORME.</w:t>
      </w:r>
    </w:p>
    <w:p>
      <w:pPr>
        <w:pStyle w:val="Heading1"/>
        <w:rPr/>
      </w:pPr>
      <w:bookmarkStart w:id="127" w:name="__RefHeading___Toc4931_3353252975"/>
      <w:bookmarkStart w:id="128" w:name="_Toc236375305"/>
      <w:bookmarkEnd w:id="127"/>
      <w:r>
        <w:rPr/>
        <w:t>17. Postopek posodobitve tega dokumenta</w:t>
      </w:r>
      <w:bookmarkEnd w:id="128"/>
    </w:p>
    <w:p>
      <w:pPr>
        <w:pStyle w:val="ListNumber"/>
        <w:numPr>
          <w:ilvl w:val="0"/>
          <w:numId w:val="4"/>
        </w:numPr>
        <w:spacing w:before="0" w:after="50"/>
        <w:ind w:hanging="360" w:left="0"/>
        <w:contextualSpacing/>
        <w:rPr/>
      </w:pPr>
      <w:r>
        <w:rPr>
          <w:rFonts w:eastAsia="Liberation Sans"/>
        </w:rPr>
        <w:t>Uporabnik pošlje novo verzijo ZIP-a in/ali nove dokumente/podatke.</w:t>
      </w:r>
    </w:p>
    <w:p>
      <w:pPr>
        <w:pStyle w:val="ListNumber"/>
        <w:numPr>
          <w:ilvl w:val="0"/>
          <w:numId w:val="4"/>
        </w:numPr>
        <w:spacing w:before="0" w:after="50"/>
        <w:ind w:hanging="360" w:left="0"/>
        <w:contextualSpacing/>
        <w:rPr/>
      </w:pPr>
      <w:r>
        <w:rPr>
          <w:rFonts w:eastAsia="Liberation Sans"/>
        </w:rPr>
        <w:t>Pregleda se struktura kode, verzije, novi viri, spremembe metodologije in znane omejitve.</w:t>
      </w:r>
    </w:p>
    <w:p>
      <w:pPr>
        <w:pStyle w:val="ListNumber"/>
        <w:numPr>
          <w:ilvl w:val="0"/>
          <w:numId w:val="4"/>
        </w:numPr>
        <w:spacing w:before="0" w:after="50"/>
        <w:ind w:hanging="360" w:left="0"/>
        <w:contextualSpacing/>
        <w:rPr/>
      </w:pPr>
      <w:r>
        <w:rPr>
          <w:rFonts w:eastAsia="Liberation Sans"/>
        </w:rPr>
        <w:t>Posodobi se VERSION.js, register verzij, poglavje NAREJENO, TO DO, metodologija in priporočila posameznega appa.</w:t>
      </w:r>
    </w:p>
    <w:p>
      <w:pPr>
        <w:pStyle w:val="ListNumber"/>
        <w:numPr>
          <w:ilvl w:val="0"/>
          <w:numId w:val="4"/>
        </w:numPr>
        <w:spacing w:before="0" w:after="50"/>
        <w:ind w:hanging="360" w:left="0"/>
        <w:contextualSpacing/>
        <w:rPr/>
      </w:pPr>
      <w:r>
        <w:rPr>
          <w:rFonts w:eastAsia="Liberation Sans"/>
        </w:rPr>
        <w:t>V ločen CHANGELOG se doda datum, verzija, spremenjene datoteke, podatkovni viri, metodološki vpliv in odprte naloge.</w:t>
      </w:r>
    </w:p>
    <w:p>
      <w:pPr>
        <w:pStyle w:val="ListNumber"/>
        <w:numPr>
          <w:ilvl w:val="0"/>
          <w:numId w:val="4"/>
        </w:numPr>
        <w:spacing w:before="0" w:after="50"/>
        <w:ind w:hanging="360" w:left="0"/>
        <w:contextualSpacing/>
        <w:rPr/>
      </w:pPr>
      <w:r>
        <w:rPr>
          <w:rFonts w:eastAsia="Liberation Sans"/>
        </w:rPr>
        <w:t>Pred izdajo se avtomatsko in ročno preveri, da se VERSION.js, ime ZIP-a, uporabniški vmesnik, README-ji in dokumentacija ujemajo.</w:t>
      </w:r>
    </w:p>
    <w:p>
      <w:pPr>
        <w:pStyle w:val="ListNumber"/>
        <w:numPr>
          <w:ilvl w:val="0"/>
          <w:numId w:val="4"/>
        </w:numPr>
        <w:spacing w:before="0" w:after="50"/>
        <w:ind w:hanging="360" w:left="0"/>
        <w:contextualSpacing/>
        <w:rPr/>
      </w:pPr>
      <w:r>
        <w:rPr>
          <w:rFonts w:eastAsia="Liberation Sans"/>
        </w:rPr>
        <w:t>Objavi se nova datoteka TEMELJI_PLATFORME_vX.Y.docx; stara se arhivira, ne prepiše brez sledi.</w:t>
      </w:r>
    </w:p>
    <w:p>
      <w:pPr>
        <w:pStyle w:val="Heading1"/>
        <w:rPr/>
      </w:pPr>
      <w:bookmarkStart w:id="129" w:name="__RefHeading___Toc4933_3353252975"/>
      <w:bookmarkStart w:id="130" w:name="_Toc236375306"/>
      <w:bookmarkEnd w:id="129"/>
      <w:r>
        <w:rPr/>
        <w:t>Priloga A: predloga registra virov</w:t>
      </w:r>
      <w:bookmarkEnd w:id="130"/>
    </w:p>
    <w:tbl>
      <w:tblPr>
        <w:tblStyle w:val="Tabelamrea"/>
        <w:tblW w:w="10974"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1665"/>
        <w:gridCol w:w="2232"/>
        <w:gridCol w:w="1944"/>
        <w:gridCol w:w="1667"/>
        <w:gridCol w:w="1800"/>
        <w:gridCol w:w="1665"/>
      </w:tblGrid>
      <w:tr>
        <w:trPr>
          <w:tblHeader w:val="true"/>
        </w:trPr>
        <w:tc>
          <w:tcPr>
            <w:tcW w:w="1665"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ID</w:t>
            </w:r>
          </w:p>
        </w:tc>
        <w:tc>
          <w:tcPr>
            <w:tcW w:w="2232"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Naziv / izdajatelj</w:t>
            </w:r>
          </w:p>
        </w:tc>
        <w:tc>
          <w:tcPr>
            <w:tcW w:w="1944"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Datum/verzija in veljavnost</w:t>
            </w:r>
          </w:p>
        </w:tc>
        <w:tc>
          <w:tcPr>
            <w:tcW w:w="1667"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App / namen</w:t>
            </w:r>
          </w:p>
        </w:tc>
        <w:tc>
          <w:tcPr>
            <w:tcW w:w="1800"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URL / datoteka</w:t>
            </w:r>
          </w:p>
        </w:tc>
        <w:tc>
          <w:tcPr>
            <w:tcW w:w="1665"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5"/>
                <w:szCs w:val="22"/>
                <w:lang w:val="en-US" w:eastAsia="en-US" w:bidi="ar-SA"/>
              </w:rPr>
              <w:t>Status in omejitve</w:t>
            </w:r>
          </w:p>
        </w:tc>
      </w:tr>
      <w:tr>
        <w:trPr/>
        <w:tc>
          <w:tcPr>
            <w:tcW w:w="166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SRC-001</w:t>
            </w:r>
          </w:p>
        </w:tc>
        <w:tc>
          <w:tcPr>
            <w:tcW w:w="22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Primer: Odlok o cestno prometni ureditvi / Občina Tržič</w:t>
            </w:r>
          </w:p>
        </w:tc>
        <w:tc>
          <w:tcPr>
            <w:tcW w:w="19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20. 5. 2021; preveriti spremembe</w:t>
            </w:r>
          </w:p>
        </w:tc>
        <w:tc>
          <w:tcPr>
            <w:tcW w:w="16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promet, parkiranje</w:t>
            </w:r>
          </w:p>
        </w:tc>
        <w:tc>
          <w:tcPr>
            <w:tcW w:w="180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uradni URL + PDF</w:t>
            </w:r>
          </w:p>
        </w:tc>
        <w:tc>
          <w:tcPr>
            <w:tcW w:w="166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veljavno / manjka aktualni cenik</w:t>
            </w:r>
          </w:p>
        </w:tc>
      </w:tr>
      <w:tr>
        <w:trPr/>
        <w:tc>
          <w:tcPr>
            <w:tcW w:w="166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DATA-001</w:t>
            </w:r>
          </w:p>
        </w:tc>
        <w:tc>
          <w:tcPr>
            <w:tcW w:w="2232"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Primer: CABLEX / občinski Elastic</w:t>
            </w:r>
          </w:p>
        </w:tc>
        <w:tc>
          <w:tcPr>
            <w:tcW w:w="1944"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3. 8. 2023–23. 7. 2026</w:t>
            </w:r>
          </w:p>
        </w:tc>
        <w:tc>
          <w:tcPr>
            <w:tcW w:w="1667"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prometni appi</w:t>
            </w:r>
          </w:p>
        </w:tc>
        <w:tc>
          <w:tcPr>
            <w:tcW w:w="1800"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CSV + normaliziran JS</w:t>
            </w:r>
          </w:p>
        </w:tc>
        <w:tc>
          <w:tcPr>
            <w:tcW w:w="1665"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kern w:val="0"/>
                <w:sz w:val="15"/>
                <w:szCs w:val="22"/>
                <w:lang w:val="en-US" w:eastAsia="en-US" w:bidi="ar-SA"/>
              </w:rPr>
              <w:t>ena lokacija; del 2024 ocenjen</w:t>
            </w:r>
          </w:p>
        </w:tc>
      </w:tr>
    </w:tbl>
    <w:p>
      <w:pPr>
        <w:pStyle w:val="Normal"/>
        <w:spacing w:before="0" w:after="0"/>
        <w:rPr/>
      </w:pPr>
      <w:r>
        <w:rPr/>
      </w:r>
    </w:p>
    <w:p>
      <w:pPr>
        <w:pStyle w:val="Heading1"/>
        <w:rPr/>
      </w:pPr>
      <w:bookmarkStart w:id="131" w:name="__RefHeading___Toc4935_3353252975"/>
      <w:bookmarkStart w:id="132" w:name="_Toc236375307"/>
      <w:bookmarkEnd w:id="131"/>
      <w:r>
        <w:rPr/>
        <w:t>Priloga B: predloga kartice modela</w:t>
      </w:r>
      <w:bookmarkEnd w:id="132"/>
    </w:p>
    <w:tbl>
      <w:tblPr>
        <w:tblStyle w:val="Tabelamrea"/>
        <w:tblW w:w="11765" w:type="dxa"/>
        <w:jc w:val="center"/>
        <w:tblInd w:w="0" w:type="dxa"/>
        <w:tblLayout w:type="fixed"/>
        <w:tblCellMar>
          <w:top w:w="100" w:type="dxa"/>
          <w:left w:w="95" w:type="dxa"/>
          <w:bottom w:w="100" w:type="dxa"/>
          <w:right w:w="95" w:type="dxa"/>
        </w:tblCellMar>
        <w:tblLook w:val="04a0" w:noHBand="0" w:noVBand="1" w:firstColumn="1" w:lastRow="0" w:lastColumn="0" w:firstRow="1"/>
      </w:tblPr>
      <w:tblGrid>
        <w:gridCol w:w="4996"/>
        <w:gridCol w:w="6768"/>
      </w:tblGrid>
      <w:tr>
        <w:trPr>
          <w:tblHeader w:val="true"/>
        </w:trPr>
        <w:tc>
          <w:tcPr>
            <w:tcW w:w="4996"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Polje</w:t>
            </w:r>
          </w:p>
        </w:tc>
        <w:tc>
          <w:tcPr>
            <w:tcW w:w="6768" w:type="dxa"/>
            <w:tcBorders>
              <w:top w:val="single" w:sz="4" w:space="0" w:color="0067A3"/>
              <w:left w:val="single" w:sz="4" w:space="0" w:color="0067A3"/>
              <w:bottom w:val="single" w:sz="4" w:space="0" w:color="0067A3"/>
              <w:right w:val="single" w:sz="4" w:space="0" w:color="0067A3"/>
            </w:tcBorders>
            <w:shd w:color="auto" w:fill="0067A3" w:val="clear"/>
            <w:vAlign w:val="center"/>
          </w:tcPr>
          <w:p>
            <w:pPr>
              <w:pStyle w:val="Normal"/>
              <w:widowControl/>
              <w:spacing w:before="0" w:after="110"/>
              <w:jc w:val="center"/>
              <w:rPr>
                <w:rFonts w:eastAsia="ＭＳ 明朝" w:cs=""/>
                <w:kern w:val="0"/>
                <w:szCs w:val="22"/>
                <w:lang w:val="en-US" w:eastAsia="en-US" w:bidi="ar-SA"/>
              </w:rPr>
            </w:pPr>
            <w:r>
              <w:rPr>
                <w:rFonts w:eastAsia="Liberation Sans" w:cs=""/>
                <w:b/>
                <w:color w:val="FFFFFF"/>
                <w:kern w:val="0"/>
                <w:sz w:val="17"/>
                <w:szCs w:val="22"/>
                <w:lang w:val="en-US" w:eastAsia="en-US" w:bidi="ar-SA"/>
              </w:rPr>
              <w:t>Vsebina</w:t>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Naziv in verzija modela</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Namen in uporabnik</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Ciljna spremenljivka</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Vhodni podatki, obdobje, območje</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Transformacije in manjkajoči podatki</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Metoda in formule</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Predpostavke</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Rezultati validacije</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Znane omejitve in prepovedane uporabe</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Datum zadnjega učenja/preverjanja</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996"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Liberation Sans" w:cs=""/>
                <w:b/>
                <w:color w:val="0067A3"/>
                <w:kern w:val="0"/>
                <w:sz w:val="17"/>
                <w:szCs w:val="22"/>
                <w:lang w:val="en-US" w:eastAsia="en-US" w:bidi="ar-SA"/>
              </w:rPr>
              <w:t>Odgovorna oseba za vsebinski pregled</w:t>
            </w:r>
          </w:p>
        </w:tc>
        <w:tc>
          <w:tcPr>
            <w:tcW w:w="6768" w:type="dxa"/>
            <w:tcBorders>
              <w:top w:val="single" w:sz="2" w:space="0" w:color="CBD5DC"/>
              <w:left w:val="single" w:sz="2" w:space="0" w:color="CBD5DC"/>
              <w:bottom w:val="single" w:sz="2" w:space="0" w:color="CBD5DC"/>
              <w:right w:val="single" w:sz="2" w:space="0" w:color="CBD5DC"/>
            </w:tcBorders>
            <w:tcMar>
              <w:top w:w="95" w:type="dxa"/>
              <w:bottom w:w="95" w:type="dxa"/>
            </w:tcMar>
            <w:vAlign w:val="center"/>
          </w:tcPr>
          <w:p>
            <w:pPr>
              <w:pStyle w:val="Normal"/>
              <w:widowControl/>
              <w:spacing w:lineRule="auto" w:line="245"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0"/>
        <w:rPr/>
      </w:pPr>
      <w:r>
        <w:rPr/>
      </w:r>
    </w:p>
    <w:p>
      <w:pPr>
        <w:pStyle w:val="Heading1"/>
        <w:rPr/>
      </w:pPr>
      <w:bookmarkStart w:id="133" w:name="__RefHeading___Toc4937_3353252975"/>
      <w:bookmarkStart w:id="134" w:name="_Toc236375308"/>
      <w:bookmarkEnd w:id="133"/>
      <w:r>
        <w:rPr/>
        <w:t>Priloga C: kontrolni seznam pred objavo</w:t>
      </w:r>
      <w:bookmarkEnd w:id="134"/>
    </w:p>
    <w:p>
      <w:pPr>
        <w:pStyle w:val="ListBullet"/>
        <w:numPr>
          <w:ilvl w:val="0"/>
          <w:numId w:val="1"/>
        </w:numPr>
        <w:spacing w:before="0" w:after="50"/>
        <w:ind w:hanging="360" w:left="0"/>
        <w:contextualSpacing/>
        <w:rPr/>
      </w:pPr>
      <w:r>
        <w:rPr>
          <w:rFonts w:eastAsia="Liberation Sans"/>
        </w:rPr>
        <w:t>VERSION.js, ime ZIP-a, naslovi, footerji, README-ji in dokumentacija so usklajeni.</w:t>
      </w:r>
    </w:p>
    <w:p>
      <w:pPr>
        <w:pStyle w:val="ListBullet"/>
        <w:numPr>
          <w:ilvl w:val="0"/>
          <w:numId w:val="1"/>
        </w:numPr>
        <w:spacing w:before="0" w:after="50"/>
        <w:ind w:hanging="360" w:left="0"/>
        <w:contextualSpacing/>
        <w:rPr/>
      </w:pPr>
      <w:r>
        <w:rPr>
          <w:rFonts w:eastAsia="Liberation Sans"/>
        </w:rPr>
        <w:t>Vsi novi podatki imajo vir, obdobje, enoto, prostorski obseg in status kakovosti.</w:t>
      </w:r>
    </w:p>
    <w:p>
      <w:pPr>
        <w:pStyle w:val="ListBullet"/>
        <w:numPr>
          <w:ilvl w:val="0"/>
          <w:numId w:val="1"/>
        </w:numPr>
        <w:spacing w:before="0" w:after="50"/>
        <w:ind w:hanging="360" w:left="0"/>
        <w:contextualSpacing/>
        <w:rPr/>
      </w:pPr>
      <w:r>
        <w:rPr>
          <w:rFonts w:eastAsia="Liberation Sans"/>
        </w:rPr>
        <w:t>Ocenjene vrednosti so označene in javno razločljive od meritev.</w:t>
      </w:r>
    </w:p>
    <w:p>
      <w:pPr>
        <w:pStyle w:val="ListBullet"/>
        <w:numPr>
          <w:ilvl w:val="0"/>
          <w:numId w:val="1"/>
        </w:numPr>
        <w:spacing w:before="0" w:after="50"/>
        <w:ind w:hanging="360" w:left="0"/>
        <w:contextualSpacing/>
        <w:rPr/>
      </w:pPr>
      <w:r>
        <w:rPr>
          <w:rFonts w:eastAsia="Liberation Sans"/>
        </w:rPr>
        <w:t>Scenariji imajo zapisane predpostavke in ne uporabljajo jezika gotove napovedi.</w:t>
      </w:r>
    </w:p>
    <w:p>
      <w:pPr>
        <w:pStyle w:val="ListBullet"/>
        <w:numPr>
          <w:ilvl w:val="0"/>
          <w:numId w:val="1"/>
        </w:numPr>
        <w:spacing w:before="0" w:after="50"/>
        <w:ind w:hanging="360" w:left="0"/>
        <w:contextualSpacing/>
        <w:rPr/>
      </w:pPr>
      <w:r>
        <w:rPr>
          <w:rFonts w:eastAsia="Liberation Sans"/>
        </w:rPr>
        <w:t>Grafi, dropdowni, mobilni prikaz in lokalno delovanje so testirani.</w:t>
      </w:r>
    </w:p>
    <w:p>
      <w:pPr>
        <w:pStyle w:val="ListBullet"/>
        <w:numPr>
          <w:ilvl w:val="0"/>
          <w:numId w:val="1"/>
        </w:numPr>
        <w:spacing w:before="0" w:after="50"/>
        <w:ind w:hanging="360" w:left="0"/>
        <w:contextualSpacing/>
        <w:rPr/>
      </w:pPr>
      <w:r>
        <w:rPr>
          <w:rFonts w:eastAsia="Liberation Sans"/>
        </w:rPr>
        <w:t>Konzola brskalnika nima napak; relativne povezave delujejo.</w:t>
      </w:r>
    </w:p>
    <w:p>
      <w:pPr>
        <w:pStyle w:val="ListBullet"/>
        <w:numPr>
          <w:ilvl w:val="0"/>
          <w:numId w:val="1"/>
        </w:numPr>
        <w:spacing w:before="0" w:after="50"/>
        <w:ind w:hanging="360" w:left="0"/>
        <w:contextualSpacing/>
        <w:rPr/>
      </w:pPr>
      <w:r>
        <w:rPr>
          <w:rFonts w:eastAsia="Liberation Sans"/>
        </w:rPr>
        <w:t>Metodologija, register virov in changelog so posodobljeni.</w:t>
      </w:r>
    </w:p>
    <w:p>
      <w:pPr>
        <w:pStyle w:val="ListBullet"/>
        <w:numPr>
          <w:ilvl w:val="0"/>
          <w:numId w:val="1"/>
        </w:numPr>
        <w:spacing w:before="0" w:after="50"/>
        <w:ind w:hanging="360" w:left="0"/>
        <w:contextualSpacing/>
        <w:rPr/>
      </w:pPr>
      <w:r>
        <w:rPr>
          <w:rFonts w:eastAsia="Liberation Sans"/>
        </w:rPr>
        <w:t>Vsebinski skrbnik je pregledal pravne, finančne ali strokovne trditve pred javno objavo.</w:t>
      </w:r>
    </w:p>
    <w:p>
      <w:pPr>
        <w:pStyle w:val="Heading1"/>
        <w:rPr/>
      </w:pPr>
      <w:bookmarkStart w:id="135" w:name="__RefHeading___Toc4939_3353252975"/>
      <w:bookmarkStart w:id="136" w:name="_Toc236375309"/>
      <w:bookmarkEnd w:id="135"/>
      <w:r>
        <w:rPr/>
        <w:t>Priloga D: reference in uradne povezave</w:t>
      </w:r>
      <w:bookmarkEnd w:id="136"/>
    </w:p>
    <w:p>
      <w:pPr>
        <w:pStyle w:val="Smallnote"/>
        <w:rPr/>
      </w:pPr>
      <w:hyperlink r:id="rId3">
        <w:r>
          <w:rPr>
            <w:rStyle w:val="Style"/>
            <w:color w:val="0067A3"/>
            <w:u w:val="single"/>
          </w:rPr>
          <w:t>OpenAI Help Center – Projects in ChatGPT</w:t>
        </w:r>
      </w:hyperlink>
    </w:p>
    <w:p>
      <w:pPr>
        <w:pStyle w:val="Smallnote"/>
        <w:rPr/>
      </w:pPr>
      <w:hyperlink r:id="rId4">
        <w:r>
          <w:rPr>
            <w:rStyle w:val="Style"/>
            <w:color w:val="0067A3"/>
            <w:u w:val="single"/>
          </w:rPr>
          <w:t>OpenAI Help Center – File Uploads FAQ</w:t>
        </w:r>
      </w:hyperlink>
    </w:p>
    <w:p>
      <w:pPr>
        <w:pStyle w:val="Smallnote"/>
        <w:rPr/>
      </w:pPr>
      <w:hyperlink r:id="rId5">
        <w:r>
          <w:rPr>
            <w:rStyle w:val="Style"/>
            <w:color w:val="0067A3"/>
            <w:u w:val="single"/>
          </w:rPr>
          <w:t>OpenAI Help Center – Supported file types</w:t>
        </w:r>
      </w:hyperlink>
    </w:p>
    <w:p>
      <w:pPr>
        <w:pStyle w:val="Smallnote"/>
        <w:rPr/>
      </w:pPr>
      <w:hyperlink r:id="rId6">
        <w:r>
          <w:rPr>
            <w:rStyle w:val="Style"/>
            <w:color w:val="0067A3"/>
            <w:u w:val="single"/>
          </w:rPr>
          <w:t>Koledar dogodkov Občine Tržič – XML vir</w:t>
        </w:r>
      </w:hyperlink>
    </w:p>
    <w:p>
      <w:pPr>
        <w:pStyle w:val="Smallnote"/>
        <w:rPr/>
      </w:pPr>
      <w:hyperlink r:id="rId7">
        <w:r>
          <w:rPr>
            <w:rStyle w:val="Style"/>
            <w:color w:val="0067A3"/>
            <w:u w:val="single"/>
          </w:rPr>
          <w:t>Open-Meteo</w:t>
        </w:r>
      </w:hyperlink>
    </w:p>
    <w:p>
      <w:pPr>
        <w:pStyle w:val="Smallnote"/>
        <w:rPr/>
      </w:pPr>
      <w:hyperlink r:id="rId8">
        <w:r>
          <w:rPr>
            <w:rStyle w:val="Style"/>
            <w:color w:val="0067A3"/>
            <w:u w:val="single"/>
          </w:rPr>
          <w:t>Statistični urad Republike Slovenije – SI-STAT</w:t>
        </w:r>
      </w:hyperlink>
    </w:p>
    <w:p>
      <w:pPr>
        <w:pStyle w:val="Smallnote"/>
        <w:rPr/>
      </w:pPr>
      <w:r>
        <w:rPr/>
        <w:t>SURS SI-STAT 2164466S – Prihodi in prenočitve turistov po državah, občine, mesečno – https://pxweb.stat.si/SiStatData/pxweb/sl/Data/-/2164466S.px</w:t>
      </w:r>
    </w:p>
    <w:p>
      <w:pPr>
        <w:pStyle w:val="Smallnote"/>
        <w:rPr/>
      </w:pPr>
      <w:r>
        <w:rPr/>
        <w:t>SURS SI-STAT 2164525S – Prihodi in prenočitve domačih in tujih turistov po občinah, letno – https://pxweb.stat.si/SiStatData/pxweb/sl/Data/-/2164525S.px</w:t>
      </w:r>
    </w:p>
    <w:p>
      <w:pPr>
        <w:pStyle w:val="Smallnote"/>
        <w:rPr/>
      </w:pPr>
      <w:r>
        <w:rPr/>
        <w:t>SURS SI-STAT 2164527S – Prenočitvene zmogljivosti po občinah, letno – https://pxweb.stat.si/SiStatData/pxweb/sl/Data/-/2164527S.px</w:t>
      </w:r>
    </w:p>
    <w:p>
      <w:pPr>
        <w:pStyle w:val="Smallnote"/>
        <w:rPr/>
      </w:pPr>
      <w:r>
        <w:rPr/>
        <w:t>SURS SI-STAT 2176731S – Povprečni dnevni izdatki tujega turista po vrsti občine in državi prebivališča – https://pxweb.stat.si/SiStatData/pxweb/sl/Data/-/2176731S.px</w:t>
      </w:r>
    </w:p>
    <w:p>
      <w:pPr>
        <w:pStyle w:val="Smallnote"/>
        <w:rPr/>
      </w:pPr>
      <w:r>
        <w:rPr/>
        <w:t>SURS SI-STAT 2176740S – Struktura povprečnih dnevnih izdatkov tujega turista – https://pxweb.stat.si/SiStatData/pxweb/sl/Data/-/2176740S.px</w:t>
      </w:r>
    </w:p>
    <w:p>
      <w:pPr>
        <w:pStyle w:val="Smallnote"/>
        <w:rPr/>
      </w:pPr>
      <w:r>
        <w:rPr/>
        <w:t>SURS SI-STAT 2176737S – Povprečni dnevni izdatki tujega turista po vrsti nastanitvenega obrata – https://pxweb.stat.si/SiStatData/pxweb/sl/Data/-/2176737S.px</w:t>
      </w:r>
    </w:p>
    <w:p>
      <w:pPr>
        <w:pStyle w:val="Smallnote"/>
        <w:rPr/>
      </w:pPr>
      <w:r>
        <w:rPr/>
        <w:t>SURS KLASJE eTUR_VrsteOBCIN – klasifikacija vrst turističnih občin – https://www.stat.si/Klasje/Klasje/Tabela/15827</w:t>
      </w:r>
    </w:p>
    <w:p>
      <w:pPr>
        <w:pStyle w:val="Smallnote"/>
        <w:rPr/>
      </w:pPr>
      <w:hyperlink r:id="rId9">
        <w:r>
          <w:rPr>
            <w:rStyle w:val="Style"/>
            <w:color w:val="0067A3"/>
            <w:u w:val="single"/>
          </w:rPr>
          <w:t>Odprti podatki Slovenije – OPSI</w:t>
        </w:r>
      </w:hyperlink>
    </w:p>
    <w:p>
      <w:pPr>
        <w:pStyle w:val="Smallnote"/>
        <w:rPr/>
      </w:pPr>
      <w:r>
        <w:rPr/>
        <w:t>Strategija razvoja turizma v Občini Tržič 2024–2031 – uradni strateški vir za aplikacijo Uresničevanje Strategije turizma.</w:t>
      </w:r>
    </w:p>
    <w:p>
      <w:pPr>
        <w:pStyle w:val="Smallnote"/>
        <w:rPr/>
      </w:pPr>
      <w:r>
        <w:rPr/>
        <w:t>Odlok o Občinskem prostorskem načrtu Občine Tržič – uradno prečiščeno besedilo UPB1 (Uradni list RS, št. 3/2020) – prostorski kontekst.</w:t>
      </w:r>
    </w:p>
    <w:p>
      <w:pPr>
        <w:pStyle w:val="Smallnote"/>
        <w:rPr/>
      </w:pPr>
      <w:r>
        <w:rPr/>
        <w:t>PISO Desktop – splošna uporabniška navodila, Realis informacijske tehnologije, december 2015.</w:t>
      </w:r>
    </w:p>
    <w:p>
      <w:pPr>
        <w:pStyle w:val="Smallnote"/>
        <w:rPr/>
      </w:pPr>
      <w:r>
        <w:rPr/>
        <w:t>Občinski PISO Desktop atributni izvozi: BCP, BUS, pločniki, omejitve hitrosti, naselja, hitrost, kolesarske poti in cestne zapore; pregled 31. 7. 2026.</w:t>
      </w:r>
    </w:p>
    <w:p>
      <w:pPr>
        <w:pStyle w:val="Smallnote"/>
        <w:rPr/>
      </w:pPr>
      <w:r>
        <w:rPr/>
        <w:t>Interni projektni viri so navedeni v source package v1.9.1: VERSION.js, README.md, docs/METODOLOGIJA.md, docs/PODATKOVNI_VIRI.md, docs/PODATKOVNI_KATALOG.md, docs/CHANGELOG.md, aplikacijski README-ji, podatkovne JS datoteke in ohranjeni izvorni CSV/XLSX izvozi. Zastarela TXT dokumentacija in odvečni korenski /data imenik nista del izdaje.</w:t>
      </w:r>
    </w:p>
    <w:p>
      <w:pPr>
        <w:pStyle w:val="Smallnote"/>
        <w:widowControl/>
        <w:bidi w:val="0"/>
        <w:spacing w:lineRule="auto" w:line="276" w:before="0" w:after="60"/>
        <w:jc w:val="left"/>
        <w:rPr/>
      </w:pPr>
      <w:r>
        <w:rPr/>
        <w:t>Evidenca dokumenta: v1.5 · 31. 7. 2026 · source package v1.9.1. Zaključena je prva razvojna faza; usklajene so verzije platforme in aplikacij, izveden je centralni VERSION.js, dodan je prostorski kontekst PISO Desktop, posodobljeni so vsi README-ji in docs, formule in uteži aplikacij pa zaradi PISO virov niso spremenjene.</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993"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3331"/>
      <w:gridCol w:w="3331"/>
      <w:gridCol w:w="3331"/>
    </w:tblGrid>
    <w:tr>
      <w:trPr/>
      <w:tc>
        <w:tcPr>
          <w:tcW w:w="3331" w:type="dxa"/>
          <w:tcBorders/>
        </w:tcPr>
        <w:p>
          <w:pPr>
            <w:pStyle w:val="Normal"/>
            <w:widowControl/>
            <w:bidi w:val="0"/>
            <w:spacing w:lineRule="auto" w:line="259" w:before="0" w:after="110"/>
            <w:jc w:val="left"/>
            <w:rPr/>
          </w:pPr>
          <w:r>
            <w:rPr>
              <w:rFonts w:eastAsia="Liberation Sans"/>
              <w:color w:val="52636D"/>
              <w:sz w:val="16"/>
            </w:rPr>
            <w:t>Občina Tržič</w:t>
          </w:r>
        </w:p>
      </w:tc>
      <w:tc>
        <w:tcPr>
          <w:tcW w:w="3331" w:type="dxa"/>
          <w:tcBorders/>
        </w:tcPr>
        <w:p>
          <w:pPr>
            <w:pStyle w:val="Normal"/>
            <w:spacing w:before="0" w:after="110"/>
            <w:jc w:val="center"/>
            <w:rPr/>
          </w:pPr>
          <w:r>
            <w:rPr>
              <w:rFonts w:eastAsia="Liberation Sans"/>
              <w:color w:val="52636D"/>
              <w:sz w:val="16"/>
            </w:rPr>
            <w:t>Živi dokument</w:t>
          </w:r>
        </w:p>
      </w:tc>
      <w:tc>
        <w:tcPr>
          <w:tcW w:w="3331" w:type="dxa"/>
          <w:tcBorders/>
        </w:tcPr>
        <w:p>
          <w:pPr>
            <w:pStyle w:val="Normal"/>
            <w:spacing w:before="0" w:after="110"/>
            <w:jc w:val="right"/>
            <w:rPr/>
          </w:pPr>
          <w:r>
            <w:rPr>
              <w:rFonts w:eastAsia="Liberation Sans"/>
              <w:color w:val="52636D"/>
              <w:sz w:val="16"/>
            </w:rPr>
            <w:t xml:space="preserve">Stran </w:t>
          </w:r>
          <w:r>
            <w:rPr>
              <w:rFonts w:eastAsia="Liberation Sans"/>
              <w:color w:val="52636D"/>
              <w:sz w:val="16"/>
            </w:rPr>
            <w:fldChar w:fldCharType="begin"/>
          </w:r>
          <w:r>
            <w:rPr>
              <w:sz w:val="16"/>
              <w:rFonts w:eastAsia="Liberation Sans"/>
              <w:color w:val="52636D"/>
            </w:rPr>
            <w:instrText xml:space="preserve"> PAGE </w:instrText>
          </w:r>
          <w:r>
            <w:rPr>
              <w:sz w:val="16"/>
              <w:rFonts w:eastAsia="Liberation Sans"/>
              <w:color w:val="52636D"/>
            </w:rPr>
            <w:fldChar w:fldCharType="separate"/>
          </w:r>
          <w:r>
            <w:rPr>
              <w:sz w:val="16"/>
              <w:rFonts w:eastAsia="Liberation Sans"/>
              <w:color w:val="52636D"/>
            </w:rPr>
            <w:t>30</w:t>
          </w:r>
          <w:r>
            <w:rPr>
              <w:sz w:val="16"/>
              <w:rFonts w:eastAsia="Liberation Sans"/>
              <w:color w:val="52636D"/>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993"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3331"/>
      <w:gridCol w:w="3331"/>
      <w:gridCol w:w="3331"/>
    </w:tblGrid>
    <w:tr>
      <w:trPr/>
      <w:tc>
        <w:tcPr>
          <w:tcW w:w="3331" w:type="dxa"/>
          <w:tcBorders/>
        </w:tcPr>
        <w:p>
          <w:pPr>
            <w:pStyle w:val="Normal"/>
            <w:widowControl/>
            <w:bidi w:val="0"/>
            <w:spacing w:lineRule="auto" w:line="259" w:before="0" w:after="110"/>
            <w:jc w:val="left"/>
            <w:rPr/>
          </w:pPr>
          <w:r>
            <w:rPr>
              <w:rFonts w:eastAsia="Liberation Sans"/>
              <w:color w:val="52636D"/>
              <w:sz w:val="16"/>
            </w:rPr>
            <w:t>Občina Tržič</w:t>
          </w:r>
        </w:p>
      </w:tc>
      <w:tc>
        <w:tcPr>
          <w:tcW w:w="3331" w:type="dxa"/>
          <w:tcBorders/>
        </w:tcPr>
        <w:p>
          <w:pPr>
            <w:pStyle w:val="Normal"/>
            <w:spacing w:before="0" w:after="110"/>
            <w:jc w:val="center"/>
            <w:rPr/>
          </w:pPr>
          <w:r>
            <w:rPr>
              <w:rFonts w:eastAsia="Liberation Sans"/>
              <w:color w:val="52636D"/>
              <w:sz w:val="16"/>
            </w:rPr>
            <w:t>Živi dokument</w:t>
          </w:r>
        </w:p>
      </w:tc>
      <w:tc>
        <w:tcPr>
          <w:tcW w:w="3331" w:type="dxa"/>
          <w:tcBorders/>
        </w:tcPr>
        <w:p>
          <w:pPr>
            <w:pStyle w:val="Normal"/>
            <w:spacing w:before="0" w:after="110"/>
            <w:jc w:val="right"/>
            <w:rPr/>
          </w:pPr>
          <w:r>
            <w:rPr>
              <w:rFonts w:eastAsia="Liberation Sans"/>
              <w:color w:val="52636D"/>
              <w:sz w:val="16"/>
            </w:rPr>
            <w:t xml:space="preserve">Stran </w:t>
          </w:r>
          <w:r>
            <w:rPr>
              <w:rFonts w:eastAsia="Liberation Sans"/>
              <w:color w:val="52636D"/>
              <w:sz w:val="16"/>
            </w:rPr>
            <w:fldChar w:fldCharType="begin"/>
          </w:r>
          <w:r>
            <w:rPr>
              <w:sz w:val="16"/>
              <w:rFonts w:eastAsia="Liberation Sans"/>
              <w:color w:val="52636D"/>
            </w:rPr>
            <w:instrText xml:space="preserve"> PAGE </w:instrText>
          </w:r>
          <w:r>
            <w:rPr>
              <w:sz w:val="16"/>
              <w:rFonts w:eastAsia="Liberation Sans"/>
              <w:color w:val="52636D"/>
            </w:rPr>
            <w:fldChar w:fldCharType="separate"/>
          </w:r>
          <w:r>
            <w:rPr>
              <w:sz w:val="16"/>
              <w:rFonts w:eastAsia="Liberation Sans"/>
              <w:color w:val="52636D"/>
            </w:rPr>
            <w:t>30</w:t>
          </w:r>
          <w:r>
            <w:rPr>
              <w:sz w:val="16"/>
              <w:rFonts w:eastAsia="Liberation Sans"/>
              <w:color w:val="52636D"/>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TEMELJI PLATFORME  |  v1.5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TEMELJI PLATFORME  |  v1.5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110"/>
      <w:jc w:val="left"/>
    </w:pPr>
    <w:rPr>
      <w:rFonts w:ascii="Liberation Sans" w:hAnsi="Liberation Sans" w:eastAsia="ＭＳ 明朝" w:cs=""/>
      <w:color w:val="1F2937"/>
      <w:kern w:val="0"/>
      <w:sz w:val="21"/>
      <w:szCs w:val="22"/>
      <w:lang w:val="en-US" w:eastAsia="en-US" w:bidi="ar-SA"/>
    </w:rPr>
  </w:style>
  <w:style w:type="paragraph" w:styleId="Heading1">
    <w:name w:val="heading 1"/>
    <w:basedOn w:val="Normal"/>
    <w:next w:val="Normal"/>
    <w:link w:val="Naslov1Znak"/>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0067A3"/>
      <w:sz w:val="40"/>
      <w:szCs w:val="28"/>
    </w:rPr>
  </w:style>
  <w:style w:type="paragraph" w:styleId="Heading2">
    <w:name w:val="heading 2"/>
    <w:basedOn w:val="Normal"/>
    <w:next w:val="Normal"/>
    <w:link w:val="Naslov2Znak"/>
    <w:uiPriority w:val="9"/>
    <w:unhideWhenUsed/>
    <w:qFormat/>
    <w:rsid w:val="00fc693f"/>
    <w:pPr>
      <w:keepNext w:val="true"/>
      <w:keepLines/>
      <w:spacing w:before="220" w:after="100"/>
      <w:outlineLvl w:val="1"/>
    </w:pPr>
    <w:rPr>
      <w:rFonts w:ascii="Calibri" w:hAnsi="Calibri" w:eastAsia="ＭＳ ゴシック" w:cs="" w:asciiTheme="majorHAnsi" w:cstheme="majorBidi" w:eastAsiaTheme="majorEastAsia" w:hAnsiTheme="majorHAnsi"/>
      <w:b/>
      <w:bCs/>
      <w:sz w:val="29"/>
      <w:szCs w:val="26"/>
    </w:rPr>
  </w:style>
  <w:style w:type="paragraph" w:styleId="Heading3">
    <w:name w:val="heading 3"/>
    <w:basedOn w:val="Normal"/>
    <w:next w:val="Normal"/>
    <w:link w:val="Naslov3Znak"/>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color w:val="2A7A5F"/>
      <w:sz w:val="23"/>
    </w:rPr>
  </w:style>
  <w:style w:type="paragraph" w:styleId="Heading4">
    <w:name w:val="heading 4"/>
    <w:basedOn w:val="Normal"/>
    <w:next w:val="Normal"/>
    <w:link w:val="Naslov4Znak"/>
    <w:uiPriority w:val="9"/>
    <w:semiHidden/>
    <w:unhideWhenUsed/>
    <w:qFormat/>
    <w:rsid w:val="00fc693f"/>
    <w:pPr>
      <w:keepNext w:val="true"/>
      <w:keepLines/>
      <w:spacing w:before="120" w:after="40"/>
      <w:outlineLvl w:val="3"/>
    </w:pPr>
    <w:rPr>
      <w:rFonts w:ascii="Calibri" w:hAnsi="Calibri" w:eastAsia="ＭＳ ゴシック" w:cs="" w:asciiTheme="majorHAnsi" w:cstheme="majorBidi" w:eastAsiaTheme="majorEastAsia" w:hAnsiTheme="majorHAnsi"/>
      <w:b/>
      <w:bCs/>
      <w:i/>
      <w:iCs/>
      <w:color w:val="C56B17"/>
    </w:rPr>
  </w:style>
  <w:style w:type="paragraph" w:styleId="Heading5">
    <w:name w:val="heading 5"/>
    <w:basedOn w:val="Normal"/>
    <w:next w:val="Normal"/>
    <w:link w:val="Naslov5Znak"/>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Naslov6Znak"/>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Naslov7Znak"/>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Naslov8Znak"/>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Naslov9Znak"/>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GlavaZnak" w:customStyle="1">
    <w:name w:val="Glava Znak"/>
    <w:basedOn w:val="DefaultParagraphFont"/>
    <w:link w:val="Header"/>
    <w:uiPriority w:val="99"/>
    <w:qFormat/>
    <w:rsid w:val="00e618bf"/>
    <w:rPr/>
  </w:style>
  <w:style w:type="character" w:styleId="NogaZnak" w:customStyle="1">
    <w:name w:val="Noga Znak"/>
    <w:basedOn w:val="DefaultParagraphFont"/>
    <w:link w:val="Footer"/>
    <w:uiPriority w:val="99"/>
    <w:qFormat/>
    <w:rsid w:val="00e618bf"/>
    <w:rPr/>
  </w:style>
  <w:style w:type="character" w:styleId="Naslov1Znak" w:customStyle="1">
    <w:name w:val="Naslov 1 Znak"/>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Naslov2Znak" w:customStyle="1">
    <w:name w:val="Naslov 2 Znak"/>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Naslov3Znak" w:customStyle="1">
    <w:name w:val="Naslov 3 Znak"/>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NaslovZnak" w:customStyle="1">
    <w:name w:val="Naslov Znak"/>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PodnaslovZnak" w:customStyle="1">
    <w:name w:val="Podnaslov Znak"/>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lobesedilaZnak" w:customStyle="1">
    <w:name w:val="Telo besedila Znak"/>
    <w:basedOn w:val="DefaultParagraphFont"/>
    <w:uiPriority w:val="99"/>
    <w:qFormat/>
    <w:rsid w:val="00aa1d8d"/>
    <w:rPr/>
  </w:style>
  <w:style w:type="character" w:styleId="Telobesedila2Znak" w:customStyle="1">
    <w:name w:val="Telo besedila 2 Znak"/>
    <w:basedOn w:val="DefaultParagraphFont"/>
    <w:link w:val="BodyText2"/>
    <w:uiPriority w:val="99"/>
    <w:qFormat/>
    <w:rsid w:val="00aa1d8d"/>
    <w:rPr/>
  </w:style>
  <w:style w:type="character" w:styleId="Telobesedila3Znak" w:customStyle="1">
    <w:name w:val="Telo besedila 3 Znak"/>
    <w:basedOn w:val="DefaultParagraphFont"/>
    <w:link w:val="BodyText3"/>
    <w:uiPriority w:val="99"/>
    <w:qFormat/>
    <w:rsid w:val="00aa1d8d"/>
    <w:rPr>
      <w:sz w:val="16"/>
      <w:szCs w:val="16"/>
    </w:rPr>
  </w:style>
  <w:style w:type="character" w:styleId="MakrobesediloZnak" w:customStyle="1">
    <w:name w:val="Makro besedilo Znak"/>
    <w:basedOn w:val="DefaultParagraphFont"/>
    <w:link w:val="MacroText"/>
    <w:uiPriority w:val="99"/>
    <w:qFormat/>
    <w:rsid w:val="0029639d"/>
    <w:rPr>
      <w:rFonts w:ascii="Courier" w:hAnsi="Courier"/>
      <w:sz w:val="20"/>
      <w:szCs w:val="20"/>
    </w:rPr>
  </w:style>
  <w:style w:type="character" w:styleId="CitatZnak" w:customStyle="1">
    <w:name w:val="Citat Znak"/>
    <w:basedOn w:val="DefaultParagraphFont"/>
    <w:link w:val="Quote"/>
    <w:uiPriority w:val="29"/>
    <w:qFormat/>
    <w:rsid w:val="00fc693f"/>
    <w:rPr>
      <w:i/>
      <w:iCs/>
      <w:color w:themeColor="text1" w:val="000000"/>
    </w:rPr>
  </w:style>
  <w:style w:type="character" w:styleId="Naslov4Znak" w:customStyle="1">
    <w:name w:val="Naslov 4 Znak"/>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Naslov5Znak" w:customStyle="1">
    <w:name w:val="Naslov 5 Znak"/>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Naslov6Znak" w:customStyle="1">
    <w:name w:val="Naslov 6 Znak"/>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Naslov7Znak" w:customStyle="1">
    <w:name w:val="Naslov 7 Znak"/>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Naslov8Znak" w:customStyle="1">
    <w:name w:val="Naslov 8 Znak"/>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Naslov9Znak" w:customStyle="1">
    <w:name w:val="Naslov 9 Znak"/>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zivencitatZnak" w:customStyle="1">
    <w:name w:val="Intenziven citat Znak"/>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0a484e"/>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lobesedilaZnak"/>
    <w:uiPriority w:val="99"/>
    <w:unhideWhenUsed/>
    <w:rsid w:val="00aa1d8d"/>
    <w:pPr>
      <w:spacing w:before="0" w:after="120"/>
    </w:pPr>
    <w:rPr/>
  </w:style>
  <w:style w:type="paragraph" w:styleId="List">
    <w:name w:val="List"/>
    <w:basedOn w:val="Normal"/>
    <w:uiPriority w:val="99"/>
    <w:unhideWhenUsed/>
    <w:rsid w:val="00aa1d8d"/>
    <w:pPr>
      <w:spacing w:before="0" w:after="11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GlavaZnak"/>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NogaZnak"/>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NaslovZnak"/>
    <w:uiPriority w:val="10"/>
    <w:qFormat/>
    <w:rsid w:val="00fc693f"/>
    <w:pPr>
      <w:keepNext w:val="true"/>
      <w:pBdr>
        <w:bottom w:val="single" w:sz="8" w:space="4" w:color="4F81BD" w:themeColor="accent1"/>
      </w:pBdr>
      <w:spacing w:lineRule="auto" w:line="240" w:before="0" w:after="200"/>
      <w:contextualSpacing/>
    </w:pPr>
    <w:rPr>
      <w:rFonts w:ascii="Calibri" w:hAnsi="Calibri" w:eastAsia="ＭＳ ゴシック" w:cs="" w:asciiTheme="majorHAnsi" w:cstheme="majorBidi" w:eastAsiaTheme="majorEastAsia" w:hAnsiTheme="majorHAnsi"/>
      <w:b/>
      <w:color w:val="0067A3"/>
      <w:spacing w:val="5"/>
      <w:kern w:val="2"/>
      <w:sz w:val="60"/>
      <w:szCs w:val="52"/>
    </w:rPr>
  </w:style>
  <w:style w:type="paragraph" w:styleId="Subtitle">
    <w:name w:val="Subtitle"/>
    <w:basedOn w:val="Normal"/>
    <w:next w:val="Normal"/>
    <w:link w:val="PodnaslovZnak"/>
    <w:uiPriority w:val="11"/>
    <w:qFormat/>
    <w:rsid w:val="00fc693f"/>
    <w:pPr>
      <w:keepNext w:val="true"/>
      <w:spacing w:before="0" w:after="160"/>
    </w:pPr>
    <w:rPr>
      <w:rFonts w:ascii="Calibri" w:hAnsi="Calibri" w:eastAsia="ＭＳ ゴシック" w:cs="" w:asciiTheme="majorHAnsi" w:cstheme="majorBidi" w:eastAsiaTheme="majorEastAsia" w:hAnsiTheme="majorHAnsi"/>
      <w:b/>
      <w:i/>
      <w:iCs/>
      <w:color w:val="52636D"/>
      <w:spacing w:val="15"/>
      <w:sz w:val="28"/>
      <w:szCs w:val="24"/>
    </w:rPr>
  </w:style>
  <w:style w:type="paragraph" w:styleId="ListParagraph">
    <w:name w:val="List Paragraph"/>
    <w:basedOn w:val="Normal"/>
    <w:uiPriority w:val="34"/>
    <w:qFormat/>
    <w:rsid w:val="00fc693f"/>
    <w:pPr>
      <w:spacing w:before="0" w:after="110"/>
      <w:ind w:left="720"/>
      <w:contextualSpacing/>
    </w:pPr>
    <w:rPr/>
  </w:style>
  <w:style w:type="paragraph" w:styleId="BodyText2">
    <w:name w:val="Body Text 2"/>
    <w:basedOn w:val="Normal"/>
    <w:link w:val="Telobesedila2Znak"/>
    <w:uiPriority w:val="99"/>
    <w:unhideWhenUsed/>
    <w:qFormat/>
    <w:rsid w:val="00aa1d8d"/>
    <w:pPr>
      <w:spacing w:lineRule="auto" w:line="480" w:before="0" w:after="120"/>
    </w:pPr>
    <w:rPr/>
  </w:style>
  <w:style w:type="paragraph" w:styleId="BodyText3">
    <w:name w:val="Body Text 3"/>
    <w:basedOn w:val="Normal"/>
    <w:link w:val="Telobesedila3Znak"/>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10"/>
      <w:ind w:hanging="360" w:left="720"/>
      <w:contextualSpacing/>
    </w:pPr>
    <w:rPr/>
  </w:style>
  <w:style w:type="paragraph" w:styleId="List3">
    <w:name w:val="List 3"/>
    <w:basedOn w:val="Normal"/>
    <w:uiPriority w:val="99"/>
    <w:unhideWhenUsed/>
    <w:qFormat/>
    <w:rsid w:val="00326f90"/>
    <w:pPr>
      <w:spacing w:before="0" w:after="110"/>
      <w:ind w:hanging="360" w:left="1080"/>
      <w:contextualSpacing/>
    </w:pPr>
    <w:rPr/>
  </w:style>
  <w:style w:type="paragraph" w:styleId="ListBullet">
    <w:name w:val="List Bullet"/>
    <w:basedOn w:val="Normal"/>
    <w:uiPriority w:val="99"/>
    <w:unhideWhenUsed/>
    <w:rsid w:val="00326f90"/>
    <w:pPr>
      <w:numPr>
        <w:ilvl w:val="0"/>
        <w:numId w:val="1"/>
      </w:numPr>
      <w:spacing w:before="0" w:after="110"/>
      <w:contextualSpacing/>
    </w:pPr>
    <w:rPr/>
  </w:style>
  <w:style w:type="paragraph" w:styleId="ListBullet2">
    <w:name w:val="List Bullet 2"/>
    <w:basedOn w:val="Normal"/>
    <w:uiPriority w:val="99"/>
    <w:unhideWhenUsed/>
    <w:rsid w:val="00326f90"/>
    <w:pPr>
      <w:numPr>
        <w:ilvl w:val="0"/>
        <w:numId w:val="2"/>
      </w:numPr>
      <w:spacing w:before="0" w:after="110"/>
      <w:contextualSpacing/>
    </w:pPr>
    <w:rPr/>
  </w:style>
  <w:style w:type="paragraph" w:styleId="ListBullet3">
    <w:name w:val="List Bullet 3"/>
    <w:basedOn w:val="Normal"/>
    <w:uiPriority w:val="99"/>
    <w:unhideWhenUsed/>
    <w:rsid w:val="00326f90"/>
    <w:pPr>
      <w:numPr>
        <w:ilvl w:val="0"/>
        <w:numId w:val="3"/>
      </w:numPr>
      <w:spacing w:before="0" w:after="110"/>
      <w:contextualSpacing/>
    </w:pPr>
    <w:rPr/>
  </w:style>
  <w:style w:type="paragraph" w:styleId="ListNumber">
    <w:name w:val="List Number"/>
    <w:basedOn w:val="Normal"/>
    <w:uiPriority w:val="99"/>
    <w:unhideWhenUsed/>
    <w:rsid w:val="00326f90"/>
    <w:pPr>
      <w:numPr>
        <w:ilvl w:val="0"/>
        <w:numId w:val="4"/>
      </w:numPr>
      <w:spacing w:before="0" w:after="110"/>
      <w:contextualSpacing/>
    </w:pPr>
    <w:rPr/>
  </w:style>
  <w:style w:type="paragraph" w:styleId="ListNumber2">
    <w:name w:val="List Number 2"/>
    <w:basedOn w:val="Normal"/>
    <w:uiPriority w:val="99"/>
    <w:unhideWhenUsed/>
    <w:rsid w:val="0029639d"/>
    <w:pPr>
      <w:numPr>
        <w:ilvl w:val="0"/>
        <w:numId w:val="5"/>
      </w:numPr>
      <w:spacing w:before="0" w:after="110"/>
      <w:contextualSpacing/>
    </w:pPr>
    <w:rPr/>
  </w:style>
  <w:style w:type="paragraph" w:styleId="ListNumber3">
    <w:name w:val="List Number 3"/>
    <w:basedOn w:val="Normal"/>
    <w:uiPriority w:val="99"/>
    <w:unhideWhenUsed/>
    <w:rsid w:val="0029639d"/>
    <w:pPr>
      <w:numPr>
        <w:ilvl w:val="0"/>
        <w:numId w:val="6"/>
      </w:numPr>
      <w:spacing w:before="0" w:after="11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krobesediloZnak"/>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tZnak"/>
    <w:uiPriority w:val="29"/>
    <w:qFormat/>
    <w:rsid w:val="00fc693f"/>
    <w:pPr/>
    <w:rPr>
      <w:i/>
      <w:iCs/>
      <w:color w:themeColor="text1" w:val="000000"/>
    </w:rPr>
  </w:style>
  <w:style w:type="paragraph" w:styleId="IntenseQuote">
    <w:name w:val="Intense Quote"/>
    <w:basedOn w:val="Normal"/>
    <w:next w:val="Normal"/>
    <w:link w:val="IntenzivencitatZnak"/>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60"/>
      <w:jc w:val="left"/>
    </w:pPr>
    <w:rPr>
      <w:rFonts w:ascii="Liberation Sans" w:hAnsi="Liberation Sans" w:eastAsia="ＭＳ 明朝" w:cs=""/>
      <w:color w:val="52636D"/>
      <w:kern w:val="0"/>
      <w:sz w:val="17"/>
      <w:szCs w:val="22"/>
      <w:lang w:val="en-US" w:eastAsia="en-US" w:bidi="ar-SA"/>
    </w:rPr>
  </w:style>
  <w:style w:type="paragraph" w:styleId="Callout" w:customStyle="1">
    <w:name w:val="Callout"/>
    <w:qFormat/>
    <w:pPr>
      <w:widowControl/>
      <w:bidi w:val="0"/>
      <w:spacing w:lineRule="auto" w:line="252" w:before="0" w:after="0"/>
      <w:jc w:val="left"/>
    </w:pPr>
    <w:rPr>
      <w:rFonts w:ascii="Liberation Sans" w:hAnsi="Liberation Sans" w:eastAsia="ＭＳ 明朝" w:cs=""/>
      <w:color w:val="1F2937"/>
      <w:kern w:val="0"/>
      <w:sz w:val="20"/>
      <w:szCs w:val="22"/>
      <w:lang w:val="en-US" w:eastAsia="en-US" w:bidi="ar-SA"/>
    </w:rPr>
  </w:style>
  <w:style w:type="paragraph" w:styleId="Code-ish" w:customStyle="1">
    <w:name w:val="Code-ish"/>
    <w:qFormat/>
    <w:pPr>
      <w:widowControl/>
      <w:bidi w:val="0"/>
      <w:spacing w:lineRule="auto" w:line="276" w:before="0" w:after="60"/>
      <w:jc w:val="left"/>
    </w:pPr>
    <w:rPr>
      <w:rFonts w:ascii="Liberation Mono" w:hAnsi="Liberation Mono" w:eastAsia="ＭＳ 明朝" w:cs=""/>
      <w:color w:val="1F2937"/>
      <w:kern w:val="0"/>
      <w:sz w:val="17"/>
      <w:szCs w:val="22"/>
      <w:lang w:val="en-US" w:eastAsia="en-US" w:bidi="ar-SA"/>
    </w:rPr>
  </w:style>
  <w:style w:type="paragraph" w:styleId="TOC1">
    <w:name w:val="toc 1"/>
    <w:basedOn w:val="Normal"/>
    <w:next w:val="Normal"/>
    <w:autoRedefine/>
    <w:uiPriority w:val="39"/>
    <w:unhideWhenUsed/>
    <w:rsid w:val="000a484e"/>
    <w:pPr>
      <w:spacing w:before="0" w:after="100"/>
    </w:pPr>
    <w:rPr/>
  </w:style>
  <w:style w:type="paragraph" w:styleId="TOC2">
    <w:name w:val="toc 2"/>
    <w:basedOn w:val="Normal"/>
    <w:next w:val="Normal"/>
    <w:autoRedefine/>
    <w:uiPriority w:val="39"/>
    <w:unhideWhenUsed/>
    <w:rsid w:val="000a484e"/>
    <w:pPr>
      <w:spacing w:before="0" w:after="100"/>
      <w:ind w:left="210"/>
    </w:pPr>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 w:type="table" w:styleId="Tabelamrea">
    <w:name w:val="Table Grid"/>
    <w:basedOn w:val="Navadnatabela"/>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osenenje">
    <w:name w:val="Light Shading"/>
    <w:basedOn w:val="Navadnatabela"/>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rednjiseznam1">
    <w:name w:val="Medium List 1"/>
    <w:basedOn w:val="Navadnatabela"/>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Barvnosenenjepoudarek1">
    <w:name w:val="Colorful Shading Accent 1"/>
    <w:basedOn w:val="Navadnatabela"/>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Barvnosenenjepoudarek2">
    <w:name w:val="Colorful Shading Accent 2"/>
    <w:basedOn w:val="Navadnatabela"/>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Barvnosenenjepoudarek3">
    <w:name w:val="Colorful Shading Accent 3"/>
    <w:basedOn w:val="Navadnatabela"/>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Barvnosenenjepoudarek5">
    <w:name w:val="Colorful Shading Accent 5"/>
    <w:basedOn w:val="Navadnatabela"/>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Barvnosenenjepoudarek6">
    <w:name w:val="Colorful Shading Accent 6"/>
    <w:basedOn w:val="Navadnatabela"/>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Barvniseznam">
    <w:name w:val="Colorful List"/>
    <w:basedOn w:val="Navadnatabela"/>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help.openai.com/en/articles/10169521-using-projects-in-chatgpt" TargetMode="External"/><Relationship Id="rId4" Type="http://schemas.openxmlformats.org/officeDocument/2006/relationships/hyperlink" Target="https://help.openai.com/en/articles/8555545-file-uploads-faq" TargetMode="External"/><Relationship Id="rId5" Type="http://schemas.openxmlformats.org/officeDocument/2006/relationships/hyperlink" Target="https://help.openai.com/en/articles/8983675-what-types-of-files-are-supported" TargetMode="External"/><Relationship Id="rId6" Type="http://schemas.openxmlformats.org/officeDocument/2006/relationships/hyperlink" Target="https://www.trzic.si/feed/koledar-dogodkov.xml" TargetMode="External"/><Relationship Id="rId7" Type="http://schemas.openxmlformats.org/officeDocument/2006/relationships/hyperlink" Target="https://open-meteo.com/" TargetMode="External"/><Relationship Id="rId8" Type="http://schemas.openxmlformats.org/officeDocument/2006/relationships/hyperlink" Target="https://pxweb.stat.si/SiStat/sl" TargetMode="External"/><Relationship Id="rId9" Type="http://schemas.openxmlformats.org/officeDocument/2006/relationships/hyperlink" Target="https://podatki.gov.si/"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LibreOffice/25.2.3.2$Linux_X86_64 LibreOffice_project/520$Build-2</Application>
  <AppVersion>15.0000</AppVersion>
  <Pages>30</Pages>
  <Words>10129</Words>
  <Characters>63499</Characters>
  <CharactersWithSpaces>72442</CharactersWithSpaces>
  <Paragraphs>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Projektna dokumentacija</cp:category>
  <dcterms:created xsi:type="dcterms:W3CDTF">2013-12-23T23:15:00Z</dcterms:created>
  <dc:creator>Občina Tržič</dc:creator>
  <dc:description>Živi projektni dokument.</dc:description>
  <cp:keywords>Utrip Tržiča metodologija podatkovni viri AI analitika simulacije</cp:keywords>
  <dc:language>en-US</dc:language>
  <cp:lastModifiedBy/>
  <dcterms:modified xsi:type="dcterms:W3CDTF">2026-07-31T12:52:19Z</dcterms:modified>
  <cp:revision>8</cp:revision>
  <dc:subject>Krovna metodologija, kontekst, podatkovni viri in razvojna usmeritev</dc:subject>
  <dc:title>TEMELJI PLATFORME – Utrip Tržiča v1.5</dc:title>
</cp:coreProperties>
</file>

<file path=docProps/custom.xml><?xml version="1.0" encoding="utf-8"?>
<Properties xmlns="http://schemas.openxmlformats.org/officeDocument/2006/custom-properties" xmlns:vt="http://schemas.openxmlformats.org/officeDocument/2006/docPropsVTypes"/>
</file>