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TEHNIČNA</w:t>
        <w:br/>
        <w:t>DOKUMENTACIJA</w:t>
      </w:r>
    </w:p>
    <w:p>
      <w:pPr>
        <w:pStyle w:val="Subtitle"/>
      </w:pPr>
      <w:r>
        <w:t>Arhitektura, podatkovni model, validacija in vzdrževanje</w:t>
      </w:r>
    </w:p>
    <w:p>
      <w:pPr>
        <w:spacing w:before="360"/>
      </w:pPr>
      <w:r>
        <w:rPr>
          <w:b/>
          <w:color w:val="087B78"/>
          <w:sz w:val="24"/>
        </w:rPr>
        <w:t>UTRIP TRŽIČA · SOURCE PACKAGE v2.0.1</w:t>
      </w:r>
    </w:p>
    <w:p>
      <w:r>
        <w:t>Prometni odseki Tržiča v0.2 · dva aktivna odseka</w:t>
      </w:r>
    </w:p>
    <w:p>
      <w:r>
        <w:rPr>
          <w:color w:val="60757A"/>
        </w:rPr>
        <w:t>5. avgust 2026</w:t>
      </w:r>
    </w:p>
    <w:p/>
    <w:tbl>
      <w:tblPr>
        <w:tblStyle w:val="TableGrid"/>
        <w:tblW w:type="auto" w:w="0"/>
        <w:jc w:val="center"/>
        <w:tblLayout w:type="autofit"/>
        <w:tblLook w:firstColumn="1" w:firstRow="1" w:lastColumn="0" w:lastRow="0" w:noHBand="0" w:noVBand="1" w:val="04A0"/>
      </w:tblPr>
      <w:tblGrid>
        <w:gridCol w:w="4831"/>
        <w:gridCol w:w="4831"/>
      </w:tblGrid>
      <w:tr>
        <w:tc>
          <w:tcPr>
            <w:tcW w:type="dxa" w:w="4831"/>
            <w:shd w:fill="E9F2F3"/>
            <w:vAlign w:val="center"/>
            <w:tcMar>
              <w:top w:w="90" w:type="dxa"/>
              <w:start w:w="110" w:type="dxa"/>
              <w:bottom w:w="90" w:type="dxa"/>
              <w:end w:w="110" w:type="dxa"/>
            </w:tcMar>
          </w:tcPr>
          <w:p>
            <w:r>
              <w:rPr>
                <w:rFonts w:ascii="Aptos" w:hAnsi="Aptos"/>
                <w:sz w:val="18"/>
              </w:rPr>
              <w:t>Dokument</w:t>
            </w:r>
          </w:p>
        </w:tc>
        <w:tc>
          <w:tcPr>
            <w:tcW w:type="dxa" w:w="4831"/>
            <w:vAlign w:val="center"/>
            <w:tcMar>
              <w:top w:w="90" w:type="dxa"/>
              <w:start w:w="110" w:type="dxa"/>
              <w:bottom w:w="90" w:type="dxa"/>
              <w:end w:w="110" w:type="dxa"/>
            </w:tcMar>
          </w:tcPr>
          <w:p>
            <w:r>
              <w:rPr>
                <w:rFonts w:ascii="Aptos" w:hAnsi="Aptos"/>
                <w:sz w:val="18"/>
              </w:rPr>
              <w:t>TEHNIČNA DOKUMENTACIJA – Utrip Tržiča</w:t>
            </w:r>
          </w:p>
        </w:tc>
      </w:tr>
      <w:tr>
        <w:tc>
          <w:tcPr>
            <w:tcW w:type="dxa" w:w="4831"/>
            <w:shd w:fill="E9F2F3"/>
            <w:vAlign w:val="center"/>
            <w:tcMar>
              <w:top w:w="90" w:type="dxa"/>
              <w:start w:w="110" w:type="dxa"/>
              <w:bottom w:w="90" w:type="dxa"/>
              <w:end w:w="110" w:type="dxa"/>
            </w:tcMar>
          </w:tcPr>
          <w:p>
            <w:r>
              <w:rPr>
                <w:rFonts w:ascii="Aptos" w:hAnsi="Aptos"/>
                <w:sz w:val="18"/>
              </w:rPr>
              <w:t>Veljavno izhodišče</w:t>
            </w:r>
          </w:p>
        </w:tc>
        <w:tc>
          <w:tcPr>
            <w:tcW w:type="dxa" w:w="4831"/>
            <w:vAlign w:val="center"/>
            <w:tcMar>
              <w:top w:w="90" w:type="dxa"/>
              <w:start w:w="110" w:type="dxa"/>
              <w:bottom w:w="90" w:type="dxa"/>
              <w:end w:w="110" w:type="dxa"/>
            </w:tcMar>
          </w:tcPr>
          <w:p>
            <w:r>
              <w:rPr>
                <w:rFonts w:ascii="Aptos" w:hAnsi="Aptos"/>
                <w:sz w:val="18"/>
              </w:rPr>
              <w:t>prometni-utrip-trzica-app-2.0.1-prometni-odseki-v0.2-zvirce</w:t>
            </w:r>
          </w:p>
        </w:tc>
      </w:tr>
      <w:tr>
        <w:tc>
          <w:tcPr>
            <w:tcW w:type="dxa" w:w="4831"/>
            <w:shd w:fill="E9F2F3"/>
            <w:vAlign w:val="center"/>
            <w:tcMar>
              <w:top w:w="90" w:type="dxa"/>
              <w:start w:w="110" w:type="dxa"/>
              <w:bottom w:w="90" w:type="dxa"/>
              <w:end w:w="110" w:type="dxa"/>
            </w:tcMar>
          </w:tcPr>
          <w:p>
            <w:r>
              <w:rPr>
                <w:rFonts w:ascii="Aptos" w:hAnsi="Aptos"/>
                <w:sz w:val="18"/>
              </w:rPr>
              <w:t>Platforma</w:t>
            </w:r>
          </w:p>
        </w:tc>
        <w:tc>
          <w:tcPr>
            <w:tcW w:type="dxa" w:w="4831"/>
            <w:vAlign w:val="center"/>
            <w:tcMar>
              <w:top w:w="90" w:type="dxa"/>
              <w:start w:w="110" w:type="dxa"/>
              <w:bottom w:w="90" w:type="dxa"/>
              <w:end w:w="110" w:type="dxa"/>
            </w:tcMar>
          </w:tcPr>
          <w:p>
            <w:r>
              <w:rPr>
                <w:rFonts w:ascii="Aptos" w:hAnsi="Aptos"/>
                <w:sz w:val="18"/>
              </w:rPr>
              <w:t>v2.0; sedem aktivnih aplikacij; source package v2.0.1</w:t>
            </w:r>
          </w:p>
        </w:tc>
      </w:tr>
      <w:tr>
        <w:tc>
          <w:tcPr>
            <w:tcW w:type="dxa" w:w="4831"/>
            <w:shd w:fill="E9F2F3"/>
            <w:vAlign w:val="center"/>
            <w:tcMar>
              <w:top w:w="90" w:type="dxa"/>
              <w:start w:w="110" w:type="dxa"/>
              <w:bottom w:w="90" w:type="dxa"/>
              <w:end w:w="110" w:type="dxa"/>
            </w:tcMar>
          </w:tcPr>
          <w:p>
            <w:r>
              <w:rPr>
                <w:rFonts w:ascii="Aptos" w:hAnsi="Aptos"/>
                <w:sz w:val="18"/>
              </w:rPr>
              <w:t>Nova aplikacija</w:t>
            </w:r>
          </w:p>
        </w:tc>
        <w:tc>
          <w:tcPr>
            <w:tcW w:type="dxa" w:w="4831"/>
            <w:vAlign w:val="center"/>
            <w:tcMar>
              <w:top w:w="90" w:type="dxa"/>
              <w:start w:w="110" w:type="dxa"/>
              <w:bottom w:w="90" w:type="dxa"/>
              <w:end w:w="110" w:type="dxa"/>
            </w:tcMar>
          </w:tcPr>
          <w:p>
            <w:r>
              <w:rPr>
                <w:rFonts w:ascii="Aptos" w:hAnsi="Aptos"/>
                <w:sz w:val="18"/>
              </w:rPr>
              <w:t>Prometni odseki Tržiča v0.2</w:t>
            </w:r>
          </w:p>
        </w:tc>
      </w:tr>
      <w:tr>
        <w:tc>
          <w:tcPr>
            <w:tcW w:type="dxa" w:w="4831"/>
            <w:shd w:fill="E9F2F3"/>
            <w:vAlign w:val="center"/>
            <w:tcMar>
              <w:top w:w="90" w:type="dxa"/>
              <w:start w:w="110" w:type="dxa"/>
              <w:bottom w:w="90" w:type="dxa"/>
              <w:end w:w="110" w:type="dxa"/>
            </w:tcMar>
          </w:tcPr>
          <w:p>
            <w:r>
              <w:rPr>
                <w:rFonts w:ascii="Aptos" w:hAnsi="Aptos"/>
                <w:sz w:val="18"/>
              </w:rPr>
              <w:t>Aktivna odseka</w:t>
            </w:r>
          </w:p>
        </w:tc>
        <w:tc>
          <w:tcPr>
            <w:tcW w:type="dxa" w:w="4831"/>
            <w:vAlign w:val="center"/>
            <w:tcMar>
              <w:top w:w="90" w:type="dxa"/>
              <w:start w:w="110" w:type="dxa"/>
              <w:bottom w:w="90" w:type="dxa"/>
              <w:end w:w="110" w:type="dxa"/>
            </w:tcMar>
          </w:tcPr>
          <w:p>
            <w:r>
              <w:rPr>
                <w:rFonts w:ascii="Aptos" w:hAnsi="Aptos"/>
                <w:sz w:val="18"/>
              </w:rPr>
              <w:t>Križe / Retnje in Zvirče</w:t>
            </w:r>
          </w:p>
        </w:tc>
      </w:tr>
    </w:tbl>
    <w:p>
      <w:r>
        <w:br w:type="page"/>
      </w:r>
    </w:p>
    <w:p>
      <w:pPr>
        <w:pStyle w:val="Heading1"/>
      </w:pPr>
      <w:r>
        <w:t>1. Namen dokumenta</w:t>
      </w:r>
    </w:p>
    <w:p>
      <w:r>
        <w:t>Dokument opisuje tehnično zgradbo source package v2.0.1, pravila lokalnega delovanja, centralno verzioniranje ter novo modularno aplikacijo za analizo posameznih prometnih odsekov. Namenjen je skrbniku platforme, razvijalcu in osebi, ki pripravlja ali potrjuje podatkovne izdaje.</w:t>
      </w:r>
    </w:p>
    <w:p>
      <w:r>
        <w:t>Nova aplikacija ne spreminja obstoječe AI analize prometa ali javnega prometnega prikaza. V platformo dodaja ločen prostor, kjer imajo posamezne merilne lokacije lastne smeri, omejitve, obdobja, kontrolne vire in metodološke opombe.</w:t>
      </w:r>
    </w:p>
    <w:p>
      <w:pPr>
        <w:pStyle w:val="Heading1"/>
      </w:pPr>
      <w:r>
        <w:t>2. Arhitektura platforme</w:t>
      </w:r>
    </w:p>
    <w:p>
      <w:r>
        <w:t>Utrip Tržiča je statični HTML/CSS/JavaScript paket brez strežniške baze in brez obveznih zunanjih knjižnic. Relativne poti omogočajo delovanje na GitHub Pages, običajnem spletnem strežniku in lokalno prek file:///.</w:t>
      </w:r>
    </w:p>
    <w:tbl>
      <w:tblPr>
        <w:tblStyle w:val="TableGrid"/>
        <w:tblW w:type="auto" w:w="0"/>
        <w:jc w:val="center"/>
        <w:tblLayout w:type="autofit"/>
        <w:tblLook w:firstColumn="1" w:firstRow="1" w:lastColumn="0" w:lastRow="0" w:noHBand="0" w:noVBand="1" w:val="04A0"/>
      </w:tblPr>
      <w:tblGrid>
        <w:gridCol w:w="3221"/>
        <w:gridCol w:w="3221"/>
        <w:gridCol w:w="3221"/>
      </w:tblGrid>
      <w:tr>
        <w:tc>
          <w:tcPr>
            <w:tcW w:type="dxa" w:w="3221"/>
            <w:vAlign w:val="center"/>
            <w:tcMar>
              <w:top w:w="90" w:type="dxa"/>
              <w:start w:w="110" w:type="dxa"/>
              <w:bottom w:w="90" w:type="dxa"/>
              <w:end w:w="110" w:type="dxa"/>
            </w:tcMar>
            <w:shd w:fill="18363B"/>
          </w:tcPr>
          <w:p>
            <w:r>
              <w:rPr>
                <w:rFonts w:ascii="Aptos" w:hAnsi="Aptos"/>
                <w:b/>
                <w:color w:val="FFFFFF"/>
                <w:sz w:val="17"/>
              </w:rPr>
              <w:t>Komponenta</w:t>
            </w:r>
          </w:p>
        </w:tc>
        <w:tc>
          <w:tcPr>
            <w:tcW w:type="dxa" w:w="3221"/>
            <w:vAlign w:val="center"/>
            <w:tcMar>
              <w:top w:w="90" w:type="dxa"/>
              <w:start w:w="110" w:type="dxa"/>
              <w:bottom w:w="90" w:type="dxa"/>
              <w:end w:w="110" w:type="dxa"/>
            </w:tcMar>
            <w:shd w:fill="18363B"/>
          </w:tcPr>
          <w:p>
            <w:r>
              <w:rPr>
                <w:rFonts w:ascii="Aptos" w:hAnsi="Aptos"/>
                <w:b/>
                <w:color w:val="FFFFFF"/>
                <w:sz w:val="17"/>
              </w:rPr>
              <w:t>Vloga</w:t>
            </w:r>
          </w:p>
        </w:tc>
        <w:tc>
          <w:tcPr>
            <w:tcW w:type="dxa" w:w="3221"/>
            <w:vAlign w:val="center"/>
            <w:tcMar>
              <w:top w:w="90" w:type="dxa"/>
              <w:start w:w="110" w:type="dxa"/>
              <w:bottom w:w="90" w:type="dxa"/>
              <w:end w:w="110" w:type="dxa"/>
            </w:tcMar>
            <w:shd w:fill="18363B"/>
          </w:tcPr>
          <w:p>
            <w:r>
              <w:rPr>
                <w:rFonts w:ascii="Aptos" w:hAnsi="Aptos"/>
                <w:b/>
                <w:color w:val="FFFFFF"/>
                <w:sz w:val="17"/>
              </w:rPr>
              <w:t>Pravilo</w:t>
            </w:r>
          </w:p>
        </w:tc>
      </w:tr>
      <w:tr>
        <w:tc>
          <w:tcPr>
            <w:tcW w:type="dxa" w:w="3221"/>
            <w:vAlign w:val="center"/>
            <w:tcMar>
              <w:top w:w="90" w:type="dxa"/>
              <w:start w:w="110" w:type="dxa"/>
              <w:bottom w:w="90" w:type="dxa"/>
              <w:end w:w="110" w:type="dxa"/>
            </w:tcMar>
          </w:tcPr>
          <w:p>
            <w:r>
              <w:rPr>
                <w:rFonts w:ascii="Aptos" w:hAnsi="Aptos"/>
                <w:sz w:val="17"/>
              </w:rPr>
              <w:t>VERSION.js</w:t>
            </w:r>
          </w:p>
        </w:tc>
        <w:tc>
          <w:tcPr>
            <w:tcW w:type="dxa" w:w="3221"/>
            <w:vAlign w:val="center"/>
            <w:tcMar>
              <w:top w:w="90" w:type="dxa"/>
              <w:start w:w="110" w:type="dxa"/>
              <w:bottom w:w="90" w:type="dxa"/>
              <w:end w:w="110" w:type="dxa"/>
            </w:tcMar>
          </w:tcPr>
          <w:p>
            <w:r>
              <w:rPr>
                <w:rFonts w:ascii="Aptos" w:hAnsi="Aptos"/>
                <w:sz w:val="17"/>
              </w:rPr>
              <w:t>Centralni register verzij, datuma in dokumentov</w:t>
            </w:r>
          </w:p>
        </w:tc>
        <w:tc>
          <w:tcPr>
            <w:tcW w:type="dxa" w:w="3221"/>
            <w:vAlign w:val="center"/>
            <w:tcMar>
              <w:top w:w="90" w:type="dxa"/>
              <w:start w:w="110" w:type="dxa"/>
              <w:bottom w:w="90" w:type="dxa"/>
              <w:end w:w="110" w:type="dxa"/>
            </w:tcMar>
          </w:tcPr>
          <w:p>
            <w:r>
              <w:rPr>
                <w:rFonts w:ascii="Aptos" w:hAnsi="Aptos"/>
                <w:sz w:val="17"/>
              </w:rPr>
              <w:t>Posodobi se pred oznakami v HTML in README-jih.</w:t>
            </w:r>
          </w:p>
        </w:tc>
      </w:tr>
      <w:tr>
        <w:tc>
          <w:tcPr>
            <w:tcW w:type="dxa" w:w="3221"/>
            <w:vAlign w:val="center"/>
            <w:tcMar>
              <w:top w:w="90" w:type="dxa"/>
              <w:start w:w="110" w:type="dxa"/>
              <w:bottom w:w="90" w:type="dxa"/>
              <w:end w:w="110" w:type="dxa"/>
            </w:tcMar>
          </w:tcPr>
          <w:p>
            <w:r>
              <w:rPr>
                <w:rFonts w:ascii="Aptos" w:hAnsi="Aptos"/>
                <w:sz w:val="17"/>
              </w:rPr>
              <w:t>assets/js/apply-version.js</w:t>
            </w:r>
          </w:p>
        </w:tc>
        <w:tc>
          <w:tcPr>
            <w:tcW w:type="dxa" w:w="3221"/>
            <w:vAlign w:val="center"/>
            <w:tcMar>
              <w:top w:w="90" w:type="dxa"/>
              <w:start w:w="110" w:type="dxa"/>
              <w:bottom w:w="90" w:type="dxa"/>
              <w:end w:w="110" w:type="dxa"/>
            </w:tcMar>
          </w:tcPr>
          <w:p>
            <w:r>
              <w:rPr>
                <w:rFonts w:ascii="Aptos" w:hAnsi="Aptos"/>
                <w:sz w:val="17"/>
              </w:rPr>
              <w:t>Vstavi verzije v naslove, glave in noge</w:t>
            </w:r>
          </w:p>
        </w:tc>
        <w:tc>
          <w:tcPr>
            <w:tcW w:type="dxa" w:w="3221"/>
            <w:vAlign w:val="center"/>
            <w:tcMar>
              <w:top w:w="90" w:type="dxa"/>
              <w:start w:w="110" w:type="dxa"/>
              <w:bottom w:w="90" w:type="dxa"/>
              <w:end w:w="110" w:type="dxa"/>
            </w:tcMar>
          </w:tcPr>
          <w:p>
            <w:r>
              <w:rPr>
                <w:rFonts w:ascii="Aptos" w:hAnsi="Aptos"/>
                <w:sz w:val="17"/>
              </w:rPr>
              <w:t>Stran mora imeti data-version-key in pravilen statični fallback.</w:t>
            </w:r>
          </w:p>
        </w:tc>
      </w:tr>
      <w:tr>
        <w:tc>
          <w:tcPr>
            <w:tcW w:type="dxa" w:w="3221"/>
            <w:vAlign w:val="center"/>
            <w:tcMar>
              <w:top w:w="90" w:type="dxa"/>
              <w:start w:w="110" w:type="dxa"/>
              <w:bottom w:w="90" w:type="dxa"/>
              <w:end w:w="110" w:type="dxa"/>
            </w:tcMar>
          </w:tcPr>
          <w:p>
            <w:r>
              <w:rPr>
                <w:rFonts w:ascii="Aptos" w:hAnsi="Aptos"/>
                <w:sz w:val="17"/>
              </w:rPr>
              <w:t>apps/&lt;app&gt;/</w:t>
            </w:r>
          </w:p>
        </w:tc>
        <w:tc>
          <w:tcPr>
            <w:tcW w:type="dxa" w:w="3221"/>
            <w:vAlign w:val="center"/>
            <w:tcMar>
              <w:top w:w="90" w:type="dxa"/>
              <w:start w:w="110" w:type="dxa"/>
              <w:bottom w:w="90" w:type="dxa"/>
              <w:end w:w="110" w:type="dxa"/>
            </w:tcMar>
          </w:tcPr>
          <w:p>
            <w:r>
              <w:rPr>
                <w:rFonts w:ascii="Aptos" w:hAnsi="Aptos"/>
                <w:sz w:val="17"/>
              </w:rPr>
              <w:t>Samostojna aplikacija</w:t>
            </w:r>
          </w:p>
        </w:tc>
        <w:tc>
          <w:tcPr>
            <w:tcW w:type="dxa" w:w="3221"/>
            <w:vAlign w:val="center"/>
            <w:tcMar>
              <w:top w:w="90" w:type="dxa"/>
              <w:start w:w="110" w:type="dxa"/>
              <w:bottom w:w="90" w:type="dxa"/>
              <w:end w:w="110" w:type="dxa"/>
            </w:tcMar>
          </w:tcPr>
          <w:p>
            <w:r>
              <w:rPr>
                <w:rFonts w:ascii="Aptos" w:hAnsi="Aptos"/>
                <w:sz w:val="17"/>
              </w:rPr>
              <w:t>Ne uporablja absolutnih poti in ne posega v druge aplikacije.</w:t>
            </w:r>
          </w:p>
        </w:tc>
      </w:tr>
      <w:tr>
        <w:tc>
          <w:tcPr>
            <w:tcW w:type="dxa" w:w="3221"/>
            <w:vAlign w:val="center"/>
            <w:tcMar>
              <w:top w:w="90" w:type="dxa"/>
              <w:start w:w="110" w:type="dxa"/>
              <w:bottom w:w="90" w:type="dxa"/>
              <w:end w:w="110" w:type="dxa"/>
            </w:tcMar>
          </w:tcPr>
          <w:p>
            <w:r>
              <w:rPr>
                <w:rFonts w:ascii="Aptos" w:hAnsi="Aptos"/>
                <w:sz w:val="17"/>
              </w:rPr>
              <w:t>data-source/</w:t>
            </w:r>
          </w:p>
        </w:tc>
        <w:tc>
          <w:tcPr>
            <w:tcW w:type="dxa" w:w="3221"/>
            <w:vAlign w:val="center"/>
            <w:tcMar>
              <w:top w:w="90" w:type="dxa"/>
              <w:start w:w="110" w:type="dxa"/>
              <w:bottom w:w="90" w:type="dxa"/>
              <w:end w:w="110" w:type="dxa"/>
            </w:tcMar>
          </w:tcPr>
          <w:p>
            <w:r>
              <w:rPr>
                <w:rFonts w:ascii="Aptos" w:hAnsi="Aptos"/>
                <w:sz w:val="17"/>
              </w:rPr>
              <w:t>Nespremenjeni izvorni izvozi</w:t>
            </w:r>
          </w:p>
        </w:tc>
        <w:tc>
          <w:tcPr>
            <w:tcW w:type="dxa" w:w="3221"/>
            <w:vAlign w:val="center"/>
            <w:tcMar>
              <w:top w:w="90" w:type="dxa"/>
              <w:start w:w="110" w:type="dxa"/>
              <w:bottom w:w="90" w:type="dxa"/>
              <w:end w:w="110" w:type="dxa"/>
            </w:tcMar>
          </w:tcPr>
          <w:p>
            <w:r>
              <w:rPr>
                <w:rFonts w:ascii="Aptos" w:hAnsi="Aptos"/>
                <w:sz w:val="17"/>
              </w:rPr>
              <w:t>Ohranijo se za revizijo; nepravilnih imen se ne popravlja potiho.</w:t>
            </w:r>
          </w:p>
        </w:tc>
      </w:tr>
      <w:tr>
        <w:tc>
          <w:tcPr>
            <w:tcW w:type="dxa" w:w="3221"/>
            <w:vAlign w:val="center"/>
            <w:tcMar>
              <w:top w:w="90" w:type="dxa"/>
              <w:start w:w="110" w:type="dxa"/>
              <w:bottom w:w="90" w:type="dxa"/>
              <w:end w:w="110" w:type="dxa"/>
            </w:tcMar>
          </w:tcPr>
          <w:p>
            <w:r>
              <w:rPr>
                <w:rFonts w:ascii="Aptos" w:hAnsi="Aptos"/>
                <w:sz w:val="17"/>
              </w:rPr>
              <w:t>data-js/</w:t>
            </w:r>
          </w:p>
        </w:tc>
        <w:tc>
          <w:tcPr>
            <w:tcW w:type="dxa" w:w="3221"/>
            <w:vAlign w:val="center"/>
            <w:tcMar>
              <w:top w:w="90" w:type="dxa"/>
              <w:start w:w="110" w:type="dxa"/>
              <w:bottom w:w="90" w:type="dxa"/>
              <w:end w:w="110" w:type="dxa"/>
            </w:tcMar>
          </w:tcPr>
          <w:p>
            <w:r>
              <w:rPr>
                <w:rFonts w:ascii="Aptos" w:hAnsi="Aptos"/>
                <w:sz w:val="17"/>
              </w:rPr>
              <w:t>Normalizirani objavni podatki</w:t>
            </w:r>
          </w:p>
        </w:tc>
        <w:tc>
          <w:tcPr>
            <w:tcW w:type="dxa" w:w="3221"/>
            <w:vAlign w:val="center"/>
            <w:tcMar>
              <w:top w:w="90" w:type="dxa"/>
              <w:start w:w="110" w:type="dxa"/>
              <w:bottom w:w="90" w:type="dxa"/>
              <w:end w:w="110" w:type="dxa"/>
            </w:tcMar>
          </w:tcPr>
          <w:p>
            <w:r>
              <w:rPr>
                <w:rFonts w:ascii="Aptos" w:hAnsi="Aptos"/>
                <w:sz w:val="17"/>
              </w:rPr>
              <w:t>Vse transformacije morajo biti dokumentirane in ponovljive.</w:t>
            </w:r>
          </w:p>
        </w:tc>
      </w:tr>
    </w:tbl>
    <w:p>
      <w:pPr>
        <w:pStyle w:val="Heading1"/>
      </w:pPr>
      <w:r>
        <w:t>3. Struktura aplikacije Prometni odseki</w:t>
      </w:r>
    </w:p>
    <w:p>
      <w:r>
        <w:t>Mapa je pripravljena za več odsekov. Register odsekov loči aktivne in načrtovane lokacije; podatki posameznega odseka so v lastni datoteki.</w:t>
      </w:r>
    </w:p>
    <w:p>
      <w:pPr>
        <w:pStyle w:val="CodeBlock"/>
      </w:pPr>
      <w:r>
        <w:t>apps/prometni-odseki/</w:t>
        <w:br/>
        <w:t>├── index.html</w:t>
        <w:br/>
        <w:t>├── styles.css</w:t>
        <w:br/>
        <w:t>├── app.js</w:t>
        <w:br/>
        <w:t>├── README.md</w:t>
        <w:br/>
        <w:t>├── data-js/</w:t>
        <w:br/>
        <w:t>│   ├── sections.js</w:t>
        <w:br/>
        <w:t>│   ├── krize-retnje.js</w:t>
        <w:br/>
        <w:t>│   └── zvirce.js</w:t>
        <w:br/>
        <w:t>└── data-source/</w:t>
        <w:br/>
        <w:t xml:space="preserve">    ├── README.md</w:t>
        <w:br/>
        <w:t xml:space="preserve">    ├── elastic/</w:t>
        <w:br/>
        <w:t xml:space="preserve">    │   └── zvirce/</w:t>
        <w:br/>
        <w:t xml:space="preserve">    └── control/</w:t>
        <w:br/>
        <w:t xml:space="preserve">        └── zvirce/</w:t>
      </w:r>
    </w:p>
    <w:p>
      <w:pPr>
        <w:pStyle w:val="Heading2"/>
      </w:pPr>
      <w:r>
        <w:t>3.1 Register odsekov</w:t>
      </w:r>
    </w:p>
    <w:p>
      <w:r>
        <w:t>Datoteka sections.js vsebuje identifikator, naslov, status in podatkovni ključ. Križe / Retnje in Zvirče sta active. Ob spremembi izbire app.js ponovno sestavi obdobja, smeri in vse prikaze celotne strani.</w:t>
      </w:r>
    </w:p>
    <w:p>
      <w:pPr>
        <w:pStyle w:val="Heading1"/>
      </w:pPr>
      <w:r>
        <w:t>4. Skupni podatkovni model</w:t>
      </w:r>
    </w:p>
    <w:p>
      <w:r>
        <w:t>En normalizirani zapis predstavlja en 12-urni interval ene smeri. Oba odseka uporabljata isto shemo, vsak pa ima lastne smeri, obdobja, izključene dneve, lokacijski kontekst in pravilo za prag 100 km/h.</w:t>
      </w:r>
    </w:p>
    <w:tbl>
      <w:tblPr>
        <w:tblStyle w:val="TableGrid"/>
        <w:tblW w:type="auto" w:w="0"/>
        <w:jc w:val="center"/>
        <w:tblLayout w:type="autofit"/>
        <w:tblLook w:firstColumn="1" w:firstRow="1" w:lastColumn="0" w:lastRow="0" w:noHBand="0" w:noVBand="1" w:val="04A0"/>
      </w:tblPr>
      <w:tblGrid>
        <w:gridCol w:w="3221"/>
        <w:gridCol w:w="3221"/>
        <w:gridCol w:w="3221"/>
      </w:tblGrid>
      <w:tr>
        <w:tc>
          <w:tcPr>
            <w:tcW w:type="dxa" w:w="3221"/>
            <w:vAlign w:val="center"/>
            <w:tcMar>
              <w:top w:w="90" w:type="dxa"/>
              <w:start w:w="110" w:type="dxa"/>
              <w:bottom w:w="90" w:type="dxa"/>
              <w:end w:w="110" w:type="dxa"/>
            </w:tcMar>
            <w:shd w:fill="18363B"/>
          </w:tcPr>
          <w:p>
            <w:r>
              <w:rPr>
                <w:rFonts w:ascii="Aptos" w:hAnsi="Aptos"/>
                <w:b/>
                <w:color w:val="FFFFFF"/>
                <w:sz w:val="17"/>
              </w:rPr>
              <w:t>Skupina</w:t>
            </w:r>
          </w:p>
        </w:tc>
        <w:tc>
          <w:tcPr>
            <w:tcW w:type="dxa" w:w="3221"/>
            <w:vAlign w:val="center"/>
            <w:tcMar>
              <w:top w:w="90" w:type="dxa"/>
              <w:start w:w="110" w:type="dxa"/>
              <w:bottom w:w="90" w:type="dxa"/>
              <w:end w:w="110" w:type="dxa"/>
            </w:tcMar>
            <w:shd w:fill="18363B"/>
          </w:tcPr>
          <w:p>
            <w:r>
              <w:rPr>
                <w:rFonts w:ascii="Aptos" w:hAnsi="Aptos"/>
                <w:b/>
                <w:color w:val="FFFFFF"/>
                <w:sz w:val="17"/>
              </w:rPr>
              <w:t>Polja</w:t>
            </w:r>
          </w:p>
        </w:tc>
        <w:tc>
          <w:tcPr>
            <w:tcW w:type="dxa" w:w="3221"/>
            <w:vAlign w:val="center"/>
            <w:tcMar>
              <w:top w:w="90" w:type="dxa"/>
              <w:start w:w="110" w:type="dxa"/>
              <w:bottom w:w="90" w:type="dxa"/>
              <w:end w:w="110" w:type="dxa"/>
            </w:tcMar>
            <w:shd w:fill="18363B"/>
          </w:tcPr>
          <w:p>
            <w:r>
              <w:rPr>
                <w:rFonts w:ascii="Aptos" w:hAnsi="Aptos"/>
                <w:b/>
                <w:color w:val="FFFFFF"/>
                <w:sz w:val="17"/>
              </w:rPr>
              <w:t>Pomen</w:t>
            </w:r>
          </w:p>
        </w:tc>
      </w:tr>
      <w:tr>
        <w:tc>
          <w:tcPr>
            <w:tcW w:type="dxa" w:w="3221"/>
            <w:vAlign w:val="center"/>
            <w:tcMar>
              <w:top w:w="90" w:type="dxa"/>
              <w:start w:w="110" w:type="dxa"/>
              <w:bottom w:w="90" w:type="dxa"/>
              <w:end w:w="110" w:type="dxa"/>
            </w:tcMar>
          </w:tcPr>
          <w:p>
            <w:r>
              <w:rPr>
                <w:rFonts w:ascii="Aptos" w:hAnsi="Aptos"/>
                <w:sz w:val="17"/>
              </w:rPr>
              <w:t>Identifikacija</w:t>
            </w:r>
          </w:p>
        </w:tc>
        <w:tc>
          <w:tcPr>
            <w:tcW w:type="dxa" w:w="3221"/>
            <w:vAlign w:val="center"/>
            <w:tcMar>
              <w:top w:w="90" w:type="dxa"/>
              <w:start w:w="110" w:type="dxa"/>
              <w:bottom w:w="90" w:type="dxa"/>
              <w:end w:w="110" w:type="dxa"/>
            </w:tcMar>
          </w:tcPr>
          <w:p>
            <w:r>
              <w:rPr>
                <w:rFonts w:ascii="Aptos" w:hAnsi="Aptos"/>
                <w:sz w:val="17"/>
              </w:rPr>
              <w:t>timestamp, date, hour, direction</w:t>
            </w:r>
          </w:p>
        </w:tc>
        <w:tc>
          <w:tcPr>
            <w:tcW w:type="dxa" w:w="3221"/>
            <w:vAlign w:val="center"/>
            <w:tcMar>
              <w:top w:w="90" w:type="dxa"/>
              <w:start w:w="110" w:type="dxa"/>
              <w:bottom w:w="90" w:type="dxa"/>
              <w:end w:w="110" w:type="dxa"/>
            </w:tcMar>
          </w:tcPr>
          <w:p>
            <w:r>
              <w:rPr>
                <w:rFonts w:ascii="Aptos" w:hAnsi="Aptos"/>
                <w:sz w:val="17"/>
              </w:rPr>
              <w:t>Čas začetka intervala in smer 0/1.</w:t>
            </w:r>
          </w:p>
        </w:tc>
      </w:tr>
      <w:tr>
        <w:tc>
          <w:tcPr>
            <w:tcW w:type="dxa" w:w="3221"/>
            <w:vAlign w:val="center"/>
            <w:tcMar>
              <w:top w:w="90" w:type="dxa"/>
              <w:start w:w="110" w:type="dxa"/>
              <w:bottom w:w="90" w:type="dxa"/>
              <w:end w:w="110" w:type="dxa"/>
            </w:tcMar>
          </w:tcPr>
          <w:p>
            <w:r>
              <w:rPr>
                <w:rFonts w:ascii="Aptos" w:hAnsi="Aptos"/>
                <w:sz w:val="17"/>
              </w:rPr>
              <w:t>Kakovost</w:t>
            </w:r>
          </w:p>
        </w:tc>
        <w:tc>
          <w:tcPr>
            <w:tcW w:type="dxa" w:w="3221"/>
            <w:vAlign w:val="center"/>
            <w:tcMar>
              <w:top w:w="90" w:type="dxa"/>
              <w:start w:w="110" w:type="dxa"/>
              <w:bottom w:w="90" w:type="dxa"/>
              <w:end w:w="110" w:type="dxa"/>
            </w:tcMar>
          </w:tcPr>
          <w:p>
            <w:r>
              <w:rPr>
                <w:rFonts w:ascii="Aptos" w:hAnsi="Aptos"/>
                <w:sz w:val="17"/>
              </w:rPr>
              <w:t>status, statusNote</w:t>
            </w:r>
          </w:p>
        </w:tc>
        <w:tc>
          <w:tcPr>
            <w:tcW w:type="dxa" w:w="3221"/>
            <w:vAlign w:val="center"/>
            <w:tcMar>
              <w:top w:w="90" w:type="dxa"/>
              <w:start w:w="110" w:type="dxa"/>
              <w:bottom w:w="90" w:type="dxa"/>
              <w:end w:w="110" w:type="dxa"/>
            </w:tcMar>
          </w:tcPr>
          <w:p>
            <w:r>
              <w:rPr>
                <w:rFonts w:ascii="Aptos" w:hAnsi="Aptos"/>
                <w:sz w:val="17"/>
              </w:rPr>
              <w:t>complete, partial ali missing.</w:t>
            </w:r>
          </w:p>
        </w:tc>
      </w:tr>
      <w:tr>
        <w:tc>
          <w:tcPr>
            <w:tcW w:type="dxa" w:w="3221"/>
            <w:vAlign w:val="center"/>
            <w:tcMar>
              <w:top w:w="90" w:type="dxa"/>
              <w:start w:w="110" w:type="dxa"/>
              <w:bottom w:w="90" w:type="dxa"/>
              <w:end w:w="110" w:type="dxa"/>
            </w:tcMar>
          </w:tcPr>
          <w:p>
            <w:r>
              <w:rPr>
                <w:rFonts w:ascii="Aptos" w:hAnsi="Aptos"/>
                <w:sz w:val="17"/>
              </w:rPr>
              <w:t>Promet</w:t>
            </w:r>
          </w:p>
        </w:tc>
        <w:tc>
          <w:tcPr>
            <w:tcW w:type="dxa" w:w="3221"/>
            <w:vAlign w:val="center"/>
            <w:tcMar>
              <w:top w:w="90" w:type="dxa"/>
              <w:start w:w="110" w:type="dxa"/>
              <w:bottom w:w="90" w:type="dxa"/>
              <w:end w:w="110" w:type="dxa"/>
            </w:tcMar>
          </w:tcPr>
          <w:p>
            <w:r>
              <w:rPr>
                <w:rFonts w:ascii="Aptos" w:hAnsi="Aptos"/>
                <w:sz w:val="17"/>
              </w:rPr>
              <w:t>vehicles, vehicleTypes</w:t>
            </w:r>
          </w:p>
        </w:tc>
        <w:tc>
          <w:tcPr>
            <w:tcW w:type="dxa" w:w="3221"/>
            <w:vAlign w:val="center"/>
            <w:tcMar>
              <w:top w:w="90" w:type="dxa"/>
              <w:start w:w="110" w:type="dxa"/>
              <w:bottom w:w="90" w:type="dxa"/>
              <w:end w:w="110" w:type="dxa"/>
            </w:tcMar>
          </w:tcPr>
          <w:p>
            <w:r>
              <w:rPr>
                <w:rFonts w:ascii="Aptos" w:hAnsi="Aptos"/>
                <w:sz w:val="17"/>
              </w:rPr>
              <w:t>Število vseh vozil in kategorije.</w:t>
            </w:r>
          </w:p>
        </w:tc>
      </w:tr>
      <w:tr>
        <w:tc>
          <w:tcPr>
            <w:tcW w:type="dxa" w:w="3221"/>
            <w:vAlign w:val="center"/>
            <w:tcMar>
              <w:top w:w="90" w:type="dxa"/>
              <w:start w:w="110" w:type="dxa"/>
              <w:bottom w:w="90" w:type="dxa"/>
              <w:end w:w="110" w:type="dxa"/>
            </w:tcMar>
          </w:tcPr>
          <w:p>
            <w:r>
              <w:rPr>
                <w:rFonts w:ascii="Aptos" w:hAnsi="Aptos"/>
                <w:sz w:val="17"/>
              </w:rPr>
              <w:t>Hitrost</w:t>
            </w:r>
          </w:p>
        </w:tc>
        <w:tc>
          <w:tcPr>
            <w:tcW w:type="dxa" w:w="3221"/>
            <w:vAlign w:val="center"/>
            <w:tcMar>
              <w:top w:w="90" w:type="dxa"/>
              <w:start w:w="110" w:type="dxa"/>
              <w:bottom w:w="90" w:type="dxa"/>
              <w:end w:w="110" w:type="dxa"/>
            </w:tcMar>
          </w:tcPr>
          <w:p>
            <w:r>
              <w:rPr>
                <w:rFonts w:ascii="Aptos" w:hAnsi="Aptos"/>
                <w:sz w:val="17"/>
              </w:rPr>
              <w:t>averageSpeed, maxSpeed, p85Interval</w:t>
            </w:r>
          </w:p>
        </w:tc>
        <w:tc>
          <w:tcPr>
            <w:tcW w:type="dxa" w:w="3221"/>
            <w:vAlign w:val="center"/>
            <w:tcMar>
              <w:top w:w="90" w:type="dxa"/>
              <w:start w:w="110" w:type="dxa"/>
              <w:bottom w:w="90" w:type="dxa"/>
              <w:end w:w="110" w:type="dxa"/>
            </w:tcMar>
          </w:tcPr>
          <w:p>
            <w:r>
              <w:rPr>
                <w:rFonts w:ascii="Aptos" w:hAnsi="Aptos"/>
                <w:sz w:val="17"/>
              </w:rPr>
              <w:t>Intervalno povprečje, maksimum in P85.</w:t>
            </w:r>
          </w:p>
        </w:tc>
      </w:tr>
      <w:tr>
        <w:tc>
          <w:tcPr>
            <w:tcW w:type="dxa" w:w="3221"/>
            <w:vAlign w:val="center"/>
            <w:tcMar>
              <w:top w:w="90" w:type="dxa"/>
              <w:start w:w="110" w:type="dxa"/>
              <w:bottom w:w="90" w:type="dxa"/>
              <w:end w:w="110" w:type="dxa"/>
            </w:tcMar>
          </w:tcPr>
          <w:p>
            <w:r>
              <w:rPr>
                <w:rFonts w:ascii="Aptos" w:hAnsi="Aptos"/>
                <w:sz w:val="17"/>
              </w:rPr>
              <w:t>Pragovi</w:t>
            </w:r>
          </w:p>
        </w:tc>
        <w:tc>
          <w:tcPr>
            <w:tcW w:type="dxa" w:w="3221"/>
            <w:vAlign w:val="center"/>
            <w:tcMar>
              <w:top w:w="90" w:type="dxa"/>
              <w:start w:w="110" w:type="dxa"/>
              <w:bottom w:w="90" w:type="dxa"/>
              <w:end w:w="110" w:type="dxa"/>
            </w:tcMar>
          </w:tcPr>
          <w:p>
            <w:r>
              <w:rPr>
                <w:rFonts w:ascii="Aptos" w:hAnsi="Aptos"/>
                <w:sz w:val="17"/>
              </w:rPr>
              <w:t>over50 … over90, atLeast100</w:t>
            </w:r>
          </w:p>
        </w:tc>
        <w:tc>
          <w:tcPr>
            <w:tcW w:type="dxa" w:w="3221"/>
            <w:vAlign w:val="center"/>
            <w:tcMar>
              <w:top w:w="90" w:type="dxa"/>
              <w:start w:w="110" w:type="dxa"/>
              <w:bottom w:w="90" w:type="dxa"/>
              <w:end w:w="110" w:type="dxa"/>
            </w:tcMar>
          </w:tcPr>
          <w:p>
            <w:r>
              <w:rPr>
                <w:rFonts w:ascii="Aptos" w:hAnsi="Aptos"/>
                <w:sz w:val="17"/>
              </w:rPr>
              <w:t>Kumulativna števila vozil nad pragom.</w:t>
            </w:r>
          </w:p>
        </w:tc>
      </w:tr>
    </w:tbl>
    <w:p>
      <w:pPr>
        <w:pStyle w:val="Heading1"/>
      </w:pPr>
      <w:r>
        <w:t>5. Validacija smeri in vsebine – Križe / Retnje</w:t>
      </w:r>
    </w:p>
    <w:p>
      <w:r>
        <w:t>Fizična preslikava je potrjena z neposrednima izvozoma naprave TC25 in s kategorično strukturo vozil:</w:t>
      </w:r>
    </w:p>
    <w:p>
      <w:pPr>
        <w:pStyle w:val="ListBullet"/>
      </w:pPr>
      <w:r>
        <w:t>direction 1 = Retnje → Križe = jug → sever = proti Križam;</w:t>
      </w:r>
    </w:p>
    <w:p>
      <w:pPr>
        <w:pStyle w:val="ListBullet"/>
      </w:pPr>
      <w:r>
        <w:t>direction 0 = Križe → Retnje = sever → jug = proti Retnjam.</w:t>
      </w:r>
    </w:p>
    <w:p>
      <w:r>
        <w:t>Kritična ugotovitev: vsebini dveh hitrostnih CSV-jev sta bili glede na imeni zamenjani. CSV, poimenovan kot direction 0, se je po številu vozil ujemal z direction 1 v vseh 1.510 intervalih; drugi CSV se je v vseh intervalih ujemal z direction 0. Izvorne datoteke so ohranjene nespremenjene, pravilna pripadnost pa je zapisana v normaliziranih podatkih.</w:t>
      </w:r>
    </w:p>
    <w:p>
      <w:pPr>
        <w:pStyle w:val="Heading1"/>
      </w:pPr>
      <w:r>
        <w:t>6. Izračuni in grafi</w:t>
      </w:r>
    </w:p>
    <w:tbl>
      <w:tblPr>
        <w:tblStyle w:val="TableGrid"/>
        <w:tblW w:type="auto" w:w="0"/>
        <w:jc w:val="center"/>
        <w:tblLayout w:type="autofit"/>
        <w:tblLook w:firstColumn="1" w:firstRow="1" w:lastColumn="0" w:lastRow="0" w:noHBand="0" w:noVBand="1" w:val="04A0"/>
      </w:tblPr>
      <w:tblGrid>
        <w:gridCol w:w="3221"/>
        <w:gridCol w:w="3221"/>
        <w:gridCol w:w="3221"/>
      </w:tblGrid>
      <w:tr>
        <w:tc>
          <w:tcPr>
            <w:tcW w:type="dxa" w:w="3221"/>
            <w:vAlign w:val="center"/>
            <w:tcMar>
              <w:top w:w="90" w:type="dxa"/>
              <w:start w:w="110" w:type="dxa"/>
              <w:bottom w:w="90" w:type="dxa"/>
              <w:end w:w="110" w:type="dxa"/>
            </w:tcMar>
            <w:shd w:fill="18363B"/>
          </w:tcPr>
          <w:p>
            <w:r>
              <w:rPr>
                <w:rFonts w:ascii="Aptos" w:hAnsi="Aptos"/>
                <w:b/>
                <w:color w:val="FFFFFF"/>
                <w:sz w:val="16"/>
              </w:rPr>
              <w:t>Kazalnik</w:t>
            </w:r>
          </w:p>
        </w:tc>
        <w:tc>
          <w:tcPr>
            <w:tcW w:type="dxa" w:w="3221"/>
            <w:vAlign w:val="center"/>
            <w:tcMar>
              <w:top w:w="90" w:type="dxa"/>
              <w:start w:w="110" w:type="dxa"/>
              <w:bottom w:w="90" w:type="dxa"/>
              <w:end w:w="110" w:type="dxa"/>
            </w:tcMar>
            <w:shd w:fill="18363B"/>
          </w:tcPr>
          <w:p>
            <w:r>
              <w:rPr>
                <w:rFonts w:ascii="Aptos" w:hAnsi="Aptos"/>
                <w:b/>
                <w:color w:val="FFFFFF"/>
                <w:sz w:val="16"/>
              </w:rPr>
              <w:t>Izračun</w:t>
            </w:r>
          </w:p>
        </w:tc>
        <w:tc>
          <w:tcPr>
            <w:tcW w:type="dxa" w:w="3221"/>
            <w:vAlign w:val="center"/>
            <w:tcMar>
              <w:top w:w="90" w:type="dxa"/>
              <w:start w:w="110" w:type="dxa"/>
              <w:bottom w:w="90" w:type="dxa"/>
              <w:end w:w="110" w:type="dxa"/>
            </w:tcMar>
            <w:shd w:fill="18363B"/>
          </w:tcPr>
          <w:p>
            <w:r>
              <w:rPr>
                <w:rFonts w:ascii="Aptos" w:hAnsi="Aptos"/>
                <w:b/>
                <w:color w:val="FFFFFF"/>
                <w:sz w:val="16"/>
              </w:rPr>
              <w:t>Omejitev</w:t>
            </w:r>
          </w:p>
        </w:tc>
      </w:tr>
      <w:tr>
        <w:tc>
          <w:tcPr>
            <w:tcW w:type="dxa" w:w="3221"/>
            <w:vAlign w:val="center"/>
            <w:tcMar>
              <w:top w:w="90" w:type="dxa"/>
              <w:start w:w="110" w:type="dxa"/>
              <w:bottom w:w="90" w:type="dxa"/>
              <w:end w:w="110" w:type="dxa"/>
            </w:tcMar>
          </w:tcPr>
          <w:p>
            <w:r>
              <w:rPr>
                <w:rFonts w:ascii="Aptos" w:hAnsi="Aptos"/>
                <w:sz w:val="16"/>
              </w:rPr>
              <w:t>Skupno vozil</w:t>
            </w:r>
          </w:p>
        </w:tc>
        <w:tc>
          <w:tcPr>
            <w:tcW w:type="dxa" w:w="3221"/>
            <w:vAlign w:val="center"/>
            <w:tcMar>
              <w:top w:w="90" w:type="dxa"/>
              <w:start w:w="110" w:type="dxa"/>
              <w:bottom w:w="90" w:type="dxa"/>
              <w:end w:w="110" w:type="dxa"/>
            </w:tcMar>
          </w:tcPr>
          <w:p>
            <w:r>
              <w:rPr>
                <w:rFonts w:ascii="Aptos" w:hAnsi="Aptos"/>
                <w:sz w:val="16"/>
              </w:rPr>
              <w:t>Vsota popolnih intervalov na popolnih dnevih</w:t>
            </w:r>
          </w:p>
        </w:tc>
        <w:tc>
          <w:tcPr>
            <w:tcW w:type="dxa" w:w="3221"/>
            <w:vAlign w:val="center"/>
            <w:tcMar>
              <w:top w:w="90" w:type="dxa"/>
              <w:start w:w="110" w:type="dxa"/>
              <w:bottom w:w="90" w:type="dxa"/>
              <w:end w:w="110" w:type="dxa"/>
            </w:tcMar>
          </w:tcPr>
          <w:p>
            <w:r>
              <w:rPr>
                <w:rFonts w:ascii="Aptos" w:hAnsi="Aptos"/>
                <w:sz w:val="16"/>
              </w:rPr>
              <w:t>Delni dnevi niso vključeni.</w:t>
            </w:r>
          </w:p>
        </w:tc>
      </w:tr>
      <w:tr>
        <w:tc>
          <w:tcPr>
            <w:tcW w:type="dxa" w:w="3221"/>
            <w:vAlign w:val="center"/>
            <w:tcMar>
              <w:top w:w="90" w:type="dxa"/>
              <w:start w:w="110" w:type="dxa"/>
              <w:bottom w:w="90" w:type="dxa"/>
              <w:end w:w="110" w:type="dxa"/>
            </w:tcMar>
          </w:tcPr>
          <w:p>
            <w:r>
              <w:rPr>
                <w:rFonts w:ascii="Aptos" w:hAnsi="Aptos"/>
                <w:sz w:val="16"/>
              </w:rPr>
              <w:t>Povprečno na dan</w:t>
            </w:r>
          </w:p>
        </w:tc>
        <w:tc>
          <w:tcPr>
            <w:tcW w:type="dxa" w:w="3221"/>
            <w:vAlign w:val="center"/>
            <w:tcMar>
              <w:top w:w="90" w:type="dxa"/>
              <w:start w:w="110" w:type="dxa"/>
              <w:bottom w:w="90" w:type="dxa"/>
              <w:end w:w="110" w:type="dxa"/>
            </w:tcMar>
          </w:tcPr>
          <w:p>
            <w:r>
              <w:rPr>
                <w:rFonts w:ascii="Aptos" w:hAnsi="Aptos"/>
                <w:sz w:val="16"/>
              </w:rPr>
              <w:t>Skupno / število popolnih dni</w:t>
            </w:r>
          </w:p>
        </w:tc>
        <w:tc>
          <w:tcPr>
            <w:tcW w:type="dxa" w:w="3221"/>
            <w:vAlign w:val="center"/>
            <w:tcMar>
              <w:top w:w="90" w:type="dxa"/>
              <w:start w:w="110" w:type="dxa"/>
              <w:bottom w:w="90" w:type="dxa"/>
              <w:end w:w="110" w:type="dxa"/>
            </w:tcMar>
          </w:tcPr>
          <w:p>
            <w:r>
              <w:rPr>
                <w:rFonts w:ascii="Aptos" w:hAnsi="Aptos"/>
                <w:sz w:val="16"/>
              </w:rPr>
              <w:t>Ni ocenjevanja manjkajočih dni.</w:t>
            </w:r>
          </w:p>
        </w:tc>
      </w:tr>
      <w:tr>
        <w:tc>
          <w:tcPr>
            <w:tcW w:type="dxa" w:w="3221"/>
            <w:vAlign w:val="center"/>
            <w:tcMar>
              <w:top w:w="90" w:type="dxa"/>
              <w:start w:w="110" w:type="dxa"/>
              <w:bottom w:w="90" w:type="dxa"/>
              <w:end w:w="110" w:type="dxa"/>
            </w:tcMar>
          </w:tcPr>
          <w:p>
            <w:r>
              <w:rPr>
                <w:rFonts w:ascii="Aptos" w:hAnsi="Aptos"/>
                <w:sz w:val="16"/>
              </w:rPr>
              <w:t>Povprečna hitrost</w:t>
            </w:r>
          </w:p>
        </w:tc>
        <w:tc>
          <w:tcPr>
            <w:tcW w:type="dxa" w:w="3221"/>
            <w:vAlign w:val="center"/>
            <w:tcMar>
              <w:top w:w="90" w:type="dxa"/>
              <w:start w:w="110" w:type="dxa"/>
              <w:bottom w:w="90" w:type="dxa"/>
              <w:end w:w="110" w:type="dxa"/>
            </w:tcMar>
          </w:tcPr>
          <w:p>
            <w:r>
              <w:rPr>
                <w:rFonts w:ascii="Aptos" w:hAnsi="Aptos"/>
                <w:sz w:val="16"/>
              </w:rPr>
              <w:t>Σ(vozila × intervalno povprečje) / Σ vozil</w:t>
            </w:r>
          </w:p>
        </w:tc>
        <w:tc>
          <w:tcPr>
            <w:tcW w:type="dxa" w:w="3221"/>
            <w:vAlign w:val="center"/>
            <w:tcMar>
              <w:top w:w="90" w:type="dxa"/>
              <w:start w:w="110" w:type="dxa"/>
              <w:bottom w:w="90" w:type="dxa"/>
              <w:end w:w="110" w:type="dxa"/>
            </w:tcMar>
          </w:tcPr>
          <w:p>
            <w:r>
              <w:rPr>
                <w:rFonts w:ascii="Aptos" w:hAnsi="Aptos"/>
                <w:sz w:val="16"/>
              </w:rPr>
              <w:t>Pravilno uteženo po prometu.</w:t>
            </w:r>
          </w:p>
        </w:tc>
      </w:tr>
      <w:tr>
        <w:tc>
          <w:tcPr>
            <w:tcW w:type="dxa" w:w="3221"/>
            <w:vAlign w:val="center"/>
            <w:tcMar>
              <w:top w:w="90" w:type="dxa"/>
              <w:start w:w="110" w:type="dxa"/>
              <w:bottom w:w="90" w:type="dxa"/>
              <w:end w:w="110" w:type="dxa"/>
            </w:tcMar>
          </w:tcPr>
          <w:p>
            <w:r>
              <w:rPr>
                <w:rFonts w:ascii="Aptos" w:hAnsi="Aptos"/>
                <w:sz w:val="16"/>
              </w:rPr>
              <w:t>P85</w:t>
            </w:r>
          </w:p>
        </w:tc>
        <w:tc>
          <w:tcPr>
            <w:tcW w:type="dxa" w:w="3221"/>
            <w:vAlign w:val="center"/>
            <w:tcMar>
              <w:top w:w="90" w:type="dxa"/>
              <w:start w:w="110" w:type="dxa"/>
              <w:bottom w:w="90" w:type="dxa"/>
              <w:end w:w="110" w:type="dxa"/>
            </w:tcMar>
          </w:tcPr>
          <w:p>
            <w:r>
              <w:rPr>
                <w:rFonts w:ascii="Aptos" w:hAnsi="Aptos"/>
                <w:sz w:val="16"/>
              </w:rPr>
              <w:t>Σ(vozila × intervalni P85) / Σ vozil</w:t>
            </w:r>
          </w:p>
        </w:tc>
        <w:tc>
          <w:tcPr>
            <w:tcW w:type="dxa" w:w="3221"/>
            <w:vAlign w:val="center"/>
            <w:tcMar>
              <w:top w:w="90" w:type="dxa"/>
              <w:start w:w="110" w:type="dxa"/>
              <w:bottom w:w="90" w:type="dxa"/>
              <w:end w:w="110" w:type="dxa"/>
            </w:tcMar>
          </w:tcPr>
          <w:p>
            <w:r>
              <w:rPr>
                <w:rFonts w:ascii="Aptos" w:hAnsi="Aptos"/>
                <w:sz w:val="16"/>
              </w:rPr>
              <w:t>Ni natančen percentil vseh posameznih meritev.</w:t>
            </w:r>
          </w:p>
        </w:tc>
      </w:tr>
      <w:tr>
        <w:tc>
          <w:tcPr>
            <w:tcW w:type="dxa" w:w="3221"/>
            <w:vAlign w:val="center"/>
            <w:tcMar>
              <w:top w:w="90" w:type="dxa"/>
              <w:start w:w="110" w:type="dxa"/>
              <w:bottom w:w="90" w:type="dxa"/>
              <w:end w:w="110" w:type="dxa"/>
            </w:tcMar>
          </w:tcPr>
          <w:p>
            <w:r>
              <w:rPr>
                <w:rFonts w:ascii="Aptos" w:hAnsi="Aptos"/>
                <w:sz w:val="16"/>
              </w:rPr>
              <w:t>Razredi hitrosti</w:t>
            </w:r>
          </w:p>
        </w:tc>
        <w:tc>
          <w:tcPr>
            <w:tcW w:type="dxa" w:w="3221"/>
            <w:vAlign w:val="center"/>
            <w:tcMar>
              <w:top w:w="90" w:type="dxa"/>
              <w:start w:w="110" w:type="dxa"/>
              <w:bottom w:w="90" w:type="dxa"/>
              <w:end w:w="110" w:type="dxa"/>
            </w:tcMar>
          </w:tcPr>
          <w:p>
            <w:r>
              <w:rPr>
                <w:rFonts w:ascii="Aptos" w:hAnsi="Aptos"/>
                <w:sz w:val="16"/>
              </w:rPr>
              <w:t>Odštevanje zaporednih kumulativnih pragov</w:t>
            </w:r>
          </w:p>
        </w:tc>
        <w:tc>
          <w:tcPr>
            <w:tcW w:type="dxa" w:w="3221"/>
            <w:vAlign w:val="center"/>
            <w:tcMar>
              <w:top w:w="90" w:type="dxa"/>
              <w:start w:w="110" w:type="dxa"/>
              <w:bottom w:w="90" w:type="dxa"/>
              <w:end w:w="110" w:type="dxa"/>
            </w:tcMar>
          </w:tcPr>
          <w:p>
            <w:r>
              <w:rPr>
                <w:rFonts w:ascii="Aptos" w:hAnsi="Aptos"/>
                <w:sz w:val="16"/>
              </w:rPr>
              <w:t>Vsako vozilo je v neprekrivajočem se razredu.</w:t>
            </w:r>
          </w:p>
        </w:tc>
      </w:tr>
      <w:tr>
        <w:tc>
          <w:tcPr>
            <w:tcW w:type="dxa" w:w="3221"/>
            <w:vAlign w:val="center"/>
            <w:tcMar>
              <w:top w:w="90" w:type="dxa"/>
              <w:start w:w="110" w:type="dxa"/>
              <w:bottom w:w="90" w:type="dxa"/>
              <w:end w:w="110" w:type="dxa"/>
            </w:tcMar>
          </w:tcPr>
          <w:p>
            <w:r>
              <w:t>Prag ≥100 km/h</w:t>
            </w:r>
          </w:p>
        </w:tc>
        <w:tc>
          <w:tcPr>
            <w:tcW w:type="dxa" w:w="3221"/>
            <w:vAlign w:val="center"/>
            <w:tcMar>
              <w:top w:w="90" w:type="dxa"/>
              <w:start w:w="110" w:type="dxa"/>
              <w:bottom w:w="90" w:type="dxa"/>
              <w:end w:w="110" w:type="dxa"/>
            </w:tcMar>
          </w:tcPr>
          <w:p>
            <w:r>
              <w:t>Križe / Retnje: rekonstrukcija iz max ≥100 in &gt;90 = 1; Zvirče: po eno dokazano vozilo na interval z max ≥100.</w:t>
            </w:r>
          </w:p>
        </w:tc>
        <w:tc>
          <w:tcPr>
            <w:tcW w:type="dxa" w:w="3221"/>
            <w:vAlign w:val="center"/>
            <w:tcMar>
              <w:top w:w="90" w:type="dxa"/>
              <w:start w:w="110" w:type="dxa"/>
              <w:bottom w:w="90" w:type="dxa"/>
              <w:end w:w="110" w:type="dxa"/>
            </w:tcMar>
          </w:tcPr>
          <w:p>
            <w:r>
              <w:t>Pri Zvirčah je objavljena spodnja meja, ne natančno število vozil.</w:t>
            </w:r>
          </w:p>
        </w:tc>
      </w:tr>
    </w:tbl>
    <w:p>
      <w:r>
        <w:t>Graf 1 prikazuje skladnost z omejitvijo in neprekrivajoče se razrede prekoračitev. Pri absolutnih številih uporablja logaritemsko dolžino stolpcev, vendar vedno izpiše natančno vrednost. Graf 2 prikazuje povprečni 12-urni tedenski profil po smereh ali vrstah vozil.</w:t>
      </w:r>
    </w:p>
    <w:p>
      <w:pPr>
        <w:pStyle w:val="Heading1"/>
      </w:pPr>
      <w:r>
        <w:t>7. Izključeni intervali in obdobje – Križe / Retnje</w:t>
      </w:r>
    </w:p>
    <w:tbl>
      <w:tblPr>
        <w:tblStyle w:val="TableGrid"/>
        <w:tblW w:type="auto" w:w="0"/>
        <w:jc w:val="center"/>
        <w:tblLayout w:type="autofit"/>
        <w:tblLook w:firstColumn="1" w:firstRow="1" w:lastColumn="0" w:lastRow="0" w:noHBand="0" w:noVBand="1" w:val="04A0"/>
      </w:tblPr>
      <w:tblGrid>
        <w:gridCol w:w="4831"/>
        <w:gridCol w:w="4831"/>
      </w:tblGrid>
      <w:tr>
        <w:tc>
          <w:tcPr>
            <w:tcW w:type="dxa" w:w="4831"/>
            <w:vAlign w:val="center"/>
            <w:tcMar>
              <w:top w:w="90" w:type="dxa"/>
              <w:start w:w="110" w:type="dxa"/>
              <w:bottom w:w="90" w:type="dxa"/>
              <w:end w:w="110" w:type="dxa"/>
            </w:tcMar>
            <w:shd w:fill="18363B"/>
          </w:tcPr>
          <w:p>
            <w:r>
              <w:rPr>
                <w:rFonts w:ascii="Aptos" w:hAnsi="Aptos"/>
                <w:b/>
                <w:color w:val="FFFFFF"/>
                <w:sz w:val="17"/>
              </w:rPr>
              <w:t>Datum</w:t>
            </w:r>
          </w:p>
        </w:tc>
        <w:tc>
          <w:tcPr>
            <w:tcW w:type="dxa" w:w="4831"/>
            <w:vAlign w:val="center"/>
            <w:tcMar>
              <w:top w:w="90" w:type="dxa"/>
              <w:start w:w="110" w:type="dxa"/>
              <w:bottom w:w="90" w:type="dxa"/>
              <w:end w:w="110" w:type="dxa"/>
            </w:tcMar>
            <w:shd w:fill="18363B"/>
          </w:tcPr>
          <w:p>
            <w:r>
              <w:rPr>
                <w:rFonts w:ascii="Aptos" w:hAnsi="Aptos"/>
                <w:b/>
                <w:color w:val="FFFFFF"/>
                <w:sz w:val="17"/>
              </w:rPr>
              <w:t>Razlog</w:t>
            </w:r>
          </w:p>
        </w:tc>
      </w:tr>
      <w:tr>
        <w:tc>
          <w:tcPr>
            <w:tcW w:type="dxa" w:w="4831"/>
            <w:vAlign w:val="center"/>
            <w:tcMar>
              <w:top w:w="90" w:type="dxa"/>
              <w:start w:w="110" w:type="dxa"/>
              <w:bottom w:w="90" w:type="dxa"/>
              <w:end w:w="110" w:type="dxa"/>
            </w:tcMar>
          </w:tcPr>
          <w:p>
            <w:r>
              <w:rPr>
                <w:rFonts w:ascii="Aptos" w:hAnsi="Aptos"/>
                <w:sz w:val="17"/>
              </w:rPr>
              <w:t>11. 7. 2024</w:t>
            </w:r>
          </w:p>
        </w:tc>
        <w:tc>
          <w:tcPr>
            <w:tcW w:type="dxa" w:w="4831"/>
            <w:vAlign w:val="center"/>
            <w:tcMar>
              <w:top w:w="90" w:type="dxa"/>
              <w:start w:w="110" w:type="dxa"/>
              <w:bottom w:w="90" w:type="dxa"/>
              <w:end w:w="110" w:type="dxa"/>
            </w:tcMar>
          </w:tcPr>
          <w:p>
            <w:r>
              <w:rPr>
                <w:rFonts w:ascii="Aptos" w:hAnsi="Aptos"/>
                <w:sz w:val="17"/>
              </w:rPr>
              <w:t>nepopoln začetni dan</w:t>
            </w:r>
          </w:p>
        </w:tc>
      </w:tr>
      <w:tr>
        <w:tc>
          <w:tcPr>
            <w:tcW w:type="dxa" w:w="4831"/>
            <w:vAlign w:val="center"/>
            <w:tcMar>
              <w:top w:w="90" w:type="dxa"/>
              <w:start w:w="110" w:type="dxa"/>
              <w:bottom w:w="90" w:type="dxa"/>
              <w:end w:w="110" w:type="dxa"/>
            </w:tcMar>
          </w:tcPr>
          <w:p>
            <w:r>
              <w:rPr>
                <w:rFonts w:ascii="Aptos" w:hAnsi="Aptos"/>
                <w:sz w:val="17"/>
              </w:rPr>
              <w:t>5. 1. 2026</w:t>
            </w:r>
          </w:p>
        </w:tc>
        <w:tc>
          <w:tcPr>
            <w:tcW w:type="dxa" w:w="4831"/>
            <w:vAlign w:val="center"/>
            <w:tcMar>
              <w:top w:w="90" w:type="dxa"/>
              <w:start w:w="110" w:type="dxa"/>
              <w:bottom w:w="90" w:type="dxa"/>
              <w:end w:w="110" w:type="dxa"/>
            </w:tcMar>
          </w:tcPr>
          <w:p>
            <w:r>
              <w:rPr>
                <w:rFonts w:ascii="Aptos" w:hAnsi="Aptos"/>
                <w:sz w:val="17"/>
              </w:rPr>
              <w:t>manjka interval 12:00–24:00</w:t>
            </w:r>
          </w:p>
        </w:tc>
      </w:tr>
      <w:tr>
        <w:tc>
          <w:tcPr>
            <w:tcW w:type="dxa" w:w="4831"/>
            <w:vAlign w:val="center"/>
            <w:tcMar>
              <w:top w:w="90" w:type="dxa"/>
              <w:start w:w="110" w:type="dxa"/>
              <w:bottom w:w="90" w:type="dxa"/>
              <w:end w:w="110" w:type="dxa"/>
            </w:tcMar>
          </w:tcPr>
          <w:p>
            <w:r>
              <w:rPr>
                <w:rFonts w:ascii="Aptos" w:hAnsi="Aptos"/>
                <w:sz w:val="17"/>
              </w:rPr>
              <w:t>26. 7. 2026</w:t>
            </w:r>
          </w:p>
        </w:tc>
        <w:tc>
          <w:tcPr>
            <w:tcW w:type="dxa" w:w="4831"/>
            <w:vAlign w:val="center"/>
            <w:tcMar>
              <w:top w:w="90" w:type="dxa"/>
              <w:start w:w="110" w:type="dxa"/>
              <w:bottom w:w="90" w:type="dxa"/>
              <w:end w:w="110" w:type="dxa"/>
            </w:tcMar>
          </w:tcPr>
          <w:p>
            <w:r>
              <w:rPr>
                <w:rFonts w:ascii="Aptos" w:hAnsi="Aptos"/>
                <w:sz w:val="17"/>
              </w:rPr>
              <w:t>manjka interval 12:00–24:00</w:t>
            </w:r>
          </w:p>
        </w:tc>
      </w:tr>
      <w:tr>
        <w:tc>
          <w:tcPr>
            <w:tcW w:type="dxa" w:w="4831"/>
            <w:vAlign w:val="center"/>
            <w:tcMar>
              <w:top w:w="90" w:type="dxa"/>
              <w:start w:w="110" w:type="dxa"/>
              <w:bottom w:w="90" w:type="dxa"/>
              <w:end w:w="110" w:type="dxa"/>
            </w:tcMar>
          </w:tcPr>
          <w:p>
            <w:r>
              <w:rPr>
                <w:rFonts w:ascii="Aptos" w:hAnsi="Aptos"/>
                <w:sz w:val="17"/>
              </w:rPr>
              <w:t>4. 8. 2026</w:t>
            </w:r>
          </w:p>
        </w:tc>
        <w:tc>
          <w:tcPr>
            <w:tcW w:type="dxa" w:w="4831"/>
            <w:vAlign w:val="center"/>
            <w:tcMar>
              <w:top w:w="90" w:type="dxa"/>
              <w:start w:w="110" w:type="dxa"/>
              <w:bottom w:w="90" w:type="dxa"/>
              <w:end w:w="110" w:type="dxa"/>
            </w:tcMar>
          </w:tcPr>
          <w:p>
            <w:r>
              <w:rPr>
                <w:rFonts w:ascii="Aptos" w:hAnsi="Aptos"/>
                <w:sz w:val="17"/>
              </w:rPr>
              <w:t>nepopoln končni dan</w:t>
            </w:r>
          </w:p>
        </w:tc>
      </w:tr>
    </w:tbl>
    <w:p>
      <w:r>
        <w:t>Primerljivo obdobje vsebuje 751 popolnih dni med 12. 7. 2024 in 3. 8. 2026. Izključeni podatki niso interpolirani.</w:t>
      </w:r>
    </w:p>
    <w:p>
      <w:pPr>
        <w:pStyle w:val="Heading1"/>
      </w:pPr>
      <w:r>
        <w:t>8. Lokacijski kontekst in interpretacija – Križe / Retnje</w:t>
      </w:r>
    </w:p>
    <w:p>
      <w:r>
        <w:t>Aplikacija upošteva stanovanjske hiše, pešce in pločnike, cestne priključke in križišča, dve smerni avtobusni postajališči ter bližnjo OŠ Križe in vrtec. Pritožba enega prebivalca je zapisana kot povod za objektivno preverjanje in ne kot dokaz stališča vseh prebivalcev.</w:t>
      </w:r>
    </w:p>
    <w:p>
      <w:r>
        <w:t>Podatki o prometnih nesrečah za točno lokacijo še niso vključeni. Aplikacija zato ne izreka avtomatskega sklepa, da je radar upravičen. Prikaže obseg in intenzivnost pojava ter podpira nadaljnjo prometnovarnostno presojo, terenski pregled in izbiro možnih ukrepov.</w:t>
      </w:r>
    </w:p>
    <w:p>
      <w:pPr>
        <w:pStyle w:val="Heading1"/>
      </w:pPr>
      <w:r>
        <w:t>9. Dodajanje oziroma osveževanje odseka</w:t>
      </w:r>
    </w:p>
    <w:p>
      <w:pPr>
        <w:pStyle w:val="ListNumber"/>
      </w:pPr>
      <w:r>
        <w:t>Ohrani nespremenjene izvorne izvoze in zapiši obdobje, časovni pas ter ločljivost.</w:t>
      </w:r>
    </w:p>
    <w:p>
      <w:pPr>
        <w:pStyle w:val="ListNumber"/>
      </w:pPr>
      <w:r>
        <w:t>Potrdi smeri z neposrednim opisom naprave ali kontrolnim izvozom.</w:t>
      </w:r>
    </w:p>
    <w:p>
      <w:pPr>
        <w:pStyle w:val="ListNumber"/>
      </w:pPr>
      <w:r>
        <w:t>Preveri manjkajoče intervale, podvojitve, kategorije in monotono zaporedje pragov.</w:t>
      </w:r>
    </w:p>
    <w:p>
      <w:pPr>
        <w:pStyle w:val="ListNumber"/>
      </w:pPr>
      <w:r>
        <w:t>Generiraj novo data-js datoteko po isti shemi.</w:t>
      </w:r>
    </w:p>
    <w:p>
      <w:pPr>
        <w:pStyle w:val="ListNumber"/>
      </w:pPr>
      <w:r>
        <w:t>Dodaj active vnos v sections.js in script referenco v index.html.</w:t>
      </w:r>
    </w:p>
    <w:p>
      <w:pPr>
        <w:pStyle w:val="ListNumber"/>
      </w:pPr>
      <w:r>
        <w:t>Preveri KPI-je, oba grafa, filtre, mobilni prikaz in lokalno delovanje.</w:t>
      </w:r>
    </w:p>
    <w:p>
      <w:pPr>
        <w:pStyle w:val="ListNumber"/>
      </w:pPr>
      <w:r>
        <w:t>Posodobi VERSION.js, README, metodologijo, vire, katalog, changelog in tehnično dokumentacijo.</w:t>
      </w:r>
    </w:p>
    <w:p>
      <w:pPr>
        <w:pStyle w:val="Heading1"/>
      </w:pPr>
      <w:r>
        <w:t>10. Kontrola izdaje</w:t>
      </w:r>
    </w:p>
    <w:p>
      <w:pPr>
        <w:pStyle w:val="ListBullet"/>
      </w:pPr>
      <w:r>
        <w:t>node --check za vse spremenjene JavaScript datoteke;</w:t>
      </w:r>
    </w:p>
    <w:p>
      <w:pPr>
        <w:pStyle w:val="ListBullet"/>
      </w:pPr>
      <w:r>
        <w:t>preverjanje relativnih povezav in nalaganja prek lokalnega strežnika;</w:t>
      </w:r>
    </w:p>
    <w:p>
      <w:pPr>
        <w:pStyle w:val="ListBullet"/>
      </w:pPr>
      <w:r>
        <w:t>primerjava ključnih seštevkov z normalizirano datoteko;</w:t>
      </w:r>
    </w:p>
    <w:p>
      <w:pPr>
        <w:pStyle w:val="ListBullet"/>
      </w:pPr>
      <w:r>
        <w:t>preverjanje, da obdobja uporabljajo samo popolne dneve;</w:t>
      </w:r>
    </w:p>
    <w:p>
      <w:pPr>
        <w:pStyle w:val="ListBullet"/>
      </w:pPr>
      <w:r>
        <w:t>vizualni pregled namiznega in mobilnega prikaza;</w:t>
      </w:r>
    </w:p>
    <w:p>
      <w:pPr>
        <w:pStyle w:val="ListBullet"/>
      </w:pPr>
      <w:r>
        <w:t>potrditev, da druge aplikacije niso vsebinsko spremenjene;</w:t>
      </w:r>
    </w:p>
    <w:p>
      <w:pPr>
        <w:pStyle w:val="ListBullet"/>
      </w:pPr>
      <w:r>
        <w:t>uskladitev VERSION.js, imena ZIP-a in dokumentacije.</w:t>
      </w:r>
    </w:p>
    <w:p>
      <w:pPr>
        <w:pStyle w:val="Heading1"/>
        <w:pageBreakBefore/>
      </w:pPr>
      <w:r>
        <w:t>11. Dopolnitev v2.1 – odsek Zvirče</w:t>
      </w:r>
    </w:p>
    <w:p>
      <w:r>
        <w:t>Odsek Zvirče je drugi aktivni odsek v isti aplikaciji. Izvorni profil obsega 3. 8. 2023 12:00–5. 8. 2026 12:00. Primerljivo obdobje vključuje 1.094 popolnih dni med 4. 8. 2023 in 4. 8. 2026; pet nepopolnih oziroma manjkajočih dni je izločenih brez interpolacije.</w:t>
      </w:r>
    </w:p>
    <w:p>
      <w:pPr>
        <w:pStyle w:val="Heading2"/>
      </w:pPr>
      <w:r>
        <w:t>11.1 Potrjena preslikava smeri</w:t>
      </w:r>
    </w:p>
    <w:p>
      <w:pPr>
        <w:pStyle w:val="ListBullet"/>
      </w:pPr>
      <w:r>
        <w:t>direction 1 = Zvirče → Kranj = proti Kranju;</w:t>
      </w:r>
    </w:p>
    <w:p>
      <w:pPr>
        <w:pStyle w:val="ListBullet"/>
      </w:pPr>
      <w:r>
        <w:t>direction 0 = Zvirče → Tržič = proti Tržiču.</w:t>
      </w:r>
    </w:p>
    <w:p>
      <w:r>
        <w:t>Datoteka z nazivom »proti Kranju (direction 0)« se po številu vozil v vseh 2.194 skupnih 12-urnih intervalih ujema s profilom direction 1. Datoteka z nazivom »proti Tržiču (direction 1)« se v vseh intervalih ujema s profilom direction 0. Neposredna izvoza TC25 potrjujeta preslikavo tudi z značilnim hitrostnim profilom in strukturo kategorij vozil.</w:t>
      </w:r>
    </w:p>
    <w:p>
      <w:pPr>
        <w:pStyle w:val="Heading2"/>
      </w:pPr>
      <w:r>
        <w:t>11.2 Posebnost praga 100 km/h</w:t>
      </w:r>
    </w:p>
    <w:p>
      <w:r>
        <w:t>Izvorni stolpec »100 ali več« vsebuje maksimalno hitrost, ne števila vozil. Ker ima lahko posamezni interval več vozil nad 90 km/h, natančnega števila ≥100 ni mogoče rekonstruirati. Objavljena vrednost je spodnja meja: po eno dokazano vozilo za vsak interval z maksimalno hitrostjo najmanj 100 km/h. Graf zato uporablja skupni razred nad 90 km/h, tabela pa spodnjo mejo označi z znakom ≥.</w:t>
      </w:r>
    </w:p>
    <w:p>
      <w:pPr>
        <w:pStyle w:val="Heading2"/>
      </w:pPr>
      <w:r>
        <w:t>11.3 Dinamični uporabniški vmesnik</w:t>
      </w:r>
    </w:p>
    <w:p>
      <w:r>
        <w:t>Spustni seznam sedaj aktivno preklaplja med odsekoma Križe / Retnje in Zvirče. Ob izbiri se zamenjajo naslov in shema smeri, obdobja, KPI-ji, oba grafa, tabela prekoračitev, opisni povzetek, lokacijski kontekst, metodologija in viri. Korenski index.html ter druge aplikacije v tej izdaji niso spremenjeni.</w:t>
      </w:r>
    </w:p>
    <w:p>
      <w:pPr>
        <w:pStyle w:val="Heading2"/>
      </w:pPr>
      <w:r>
        <w:t>11.4 Lokacijski kontekst Zvirče</w:t>
      </w:r>
    </w:p>
    <w:p>
      <w:r>
        <w:t>Zvirče je obravnavano kot stanovanjsko naselje s pešci in pločniki, cestnimi priključki, avtobusnima postajališčema in povezovalnim prometom proti Kranju ter Tržiču. V neposrednem kontekstu ni osnovne šole. Podatki o prometnih nesrečah za točno lokacijo niso vključeni, zato app ne izreka avtomatske odločitve o radarju.</w:t>
      </w:r>
    </w:p>
    <w:sectPr w:rsidR="00FC693F" w:rsidRPr="0006063C" w:rsidSect="00034616">
      <w:footerReference w:type="default" r:id="rId9"/>
      <w:headerReference w:type="default" r:id="rId10"/>
      <w:pgSz w:w="11909" w:h="16834"/>
      <w:pgMar w:top="1080"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57A"/>
        <w:sz w:val="16"/>
      </w:rPr>
      <w:t>Utrip Tržiča · Tehnična dokumentacija v2.1 · 5. avgust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8363B"/>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87B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6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6075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100" w:after="160"/>
      <w:ind w:left="360" w:right="360"/>
      <w:shd w:fill="EEF4F5"/>
    </w:pPr>
    <w:rPr>
      <w:rFonts w:ascii="Consolas" w:hAnsi="Consolas"/>
      <w:color w:val="18363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TEHNIČNA DOKUMENTACIJA – Utrip Tržiča v2.0</dc:title>
  <dc:subject>Prometni odseki Tržiča in druga razvojna faza</dc:subject>
  <dc:creator>Občina Tržič</dc:creator>
  <cp:keywords/>
  <dc:description>generated by python-docx</dc:description>
  <cp:lastModifiedBy/>
  <cp:revision>1</cp:revision>
  <dcterms:created xsi:type="dcterms:W3CDTF">2013-12-23T23:15:00Z</dcterms:created>
  <dcterms:modified xsi:type="dcterms:W3CDTF">2013-12-23T23:15:00Z</dcterms:modified>
  <cp:category/>
</cp:coreProperties>
</file>