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D12" w:rsidRPr="00465D12" w:rsidRDefault="00465D12" w:rsidP="00465D12">
      <w:pPr>
        <w:widowControl w:val="0"/>
        <w:autoSpaceDE w:val="0"/>
        <w:autoSpaceDN w:val="0"/>
        <w:adjustRightInd w:val="0"/>
        <w:spacing w:after="0" w:line="240" w:lineRule="auto"/>
        <w:jc w:val="center"/>
        <w:rPr>
          <w:rFonts w:ascii="Times New Roman" w:hAnsi="Times New Roman" w:cs="Times New Roman"/>
          <w:b/>
          <w:bCs/>
          <w:sz w:val="28"/>
          <w:szCs w:val="28"/>
        </w:rPr>
      </w:pPr>
      <w:r w:rsidRPr="00465D12">
        <w:rPr>
          <w:rFonts w:ascii="Times New Roman" w:hAnsi="Times New Roman" w:cs="Times New Roman"/>
          <w:b/>
          <w:bCs/>
          <w:sz w:val="28"/>
          <w:szCs w:val="28"/>
        </w:rPr>
        <w:t>Tisztázó kérdések</w:t>
      </w:r>
      <w:r w:rsidR="00C24007">
        <w:rPr>
          <w:rFonts w:ascii="Times New Roman" w:hAnsi="Times New Roman" w:cs="Times New Roman"/>
          <w:b/>
          <w:bCs/>
          <w:sz w:val="28"/>
          <w:szCs w:val="28"/>
        </w:rPr>
        <w:t xml:space="preserve"> (II. forduló)</w:t>
      </w:r>
    </w:p>
    <w:p w:rsidR="00465D12" w:rsidRPr="00465D12" w:rsidRDefault="00465D12" w:rsidP="00465D12">
      <w:pPr>
        <w:widowControl w:val="0"/>
        <w:autoSpaceDE w:val="0"/>
        <w:autoSpaceDN w:val="0"/>
        <w:adjustRightInd w:val="0"/>
        <w:spacing w:after="0" w:line="240" w:lineRule="auto"/>
        <w:jc w:val="center"/>
        <w:rPr>
          <w:rFonts w:ascii="Times New Roman" w:hAnsi="Times New Roman" w:cs="Times New Roman"/>
          <w:b/>
          <w:bCs/>
          <w:sz w:val="24"/>
          <w:szCs w:val="24"/>
        </w:rPr>
      </w:pPr>
    </w:p>
    <w:tbl>
      <w:tblPr>
        <w:tblW w:w="9676" w:type="dxa"/>
        <w:tblLook w:val="0000"/>
      </w:tblPr>
      <w:tblGrid>
        <w:gridCol w:w="5211"/>
        <w:gridCol w:w="4465"/>
      </w:tblGrid>
      <w:tr w:rsidR="00465D12" w:rsidRPr="00465D12" w:rsidTr="00465D12">
        <w:tc>
          <w:tcPr>
            <w:tcW w:w="5211" w:type="dxa"/>
            <w:tcBorders>
              <w:top w:val="nil"/>
              <w:left w:val="nil"/>
              <w:bottom w:val="nil"/>
              <w:right w:val="nil"/>
            </w:tcBorders>
          </w:tcPr>
          <w:p w:rsidR="00465D12" w:rsidRPr="00465D12" w:rsidRDefault="00465D12" w:rsidP="00465D12">
            <w:pPr>
              <w:spacing w:after="0" w:line="240" w:lineRule="auto"/>
              <w:rPr>
                <w:rFonts w:ascii="Times New Roman" w:hAnsi="Times New Roman" w:cs="Times New Roman"/>
                <w:b/>
                <w:sz w:val="24"/>
                <w:szCs w:val="24"/>
              </w:rPr>
            </w:pPr>
          </w:p>
          <w:p w:rsidR="00465D12" w:rsidRPr="00465D12" w:rsidRDefault="00465D12" w:rsidP="00465D12">
            <w:pPr>
              <w:spacing w:after="0" w:line="240" w:lineRule="auto"/>
              <w:rPr>
                <w:rFonts w:ascii="Times New Roman" w:hAnsi="Times New Roman" w:cs="Times New Roman"/>
                <w:b/>
                <w:sz w:val="24"/>
                <w:szCs w:val="24"/>
              </w:rPr>
            </w:pPr>
            <w:r w:rsidRPr="00465D12">
              <w:rPr>
                <w:rFonts w:ascii="Times New Roman" w:hAnsi="Times New Roman" w:cs="Times New Roman"/>
                <w:b/>
                <w:sz w:val="24"/>
                <w:szCs w:val="24"/>
              </w:rPr>
              <w:t>Energia Központ Nonprofit Kft.</w:t>
            </w:r>
          </w:p>
          <w:p w:rsidR="00465D12" w:rsidRPr="00465D12" w:rsidRDefault="00465D12" w:rsidP="00465D12">
            <w:pPr>
              <w:spacing w:after="0" w:line="240" w:lineRule="auto"/>
              <w:rPr>
                <w:rFonts w:ascii="Times New Roman" w:hAnsi="Times New Roman" w:cs="Times New Roman"/>
                <w:sz w:val="24"/>
                <w:szCs w:val="24"/>
              </w:rPr>
            </w:pPr>
            <w:r w:rsidRPr="00465D12">
              <w:rPr>
                <w:rFonts w:ascii="Times New Roman" w:hAnsi="Times New Roman" w:cs="Times New Roman"/>
                <w:sz w:val="24"/>
                <w:szCs w:val="24"/>
              </w:rPr>
              <w:t xml:space="preserve">Cím: 1134 Budapest, Váci út 45. </w:t>
            </w:r>
            <w:proofErr w:type="gramStart"/>
            <w:r w:rsidRPr="00465D12">
              <w:rPr>
                <w:rFonts w:ascii="Times New Roman" w:hAnsi="Times New Roman" w:cs="Times New Roman"/>
                <w:sz w:val="24"/>
                <w:szCs w:val="24"/>
              </w:rPr>
              <w:t>A</w:t>
            </w:r>
            <w:proofErr w:type="gramEnd"/>
            <w:r w:rsidRPr="00465D12">
              <w:rPr>
                <w:rFonts w:ascii="Times New Roman" w:hAnsi="Times New Roman" w:cs="Times New Roman"/>
                <w:sz w:val="24"/>
                <w:szCs w:val="24"/>
              </w:rPr>
              <w:t xml:space="preserve"> ép. 6. em.</w:t>
            </w:r>
          </w:p>
          <w:p w:rsidR="00465D12" w:rsidRPr="00465D12" w:rsidRDefault="00465D12" w:rsidP="00465D12">
            <w:pPr>
              <w:spacing w:after="0" w:line="240" w:lineRule="auto"/>
              <w:rPr>
                <w:rFonts w:ascii="Times New Roman" w:hAnsi="Times New Roman" w:cs="Times New Roman"/>
                <w:sz w:val="24"/>
                <w:szCs w:val="24"/>
              </w:rPr>
            </w:pPr>
            <w:r w:rsidRPr="00465D12">
              <w:rPr>
                <w:rFonts w:ascii="Times New Roman" w:hAnsi="Times New Roman" w:cs="Times New Roman"/>
                <w:sz w:val="24"/>
                <w:szCs w:val="24"/>
              </w:rPr>
              <w:t>Levelezési cím: 1437 Budapest Pf.: 328.</w:t>
            </w:r>
          </w:p>
          <w:p w:rsidR="00465D12" w:rsidRPr="00465D12" w:rsidRDefault="00465D12" w:rsidP="00465D12">
            <w:pPr>
              <w:spacing w:after="0" w:line="240" w:lineRule="auto"/>
              <w:rPr>
                <w:rFonts w:ascii="Times New Roman" w:hAnsi="Times New Roman" w:cs="Times New Roman"/>
                <w:sz w:val="24"/>
                <w:szCs w:val="24"/>
              </w:rPr>
            </w:pPr>
            <w:r w:rsidRPr="00465D12">
              <w:rPr>
                <w:rFonts w:ascii="Times New Roman" w:hAnsi="Times New Roman" w:cs="Times New Roman"/>
                <w:sz w:val="24"/>
                <w:szCs w:val="24"/>
              </w:rPr>
              <w:t>Tel</w:t>
            </w:r>
            <w:proofErr w:type="gramStart"/>
            <w:r w:rsidRPr="00465D12">
              <w:rPr>
                <w:rFonts w:ascii="Times New Roman" w:hAnsi="Times New Roman" w:cs="Times New Roman"/>
                <w:sz w:val="24"/>
                <w:szCs w:val="24"/>
              </w:rPr>
              <w:t>.:</w:t>
            </w:r>
            <w:proofErr w:type="gramEnd"/>
            <w:r w:rsidRPr="00465D12">
              <w:rPr>
                <w:rFonts w:ascii="Times New Roman" w:hAnsi="Times New Roman" w:cs="Times New Roman"/>
                <w:sz w:val="24"/>
                <w:szCs w:val="24"/>
              </w:rPr>
              <w:t xml:space="preserve"> +36 1/802-4300</w:t>
            </w:r>
          </w:p>
          <w:p w:rsidR="00465D12" w:rsidRPr="00465D12" w:rsidRDefault="00465D12" w:rsidP="00465D12">
            <w:pPr>
              <w:spacing w:after="0" w:line="240" w:lineRule="auto"/>
              <w:rPr>
                <w:rFonts w:ascii="Times New Roman" w:hAnsi="Times New Roman" w:cs="Times New Roman"/>
                <w:sz w:val="24"/>
                <w:szCs w:val="24"/>
              </w:rPr>
            </w:pPr>
            <w:r w:rsidRPr="00465D12">
              <w:rPr>
                <w:rFonts w:ascii="Times New Roman" w:hAnsi="Times New Roman" w:cs="Times New Roman"/>
                <w:sz w:val="24"/>
                <w:szCs w:val="24"/>
              </w:rPr>
              <w:t>E-mail: ugyfelszolgalat@energiakozpont.hu</w:t>
            </w:r>
          </w:p>
          <w:p w:rsidR="00465D12" w:rsidRPr="00465D12" w:rsidRDefault="00465D12" w:rsidP="00465D12">
            <w:pPr>
              <w:tabs>
                <w:tab w:val="left" w:pos="5670"/>
              </w:tabs>
              <w:spacing w:after="0" w:line="240" w:lineRule="auto"/>
              <w:rPr>
                <w:rFonts w:ascii="Times New Roman" w:hAnsi="Times New Roman" w:cs="Times New Roman"/>
                <w:sz w:val="24"/>
                <w:szCs w:val="24"/>
              </w:rPr>
            </w:pPr>
          </w:p>
        </w:tc>
        <w:tc>
          <w:tcPr>
            <w:tcW w:w="4465" w:type="dxa"/>
            <w:tcBorders>
              <w:top w:val="nil"/>
              <w:left w:val="nil"/>
              <w:bottom w:val="nil"/>
              <w:right w:val="nil"/>
            </w:tcBorders>
          </w:tcPr>
          <w:p w:rsidR="00465D12" w:rsidRPr="00465D12" w:rsidRDefault="00465D12" w:rsidP="00465D12">
            <w:pPr>
              <w:keepNext/>
              <w:tabs>
                <w:tab w:val="left" w:pos="5670"/>
              </w:tabs>
              <w:spacing w:after="0" w:line="240" w:lineRule="auto"/>
              <w:rPr>
                <w:rFonts w:ascii="Times New Roman" w:hAnsi="Times New Roman" w:cs="Times New Roman"/>
                <w:sz w:val="24"/>
                <w:szCs w:val="24"/>
              </w:rPr>
            </w:pPr>
          </w:p>
          <w:p w:rsidR="00465D12" w:rsidRPr="00465D12" w:rsidRDefault="00465D12" w:rsidP="00465D12">
            <w:pPr>
              <w:keepNext/>
              <w:tabs>
                <w:tab w:val="left" w:pos="5670"/>
              </w:tabs>
              <w:spacing w:after="0" w:line="240" w:lineRule="auto"/>
              <w:rPr>
                <w:rFonts w:ascii="Times New Roman" w:hAnsi="Times New Roman" w:cs="Times New Roman"/>
                <w:sz w:val="24"/>
                <w:szCs w:val="24"/>
              </w:rPr>
            </w:pPr>
            <w:r w:rsidRPr="00465D12">
              <w:rPr>
                <w:rFonts w:ascii="Times New Roman" w:hAnsi="Times New Roman" w:cs="Times New Roman"/>
                <w:sz w:val="24"/>
                <w:szCs w:val="24"/>
              </w:rPr>
              <w:t>Pályázati azonosító: KEOP-1.1.1/2F/09-</w:t>
            </w:r>
            <w:r w:rsidRPr="00465D12">
              <w:rPr>
                <w:rFonts w:ascii="Times New Roman" w:hAnsi="Times New Roman" w:cs="Times New Roman"/>
                <w:sz w:val="24"/>
                <w:szCs w:val="24"/>
              </w:rPr>
              <w:br/>
              <w:t>11-2012-0001</w:t>
            </w:r>
          </w:p>
          <w:p w:rsidR="00465D12" w:rsidRPr="00465D12" w:rsidRDefault="00465D12" w:rsidP="00465D12">
            <w:pPr>
              <w:keepNext/>
              <w:tabs>
                <w:tab w:val="left" w:pos="5670"/>
              </w:tabs>
              <w:spacing w:after="0" w:line="240" w:lineRule="auto"/>
              <w:ind w:left="33"/>
              <w:rPr>
                <w:rFonts w:ascii="Times New Roman" w:hAnsi="Times New Roman" w:cs="Times New Roman"/>
                <w:sz w:val="24"/>
                <w:szCs w:val="24"/>
              </w:rPr>
            </w:pPr>
            <w:r w:rsidRPr="00465D12">
              <w:rPr>
                <w:rFonts w:ascii="Times New Roman" w:hAnsi="Times New Roman" w:cs="Times New Roman"/>
                <w:sz w:val="24"/>
                <w:szCs w:val="24"/>
              </w:rPr>
              <w:t>Tárgy: Tisztázó kérdések megválaszolása</w:t>
            </w:r>
          </w:p>
        </w:tc>
      </w:tr>
    </w:tbl>
    <w:p w:rsidR="00465D12" w:rsidRDefault="00465D12" w:rsidP="00465D12">
      <w:pPr>
        <w:spacing w:after="0" w:line="240" w:lineRule="auto"/>
        <w:rPr>
          <w:rFonts w:ascii="Times New Roman" w:hAnsi="Times New Roman" w:cs="Times New Roman"/>
          <w:b/>
          <w:sz w:val="24"/>
          <w:szCs w:val="24"/>
        </w:rPr>
      </w:pPr>
    </w:p>
    <w:p w:rsidR="00465D12" w:rsidRPr="00465D12" w:rsidRDefault="00465D12" w:rsidP="00465D12">
      <w:pPr>
        <w:spacing w:after="0" w:line="240" w:lineRule="auto"/>
        <w:rPr>
          <w:rFonts w:ascii="Times New Roman" w:hAnsi="Times New Roman" w:cs="Times New Roman"/>
          <w:b/>
          <w:sz w:val="24"/>
          <w:szCs w:val="24"/>
        </w:rPr>
      </w:pPr>
    </w:p>
    <w:p w:rsidR="00465D12" w:rsidRPr="00465D12" w:rsidRDefault="00465D12" w:rsidP="00465D12">
      <w:pPr>
        <w:spacing w:after="0" w:line="240" w:lineRule="auto"/>
        <w:rPr>
          <w:rFonts w:ascii="Times New Roman" w:hAnsi="Times New Roman" w:cs="Times New Roman"/>
          <w:b/>
          <w:sz w:val="24"/>
          <w:szCs w:val="24"/>
        </w:rPr>
      </w:pPr>
      <w:r w:rsidRPr="00465D12">
        <w:rPr>
          <w:rFonts w:ascii="Times New Roman" w:hAnsi="Times New Roman" w:cs="Times New Roman"/>
          <w:b/>
          <w:sz w:val="24"/>
          <w:szCs w:val="24"/>
        </w:rPr>
        <w:t>Tisztelt Energia Központ Nonprofit Kft.!</w:t>
      </w:r>
    </w:p>
    <w:p w:rsidR="00465D12" w:rsidRPr="00465D12" w:rsidRDefault="00465D12" w:rsidP="00465D12">
      <w:pPr>
        <w:spacing w:after="0" w:line="240" w:lineRule="auto"/>
        <w:rPr>
          <w:rFonts w:ascii="Times New Roman" w:hAnsi="Times New Roman" w:cs="Times New Roman"/>
          <w:sz w:val="24"/>
          <w:szCs w:val="24"/>
        </w:rPr>
      </w:pPr>
    </w:p>
    <w:p w:rsidR="00465D12" w:rsidRPr="00465D12" w:rsidRDefault="00465D12" w:rsidP="00465D12">
      <w:pPr>
        <w:spacing w:after="0" w:line="240" w:lineRule="auto"/>
        <w:jc w:val="both"/>
        <w:rPr>
          <w:rFonts w:ascii="Times New Roman" w:hAnsi="Times New Roman" w:cs="Times New Roman"/>
          <w:sz w:val="24"/>
          <w:szCs w:val="24"/>
        </w:rPr>
      </w:pPr>
      <w:r w:rsidRPr="00465D12">
        <w:rPr>
          <w:rFonts w:ascii="Times New Roman" w:hAnsi="Times New Roman" w:cs="Times New Roman"/>
          <w:sz w:val="24"/>
          <w:szCs w:val="24"/>
        </w:rPr>
        <w:t>Az Új Széchenyi Terv Környezet és Energia Operatív Program támogatási rendszeréhez benyújtott Nyugat-dunántúli Regionális Hulladékgazdálkodási Program című, KEOP-1.1.1/2F/09-11-2012-0001 jelű pályázatának tartalmi ellenőrzése során a pályázat értékeléséhez szükséges nem egyértelmű információk tisztázásaként a kért adatokat, dokumentumokat, kiegészítéseket, pontosításokat az alábbi táblázatban magyarázzuk:</w:t>
      </w:r>
    </w:p>
    <w:p w:rsidR="00D302E3" w:rsidRPr="00465D12" w:rsidRDefault="00D302E3" w:rsidP="00465D12">
      <w:pPr>
        <w:spacing w:after="0"/>
        <w:rPr>
          <w:rFonts w:ascii="Times New Roman" w:hAnsi="Times New Roman" w:cs="Times New Roman"/>
          <w:sz w:val="24"/>
          <w:szCs w:val="24"/>
        </w:rPr>
      </w:pPr>
    </w:p>
    <w:tbl>
      <w:tblPr>
        <w:tblStyle w:val="Rcsostblzat"/>
        <w:tblW w:w="0" w:type="auto"/>
        <w:tblLook w:val="04A0"/>
      </w:tblPr>
      <w:tblGrid>
        <w:gridCol w:w="4606"/>
        <w:gridCol w:w="4606"/>
      </w:tblGrid>
      <w:tr w:rsidR="00465D12" w:rsidRPr="00465D12" w:rsidTr="00465D12">
        <w:tc>
          <w:tcPr>
            <w:tcW w:w="4606" w:type="dxa"/>
            <w:shd w:val="pct25" w:color="auto" w:fill="auto"/>
          </w:tcPr>
          <w:p w:rsidR="00465D12" w:rsidRPr="00465D12" w:rsidRDefault="00465D12" w:rsidP="00465D12">
            <w:pPr>
              <w:pStyle w:val="Default"/>
              <w:jc w:val="center"/>
              <w:rPr>
                <w:rFonts w:ascii="Times New Roman" w:hAnsi="Times New Roman" w:cs="Times New Roman"/>
                <w:b/>
                <w:sz w:val="22"/>
                <w:szCs w:val="22"/>
              </w:rPr>
            </w:pPr>
            <w:r w:rsidRPr="00465D12">
              <w:rPr>
                <w:rFonts w:ascii="Times New Roman" w:hAnsi="Times New Roman" w:cs="Times New Roman"/>
                <w:b/>
                <w:sz w:val="22"/>
                <w:szCs w:val="22"/>
              </w:rPr>
              <w:t>Hiányosságok</w:t>
            </w:r>
          </w:p>
        </w:tc>
        <w:tc>
          <w:tcPr>
            <w:tcW w:w="4606" w:type="dxa"/>
            <w:shd w:val="pct25" w:color="auto" w:fill="auto"/>
          </w:tcPr>
          <w:p w:rsidR="00465D12" w:rsidRPr="00465D12" w:rsidRDefault="00465D12" w:rsidP="00465D12">
            <w:pPr>
              <w:jc w:val="center"/>
              <w:rPr>
                <w:rFonts w:ascii="Times New Roman" w:hAnsi="Times New Roman" w:cs="Times New Roman"/>
                <w:b/>
              </w:rPr>
            </w:pPr>
            <w:r w:rsidRPr="00465D12">
              <w:rPr>
                <w:rFonts w:ascii="Times New Roman" w:hAnsi="Times New Roman" w:cs="Times New Roman"/>
                <w:b/>
              </w:rPr>
              <w:t>Megjegyzés, egyéb útmutatás</w:t>
            </w:r>
          </w:p>
        </w:tc>
      </w:tr>
      <w:tr w:rsidR="00465D12" w:rsidRPr="00465D12" w:rsidTr="00465D12">
        <w:tc>
          <w:tcPr>
            <w:tcW w:w="4606" w:type="dxa"/>
          </w:tcPr>
          <w:tbl>
            <w:tblPr>
              <w:tblW w:w="0" w:type="auto"/>
              <w:tblBorders>
                <w:top w:val="nil"/>
                <w:left w:val="nil"/>
                <w:bottom w:val="nil"/>
                <w:right w:val="nil"/>
              </w:tblBorders>
              <w:tblLook w:val="0000"/>
            </w:tblPr>
            <w:tblGrid>
              <w:gridCol w:w="4390"/>
            </w:tblGrid>
            <w:tr w:rsidR="00465D12" w:rsidRPr="00C24007" w:rsidTr="00465D12">
              <w:tblPrEx>
                <w:tblCellMar>
                  <w:top w:w="0" w:type="dxa"/>
                  <w:bottom w:w="0" w:type="dxa"/>
                </w:tblCellMar>
              </w:tblPrEx>
              <w:trPr>
                <w:trHeight w:val="704"/>
              </w:trPr>
              <w:tc>
                <w:tcPr>
                  <w:tcW w:w="0" w:type="auto"/>
                </w:tcPr>
                <w:p w:rsidR="00465D12" w:rsidRPr="00C24007" w:rsidRDefault="00465D12" w:rsidP="00465D12">
                  <w:pPr>
                    <w:pStyle w:val="Default"/>
                    <w:rPr>
                      <w:rFonts w:ascii="Times New Roman" w:hAnsi="Times New Roman" w:cs="Times New Roman"/>
                      <w:sz w:val="22"/>
                      <w:szCs w:val="22"/>
                    </w:rPr>
                  </w:pPr>
                  <w:r w:rsidRPr="00C24007">
                    <w:rPr>
                      <w:rFonts w:ascii="Times New Roman" w:hAnsi="Times New Roman" w:cs="Times New Roman"/>
                      <w:sz w:val="22"/>
                      <w:szCs w:val="22"/>
                    </w:rPr>
                    <w:t xml:space="preserve">1.-Pályázó az </w:t>
                  </w:r>
                  <w:proofErr w:type="spellStart"/>
                  <w:r w:rsidRPr="00C24007">
                    <w:rPr>
                      <w:rFonts w:ascii="Times New Roman" w:hAnsi="Times New Roman" w:cs="Times New Roman"/>
                      <w:sz w:val="22"/>
                      <w:szCs w:val="22"/>
                    </w:rPr>
                    <w:t>RMT-ben</w:t>
                  </w:r>
                  <w:proofErr w:type="spellEnd"/>
                  <w:r w:rsidRPr="00C24007">
                    <w:rPr>
                      <w:rFonts w:ascii="Times New Roman" w:hAnsi="Times New Roman" w:cs="Times New Roman"/>
                      <w:sz w:val="22"/>
                      <w:szCs w:val="22"/>
                    </w:rPr>
                    <w:t xml:space="preserve">, illetve a benyújtott díjképzési koncepcióban bemutatja a díjképzési mechanizmus elveit, azonban nem mutatja be magát a díjképzési mechanizmust. Kérjük, hogy mutassa be a díjak megállapításánál alkalmazott díjképzési mechanizmust, illetve legalább nagyságrendileg mutassa be a fejlesztést követően várható éves közszolgáltatási díjakat a hulladékgyűjtő edények mérete alapján! </w:t>
                  </w:r>
                </w:p>
              </w:tc>
            </w:tr>
          </w:tbl>
          <w:p w:rsidR="00465D12" w:rsidRPr="00C24007" w:rsidRDefault="00465D12" w:rsidP="00465D12">
            <w:pPr>
              <w:rPr>
                <w:rFonts w:ascii="Times New Roman" w:hAnsi="Times New Roman" w:cs="Times New Roman"/>
              </w:rPr>
            </w:pPr>
          </w:p>
        </w:tc>
        <w:tc>
          <w:tcPr>
            <w:tcW w:w="4606" w:type="dxa"/>
          </w:tcPr>
          <w:p w:rsidR="00465D12" w:rsidRPr="00C24007" w:rsidRDefault="00465D12" w:rsidP="00465D12">
            <w:pPr>
              <w:rPr>
                <w:rFonts w:ascii="Times New Roman" w:hAnsi="Times New Roman" w:cs="Times New Roman"/>
              </w:rPr>
            </w:pPr>
            <w:r w:rsidRPr="00C24007">
              <w:rPr>
                <w:rFonts w:ascii="Times New Roman" w:hAnsi="Times New Roman" w:cs="Times New Roman"/>
              </w:rPr>
              <w:t xml:space="preserve">Az I. számú mellékletben csatoljuk a kért díjképzési mechanizmust. A díjképzési mechanizmusból világos, hogy az egyes települések az egyedi adottságaikat (település </w:t>
            </w:r>
            <w:proofErr w:type="spellStart"/>
            <w:r w:rsidRPr="00C24007">
              <w:rPr>
                <w:rFonts w:ascii="Times New Roman" w:hAnsi="Times New Roman" w:cs="Times New Roman"/>
              </w:rPr>
              <w:t>edényzet</w:t>
            </w:r>
            <w:proofErr w:type="spellEnd"/>
            <w:r w:rsidRPr="00C24007">
              <w:rPr>
                <w:rFonts w:ascii="Times New Roman" w:hAnsi="Times New Roman" w:cs="Times New Roman"/>
              </w:rPr>
              <w:t xml:space="preserve"> portfóliója, egytényezős/kéttényezős díj, lakosság/önkormányzat fizet, heti ürítési gyakoriság, helyi gyűjtési, adminisztrációs költség sajátosságok stb.) figyelembe véve határozzák meg a díjakat. Fentiek alapján minden településen más és más edény díjakra juthatunk, még ha ugyanarról az edényméretről is van szó. A kérésüket az éves várható közszolgáltatói díjakra egy átlagos, heti egyszer 120 literes edény ürítésére a II. számú mellékletben megadjuk Ft/liter alapon.  </w:t>
            </w:r>
          </w:p>
        </w:tc>
      </w:tr>
      <w:tr w:rsidR="00465D12" w:rsidRPr="00465D12" w:rsidTr="00465D12">
        <w:tc>
          <w:tcPr>
            <w:tcW w:w="4606" w:type="dxa"/>
          </w:tcPr>
          <w:tbl>
            <w:tblPr>
              <w:tblW w:w="0" w:type="auto"/>
              <w:tblBorders>
                <w:top w:val="nil"/>
                <w:left w:val="nil"/>
                <w:bottom w:val="nil"/>
                <w:right w:val="nil"/>
              </w:tblBorders>
              <w:tblLook w:val="0000"/>
            </w:tblPr>
            <w:tblGrid>
              <w:gridCol w:w="4390"/>
            </w:tblGrid>
            <w:tr w:rsidR="00465D12" w:rsidRPr="00C24007" w:rsidTr="00465D12">
              <w:tblPrEx>
                <w:tblCellMar>
                  <w:top w:w="0" w:type="dxa"/>
                  <w:bottom w:w="0" w:type="dxa"/>
                </w:tblCellMar>
              </w:tblPrEx>
              <w:trPr>
                <w:trHeight w:val="1190"/>
              </w:trPr>
              <w:tc>
                <w:tcPr>
                  <w:tcW w:w="0" w:type="auto"/>
                </w:tcPr>
                <w:p w:rsidR="00465D12" w:rsidRPr="00C24007" w:rsidRDefault="00465D12" w:rsidP="00465D12">
                  <w:pPr>
                    <w:pStyle w:val="Default"/>
                    <w:rPr>
                      <w:rFonts w:ascii="Times New Roman" w:hAnsi="Times New Roman" w:cs="Times New Roman"/>
                      <w:sz w:val="22"/>
                      <w:szCs w:val="22"/>
                    </w:rPr>
                  </w:pPr>
                  <w:r w:rsidRPr="00C24007">
                    <w:rPr>
                      <w:rFonts w:ascii="Times New Roman" w:hAnsi="Times New Roman" w:cs="Times New Roman"/>
                      <w:sz w:val="22"/>
                      <w:szCs w:val="22"/>
                    </w:rPr>
                    <w:t xml:space="preserve"> 2.-Az Alternatívák környezeti hasznai c. Excel fájlból az adatok tévesen lettek átemelve az RMT 52. táblázatába, ugyanis a közgazdasági </w:t>
                  </w:r>
                  <w:proofErr w:type="gramStart"/>
                  <w:r w:rsidRPr="00C24007">
                    <w:rPr>
                      <w:rFonts w:ascii="Times New Roman" w:hAnsi="Times New Roman" w:cs="Times New Roman"/>
                      <w:sz w:val="22"/>
                      <w:szCs w:val="22"/>
                    </w:rPr>
                    <w:t>költség-haszon elemzésnél</w:t>
                  </w:r>
                  <w:proofErr w:type="gramEnd"/>
                  <w:r w:rsidRPr="00C24007">
                    <w:rPr>
                      <w:rFonts w:ascii="Times New Roman" w:hAnsi="Times New Roman" w:cs="Times New Roman"/>
                      <w:sz w:val="22"/>
                      <w:szCs w:val="22"/>
                    </w:rPr>
                    <w:t xml:space="preserve"> 272, 42-os árfolyammal forintra átszámolva a ''C'' változat számaival kalkulált. Az ''</w:t>
                  </w:r>
                  <w:proofErr w:type="gramStart"/>
                  <w:r w:rsidRPr="00C24007">
                    <w:rPr>
                      <w:rFonts w:ascii="Times New Roman" w:hAnsi="Times New Roman" w:cs="Times New Roman"/>
                      <w:sz w:val="22"/>
                      <w:szCs w:val="22"/>
                    </w:rPr>
                    <w:t>A</w:t>
                  </w:r>
                  <w:proofErr w:type="gramEnd"/>
                  <w:r w:rsidRPr="00C24007">
                    <w:rPr>
                      <w:rFonts w:ascii="Times New Roman" w:hAnsi="Times New Roman" w:cs="Times New Roman"/>
                      <w:sz w:val="22"/>
                      <w:szCs w:val="22"/>
                    </w:rPr>
                    <w:t xml:space="preserve">'' változat adataival számolva negatív gazdasági nettó jelenértéke lesz a projektnek, amely esetén az nem támogatható. Kérjük, hogy a közgazdasági hasznok újra kalkulálásával korrigálja a táblázatot, hogy a projekt a támogathatóság (pozitív gazdasági nettó jelenérték, és az 5%-os közgazdasági diszkontrátánál magasabb gazdasági belső megtérülési ráta) feltételeit tudja teljesíteni! </w:t>
                  </w:r>
                </w:p>
              </w:tc>
            </w:tr>
          </w:tbl>
          <w:p w:rsidR="00465D12" w:rsidRPr="00C24007" w:rsidRDefault="00465D12" w:rsidP="00465D12">
            <w:pPr>
              <w:rPr>
                <w:rFonts w:ascii="Times New Roman" w:hAnsi="Times New Roman" w:cs="Times New Roman"/>
              </w:rPr>
            </w:pPr>
          </w:p>
        </w:tc>
        <w:tc>
          <w:tcPr>
            <w:tcW w:w="4606" w:type="dxa"/>
          </w:tcPr>
          <w:p w:rsidR="00465D12" w:rsidRPr="00C24007" w:rsidRDefault="00465D12" w:rsidP="00465D12">
            <w:pPr>
              <w:rPr>
                <w:rFonts w:ascii="Times New Roman" w:hAnsi="Times New Roman" w:cs="Times New Roman"/>
              </w:rPr>
            </w:pPr>
            <w:r w:rsidRPr="00C24007">
              <w:rPr>
                <w:rFonts w:ascii="Times New Roman" w:hAnsi="Times New Roman" w:cs="Times New Roman"/>
              </w:rPr>
              <w:t>Az észrevételt javítottuk, a másodnyersanyagok piaci ára mellett a környezeti hasznosságot reprezentáló koordinációs díjbevételt is figyelembe véve az alternatíva környezeti hasznossága pozitív. A javított táblázatot a III. számú mellékletben közöljük.</w:t>
            </w:r>
          </w:p>
        </w:tc>
      </w:tr>
    </w:tbl>
    <w:p w:rsidR="00465D12" w:rsidRDefault="00465D12">
      <w:r>
        <w:br w:type="page"/>
      </w:r>
    </w:p>
    <w:tbl>
      <w:tblPr>
        <w:tblStyle w:val="Rcsostblzat"/>
        <w:tblW w:w="0" w:type="auto"/>
        <w:tblLook w:val="04A0"/>
      </w:tblPr>
      <w:tblGrid>
        <w:gridCol w:w="4606"/>
        <w:gridCol w:w="4606"/>
      </w:tblGrid>
      <w:tr w:rsidR="00465D12" w:rsidRPr="00465D12" w:rsidTr="00465D12">
        <w:tc>
          <w:tcPr>
            <w:tcW w:w="4606" w:type="dxa"/>
            <w:shd w:val="pct25" w:color="auto" w:fill="auto"/>
          </w:tcPr>
          <w:p w:rsidR="00465D12" w:rsidRPr="00465D12" w:rsidRDefault="00465D12" w:rsidP="00465D12">
            <w:pPr>
              <w:pStyle w:val="Default"/>
              <w:jc w:val="center"/>
              <w:rPr>
                <w:rFonts w:ascii="Times New Roman" w:hAnsi="Times New Roman" w:cs="Times New Roman"/>
                <w:b/>
                <w:sz w:val="22"/>
                <w:szCs w:val="22"/>
              </w:rPr>
            </w:pPr>
            <w:r w:rsidRPr="00465D12">
              <w:rPr>
                <w:rFonts w:ascii="Times New Roman" w:hAnsi="Times New Roman" w:cs="Times New Roman"/>
                <w:b/>
                <w:sz w:val="22"/>
                <w:szCs w:val="22"/>
              </w:rPr>
              <w:lastRenderedPageBreak/>
              <w:t>Hiányosságok</w:t>
            </w:r>
          </w:p>
        </w:tc>
        <w:tc>
          <w:tcPr>
            <w:tcW w:w="4606" w:type="dxa"/>
            <w:shd w:val="pct25" w:color="auto" w:fill="auto"/>
          </w:tcPr>
          <w:p w:rsidR="00465D12" w:rsidRPr="00465D12" w:rsidRDefault="00465D12" w:rsidP="00465D12">
            <w:pPr>
              <w:jc w:val="center"/>
              <w:rPr>
                <w:rFonts w:ascii="Times New Roman" w:hAnsi="Times New Roman" w:cs="Times New Roman"/>
                <w:b/>
              </w:rPr>
            </w:pPr>
            <w:r w:rsidRPr="00465D12">
              <w:rPr>
                <w:rFonts w:ascii="Times New Roman" w:hAnsi="Times New Roman" w:cs="Times New Roman"/>
                <w:b/>
              </w:rPr>
              <w:t>Megjegyzés, egyéb útmutatás</w:t>
            </w:r>
          </w:p>
        </w:tc>
      </w:tr>
      <w:tr w:rsidR="00465D12" w:rsidRPr="00465D12" w:rsidTr="00465D12">
        <w:tc>
          <w:tcPr>
            <w:tcW w:w="4606" w:type="dxa"/>
          </w:tcPr>
          <w:tbl>
            <w:tblPr>
              <w:tblW w:w="0" w:type="auto"/>
              <w:tblBorders>
                <w:top w:val="nil"/>
                <w:left w:val="nil"/>
                <w:bottom w:val="nil"/>
                <w:right w:val="nil"/>
              </w:tblBorders>
              <w:tblLook w:val="0000"/>
            </w:tblPr>
            <w:tblGrid>
              <w:gridCol w:w="4390"/>
            </w:tblGrid>
            <w:tr w:rsidR="00465D12" w:rsidRPr="00C24007" w:rsidTr="00465D12">
              <w:tblPrEx>
                <w:tblCellMar>
                  <w:top w:w="0" w:type="dxa"/>
                  <w:bottom w:w="0" w:type="dxa"/>
                </w:tblCellMar>
              </w:tblPrEx>
              <w:trPr>
                <w:trHeight w:val="461"/>
              </w:trPr>
              <w:tc>
                <w:tcPr>
                  <w:tcW w:w="0" w:type="auto"/>
                </w:tcPr>
                <w:p w:rsidR="00465D12" w:rsidRPr="00C24007" w:rsidRDefault="00465D12" w:rsidP="00465D12">
                  <w:pPr>
                    <w:pStyle w:val="Default"/>
                    <w:rPr>
                      <w:rFonts w:ascii="Times New Roman" w:hAnsi="Times New Roman" w:cs="Times New Roman"/>
                      <w:sz w:val="22"/>
                      <w:szCs w:val="22"/>
                    </w:rPr>
                  </w:pPr>
                  <w:r w:rsidRPr="00C24007">
                    <w:rPr>
                      <w:rFonts w:ascii="Times New Roman" w:hAnsi="Times New Roman" w:cs="Times New Roman"/>
                      <w:sz w:val="22"/>
                      <w:szCs w:val="22"/>
                    </w:rPr>
                    <w:t xml:space="preserve"> 3.-Kérjük az eszközök pótlását a beruházási évekhez igazítva, 2 évre elosztva, azaz 2023 és 2024, ill. 2033 és 2034 évekre tervezze! Ez alapján kalkulálja újra a projekt pénzügyi fenntarthatósági tábláját (50. sablon tábla)! </w:t>
                  </w:r>
                </w:p>
              </w:tc>
            </w:tr>
          </w:tbl>
          <w:p w:rsidR="00465D12" w:rsidRPr="00C24007" w:rsidRDefault="00465D12" w:rsidP="00465D12">
            <w:pPr>
              <w:rPr>
                <w:rFonts w:ascii="Times New Roman" w:hAnsi="Times New Roman" w:cs="Times New Roman"/>
              </w:rPr>
            </w:pPr>
          </w:p>
        </w:tc>
        <w:tc>
          <w:tcPr>
            <w:tcW w:w="4606" w:type="dxa"/>
          </w:tcPr>
          <w:p w:rsidR="00465D12" w:rsidRPr="00C24007" w:rsidRDefault="00465D12" w:rsidP="001137EC">
            <w:pPr>
              <w:rPr>
                <w:rFonts w:ascii="Times New Roman" w:hAnsi="Times New Roman" w:cs="Times New Roman"/>
              </w:rPr>
            </w:pPr>
            <w:r w:rsidRPr="00C24007">
              <w:rPr>
                <w:rFonts w:ascii="Times New Roman" w:hAnsi="Times New Roman" w:cs="Times New Roman"/>
              </w:rPr>
              <w:t xml:space="preserve">A beruházást úgy ütemeztük, hogy a létesítmények építése fog két évet igénybe venni (2013-2014), valamennyi eszköz beszerzését pedig a 2014-es használatba vételhez igazítottuk. Így az eszközök aktiválása és használatba vétele is 2014 évben kezdődik. Ezért vannak a 10 éves pótlások 2024 és 2034 évekre igazítva. Fenti okok miatt az eszközök élettartama alapján nem lehet két évre megbontani az eszközpótlást, ezért kérésüket egy feltételezett 20%-80%-os megbontással teljesítjük. Az észrevételeik </w:t>
            </w:r>
            <w:r w:rsidR="001137EC" w:rsidRPr="00C24007">
              <w:rPr>
                <w:rFonts w:ascii="Times New Roman" w:hAnsi="Times New Roman" w:cs="Times New Roman"/>
              </w:rPr>
              <w:t xml:space="preserve">mentén javított 50. sablontáblát, amelyet </w:t>
            </w:r>
            <w:r w:rsidRPr="00C24007">
              <w:rPr>
                <w:rFonts w:ascii="Times New Roman" w:hAnsi="Times New Roman" w:cs="Times New Roman"/>
              </w:rPr>
              <w:t xml:space="preserve">a </w:t>
            </w:r>
            <w:r w:rsidR="001137EC" w:rsidRPr="00C24007">
              <w:rPr>
                <w:rFonts w:ascii="Times New Roman" w:hAnsi="Times New Roman" w:cs="Times New Roman"/>
              </w:rPr>
              <w:t>IV. számú mellékletben közl</w:t>
            </w:r>
            <w:r w:rsidRPr="00C24007">
              <w:rPr>
                <w:rFonts w:ascii="Times New Roman" w:hAnsi="Times New Roman" w:cs="Times New Roman"/>
              </w:rPr>
              <w:t>ü</w:t>
            </w:r>
            <w:r w:rsidR="001137EC" w:rsidRPr="00C24007">
              <w:rPr>
                <w:rFonts w:ascii="Times New Roman" w:hAnsi="Times New Roman" w:cs="Times New Roman"/>
              </w:rPr>
              <w:t>n</w:t>
            </w:r>
            <w:r w:rsidRPr="00C24007">
              <w:rPr>
                <w:rFonts w:ascii="Times New Roman" w:hAnsi="Times New Roman" w:cs="Times New Roman"/>
              </w:rPr>
              <w:t>k.</w:t>
            </w:r>
          </w:p>
        </w:tc>
      </w:tr>
      <w:tr w:rsidR="00465D12" w:rsidRPr="00465D12" w:rsidTr="00465D12">
        <w:tc>
          <w:tcPr>
            <w:tcW w:w="4606" w:type="dxa"/>
          </w:tcPr>
          <w:p w:rsidR="00465D12" w:rsidRPr="00C24007" w:rsidRDefault="00465D12" w:rsidP="00465D12">
            <w:pPr>
              <w:pStyle w:val="Default"/>
              <w:rPr>
                <w:rFonts w:ascii="Times New Roman" w:hAnsi="Times New Roman" w:cs="Times New Roman"/>
                <w:sz w:val="22"/>
                <w:szCs w:val="22"/>
              </w:rPr>
            </w:pPr>
            <w:r w:rsidRPr="00C24007">
              <w:rPr>
                <w:rFonts w:ascii="Times New Roman" w:hAnsi="Times New Roman" w:cs="Times New Roman"/>
                <w:sz w:val="22"/>
                <w:szCs w:val="22"/>
              </w:rPr>
              <w:t>4.-</w:t>
            </w:r>
            <w:proofErr w:type="gramStart"/>
            <w:r w:rsidRPr="00C24007">
              <w:rPr>
                <w:rFonts w:ascii="Times New Roman" w:hAnsi="Times New Roman" w:cs="Times New Roman"/>
                <w:sz w:val="22"/>
                <w:szCs w:val="22"/>
              </w:rPr>
              <w:t>Kérjük</w:t>
            </w:r>
            <w:proofErr w:type="gramEnd"/>
            <w:r w:rsidRPr="00C24007">
              <w:rPr>
                <w:rFonts w:ascii="Times New Roman" w:hAnsi="Times New Roman" w:cs="Times New Roman"/>
                <w:sz w:val="22"/>
                <w:szCs w:val="22"/>
              </w:rPr>
              <w:t xml:space="preserve"> indokolja, hogy miért tervezett pótlási költségeket a referencia időszak utolsó évére, holott az eszközök pótlása abban az évben nem aktuális! Kérjük, javítsa a pénzügyi táblákat (pénzügyi megtérülés, finanszírozási </w:t>
            </w:r>
            <w:proofErr w:type="gramStart"/>
            <w:r w:rsidRPr="00C24007">
              <w:rPr>
                <w:rFonts w:ascii="Times New Roman" w:hAnsi="Times New Roman" w:cs="Times New Roman"/>
                <w:sz w:val="22"/>
                <w:szCs w:val="22"/>
              </w:rPr>
              <w:t>hiány számítás</w:t>
            </w:r>
            <w:proofErr w:type="gramEnd"/>
            <w:r w:rsidRPr="00C24007">
              <w:rPr>
                <w:rFonts w:ascii="Times New Roman" w:hAnsi="Times New Roman" w:cs="Times New Roman"/>
                <w:sz w:val="22"/>
                <w:szCs w:val="22"/>
              </w:rPr>
              <w:t xml:space="preserve">, fenntarthatóság tábla), az itt tévesen betervezett költségek ugyanis lényegesen befolyásolják a projekt finanszírozási hiányát! </w:t>
            </w:r>
          </w:p>
          <w:p w:rsidR="00465D12" w:rsidRPr="00C24007" w:rsidRDefault="00465D12" w:rsidP="00465D12">
            <w:pPr>
              <w:rPr>
                <w:rFonts w:ascii="Times New Roman" w:hAnsi="Times New Roman" w:cs="Times New Roman"/>
              </w:rPr>
            </w:pPr>
          </w:p>
        </w:tc>
        <w:tc>
          <w:tcPr>
            <w:tcW w:w="4606" w:type="dxa"/>
          </w:tcPr>
          <w:p w:rsidR="00465D12" w:rsidRPr="00C24007" w:rsidRDefault="00465D12" w:rsidP="00465D12">
            <w:pPr>
              <w:rPr>
                <w:rFonts w:ascii="Times New Roman" w:hAnsi="Times New Roman" w:cs="Times New Roman"/>
              </w:rPr>
            </w:pPr>
            <w:r w:rsidRPr="00C24007">
              <w:rPr>
                <w:rFonts w:ascii="Times New Roman" w:hAnsi="Times New Roman" w:cs="Times New Roman"/>
              </w:rPr>
              <w:t>Kérjük, hogy az alkalmazott módszertant ne ítéljék eleve tévesnek. Az alkalmazás indoka a következő: a 2034-es pótlás után a következő pótlásnak 2044-ben kellene következnie. A projekt vizsgált időtávja azonban 2041-ben véget ér.  Mivel költség alapú díjmeghatározást alkalmazunk, a beszedett díjak egy része a pótlási díjhányad. Ezt a díjat a 2035-2041-ig terjedő időszakban is időarányosan be kívánjuk szedni, annak érdekében, hogy a 2044-ben esedékes pótlást 2044-ben teljesíteni tudjuk. Tekintve, hogy ezt a díjat kizárólag a pótlás fedezeteként szedjük be, ezért ezt az elemzésben valamilyen módon meg kell jeleníteni. Ha mint ahogy Önök írják, ezt az összeget nem szerepeltetnénk az elemzésben, csak azért mert abban az évben „nem aktuális” (de három év múlva igen!), akkor ezzel feltételeznénk, hogy ezt az összeget a későbbiekben sem fogják pótlásra fordítani, hanem profitként kiveszik a projektből.  Ez a feltételezés valóban rontaná a támogatási rátát, de téves. A két módszertanilag lehetséges helyes megoldás:</w:t>
            </w:r>
          </w:p>
          <w:p w:rsidR="00465D12" w:rsidRPr="00C24007" w:rsidRDefault="00465D12" w:rsidP="00465D12">
            <w:pPr>
              <w:pStyle w:val="Listaszerbekezds"/>
              <w:numPr>
                <w:ilvl w:val="0"/>
                <w:numId w:val="2"/>
              </w:numPr>
              <w:rPr>
                <w:rFonts w:ascii="Times New Roman" w:hAnsi="Times New Roman" w:cs="Times New Roman"/>
              </w:rPr>
            </w:pPr>
            <w:r w:rsidRPr="00C24007">
              <w:rPr>
                <w:rFonts w:ascii="Times New Roman" w:hAnsi="Times New Roman" w:cs="Times New Roman"/>
              </w:rPr>
              <w:t>Feltételezzük, hogy az utolsó pótlástól (2034) számított 7 évben pótlásra beszedett összeget pótlásként el fogjuk költeni a vizsgált időtávot követően, így ezt, mint jövőbeni kötelezettséget szerepeltetni kell az utolsó év pénzáramaiban (lásd: 706.198/10*7= 494.339).</w:t>
            </w:r>
          </w:p>
          <w:p w:rsidR="00465D12" w:rsidRPr="00C24007" w:rsidRDefault="00465D12" w:rsidP="00465D12">
            <w:pPr>
              <w:pStyle w:val="Listaszerbekezds"/>
              <w:numPr>
                <w:ilvl w:val="0"/>
                <w:numId w:val="2"/>
              </w:numPr>
              <w:rPr>
                <w:rFonts w:ascii="Times New Roman" w:hAnsi="Times New Roman" w:cs="Times New Roman"/>
              </w:rPr>
            </w:pPr>
            <w:r w:rsidRPr="00C24007">
              <w:rPr>
                <w:rFonts w:ascii="Times New Roman" w:hAnsi="Times New Roman" w:cs="Times New Roman"/>
              </w:rPr>
              <w:t xml:space="preserve">A másik lehetőség, hogy 2034-től nem szedünk be pótlásra díjat, feltételezve, hogy a projektnek úgyis vége 2041-ben és akkor minek pótolni. Ez azt jelenti, hogy 2035-től a pótlási díjhányad kikerülne a beszedett díjból, vagyis díjcsökkentés következne be. Ez egyébként kis mértékben javítja a támogatási rátát, mivel nem szedünk be olyan bevételt, amellyel kapcsolatban </w:t>
            </w:r>
            <w:r w:rsidRPr="00C24007">
              <w:rPr>
                <w:rFonts w:ascii="Times New Roman" w:hAnsi="Times New Roman" w:cs="Times New Roman"/>
              </w:rPr>
              <w:lastRenderedPageBreak/>
              <w:t>költség csak később keletkezik. Mivel egy hulladékgazdálkodási projekttől elvárás a folyamatos üzemeltetés, ezért ezt a módszert nem tartjuk követhetőnek.</w:t>
            </w:r>
          </w:p>
          <w:p w:rsidR="00465D12" w:rsidRPr="00C24007" w:rsidRDefault="00465D12" w:rsidP="00465D12">
            <w:pPr>
              <w:rPr>
                <w:rFonts w:ascii="Times New Roman" w:hAnsi="Times New Roman" w:cs="Times New Roman"/>
              </w:rPr>
            </w:pPr>
          </w:p>
          <w:p w:rsidR="00465D12" w:rsidRPr="00C24007" w:rsidRDefault="00465D12" w:rsidP="00465D12">
            <w:pPr>
              <w:rPr>
                <w:rFonts w:ascii="Times New Roman" w:hAnsi="Times New Roman" w:cs="Times New Roman"/>
              </w:rPr>
            </w:pPr>
            <w:r w:rsidRPr="00C24007">
              <w:rPr>
                <w:rFonts w:ascii="Times New Roman" w:hAnsi="Times New Roman" w:cs="Times New Roman"/>
              </w:rPr>
              <w:t>Fentiek alapján részünkről az elemzésben maradnánk az 1. pontban ismertetett módszertannál, de a teljesség kedvéért az V. számú mellékletben bemutatjuk a 2. számú módszertannal számolt támogatási rátát is.</w:t>
            </w:r>
          </w:p>
        </w:tc>
      </w:tr>
      <w:tr w:rsidR="00465D12" w:rsidRPr="00465D12" w:rsidTr="00465D12">
        <w:tc>
          <w:tcPr>
            <w:tcW w:w="4606" w:type="dxa"/>
          </w:tcPr>
          <w:p w:rsidR="00465D12" w:rsidRPr="00C24007" w:rsidRDefault="00465D12" w:rsidP="00465D12">
            <w:pPr>
              <w:pStyle w:val="Default"/>
              <w:rPr>
                <w:rFonts w:ascii="Times New Roman" w:hAnsi="Times New Roman" w:cs="Times New Roman"/>
                <w:sz w:val="22"/>
                <w:szCs w:val="22"/>
              </w:rPr>
            </w:pPr>
            <w:r w:rsidRPr="00C24007">
              <w:rPr>
                <w:rFonts w:ascii="Times New Roman" w:hAnsi="Times New Roman" w:cs="Times New Roman"/>
                <w:sz w:val="22"/>
                <w:szCs w:val="22"/>
              </w:rPr>
              <w:lastRenderedPageBreak/>
              <w:t xml:space="preserve">5.-Kérjük, hogy 1%-os reálbér növekedést feltételezve módosítsa a működési költség számítását, valamint a többi pénzügyi táblázat számítását! </w:t>
            </w:r>
          </w:p>
        </w:tc>
        <w:tc>
          <w:tcPr>
            <w:tcW w:w="4606" w:type="dxa"/>
          </w:tcPr>
          <w:p w:rsidR="00465D12" w:rsidRPr="00C24007" w:rsidRDefault="00465D12" w:rsidP="00465D12">
            <w:pPr>
              <w:rPr>
                <w:rFonts w:ascii="Times New Roman" w:hAnsi="Times New Roman" w:cs="Times New Roman"/>
              </w:rPr>
            </w:pPr>
            <w:r w:rsidRPr="00C24007">
              <w:rPr>
                <w:rFonts w:ascii="Times New Roman" w:hAnsi="Times New Roman" w:cs="Times New Roman"/>
              </w:rPr>
              <w:t xml:space="preserve">A táblázatokat a kérésnek megfelelően módosítottuk. A táblázatok a mellékelt </w:t>
            </w:r>
            <w:proofErr w:type="spellStart"/>
            <w:r w:rsidRPr="00C24007">
              <w:rPr>
                <w:rFonts w:ascii="Times New Roman" w:hAnsi="Times New Roman" w:cs="Times New Roman"/>
              </w:rPr>
              <w:t>excel</w:t>
            </w:r>
            <w:proofErr w:type="spellEnd"/>
            <w:r w:rsidRPr="00C24007">
              <w:rPr>
                <w:rFonts w:ascii="Times New Roman" w:hAnsi="Times New Roman" w:cs="Times New Roman"/>
              </w:rPr>
              <w:t xml:space="preserve"> fájlokban megtalálhatók.</w:t>
            </w:r>
          </w:p>
        </w:tc>
      </w:tr>
      <w:tr w:rsidR="00465D12" w:rsidRPr="00465D12" w:rsidTr="00465D12">
        <w:tc>
          <w:tcPr>
            <w:tcW w:w="4606" w:type="dxa"/>
          </w:tcPr>
          <w:p w:rsidR="00465D12" w:rsidRPr="00C24007" w:rsidRDefault="00465D12" w:rsidP="00465D12">
            <w:pPr>
              <w:pStyle w:val="Default"/>
              <w:rPr>
                <w:rFonts w:ascii="Times New Roman" w:hAnsi="Times New Roman" w:cs="Times New Roman"/>
                <w:sz w:val="22"/>
                <w:szCs w:val="22"/>
              </w:rPr>
            </w:pPr>
            <w:r w:rsidRPr="00C24007">
              <w:rPr>
                <w:rFonts w:ascii="Times New Roman" w:hAnsi="Times New Roman" w:cs="Times New Roman"/>
                <w:sz w:val="22"/>
                <w:szCs w:val="22"/>
              </w:rPr>
              <w:t xml:space="preserve">6.-Pályázó a fenntarthatóságot csak a fejlesztési különbözetre mutatja be. A pályázati útmutató által előírt, a pénzügyi elemzésnél használandó KHE útmutató logikája szerint a projekt által érintett hulladékgazdálkodási rendszer hosszú távú pénzügyi egyensúlyát kell biztosítani, ezért kérjük, hogy a fenntarthatósági számításokat (50.táblázat) a teljes rendszerre vonatkozóan is mutassa be! (A 0 verzió és a projekt pénzáramai együtt.) Kérjük, hogy a költségek között vegye figyelembe a telepbővítéshez kapcsolódó beruházási költségeket, valamint a </w:t>
            </w:r>
            <w:proofErr w:type="spellStart"/>
            <w:r w:rsidRPr="00C24007">
              <w:rPr>
                <w:rFonts w:ascii="Times New Roman" w:hAnsi="Times New Roman" w:cs="Times New Roman"/>
                <w:sz w:val="22"/>
                <w:szCs w:val="22"/>
              </w:rPr>
              <w:t>nulladik</w:t>
            </w:r>
            <w:proofErr w:type="spellEnd"/>
            <w:r w:rsidRPr="00C24007">
              <w:rPr>
                <w:rFonts w:ascii="Times New Roman" w:hAnsi="Times New Roman" w:cs="Times New Roman"/>
                <w:sz w:val="22"/>
                <w:szCs w:val="22"/>
              </w:rPr>
              <w:t xml:space="preserve"> verzióban szükséges pótlási költségeket is! </w:t>
            </w:r>
          </w:p>
        </w:tc>
        <w:tc>
          <w:tcPr>
            <w:tcW w:w="4606" w:type="dxa"/>
          </w:tcPr>
          <w:p w:rsidR="00465D12" w:rsidRPr="00C24007" w:rsidRDefault="00465D12" w:rsidP="00465D12">
            <w:pPr>
              <w:rPr>
                <w:rFonts w:ascii="Times New Roman" w:hAnsi="Times New Roman" w:cs="Times New Roman"/>
              </w:rPr>
            </w:pPr>
            <w:r w:rsidRPr="00C24007">
              <w:rPr>
                <w:rFonts w:ascii="Times New Roman" w:hAnsi="Times New Roman" w:cs="Times New Roman"/>
              </w:rPr>
              <w:t xml:space="preserve">A kért elemzést </w:t>
            </w:r>
            <w:r w:rsidR="001137EC" w:rsidRPr="00C24007">
              <w:rPr>
                <w:rFonts w:ascii="Times New Roman" w:hAnsi="Times New Roman" w:cs="Times New Roman"/>
              </w:rPr>
              <w:t>a VI</w:t>
            </w:r>
            <w:r w:rsidRPr="00C24007">
              <w:rPr>
                <w:rFonts w:ascii="Times New Roman" w:hAnsi="Times New Roman" w:cs="Times New Roman"/>
              </w:rPr>
              <w:t>. számú mellékletben szerepeltetjük.</w:t>
            </w:r>
          </w:p>
        </w:tc>
      </w:tr>
    </w:tbl>
    <w:p w:rsidR="00465D12" w:rsidRPr="00465D12" w:rsidRDefault="00465D12" w:rsidP="00465D12">
      <w:pPr>
        <w:rPr>
          <w:rFonts w:ascii="Times New Roman" w:hAnsi="Times New Roman" w:cs="Times New Roman"/>
          <w:sz w:val="24"/>
          <w:szCs w:val="24"/>
        </w:rPr>
      </w:pPr>
    </w:p>
    <w:p w:rsidR="00DC4B80" w:rsidRDefault="00DC4B80" w:rsidP="00DC4B80">
      <w:pPr>
        <w:keepNext/>
        <w:tabs>
          <w:tab w:val="left" w:pos="5670"/>
        </w:tabs>
        <w:spacing w:after="120" w:line="240" w:lineRule="auto"/>
        <w:ind w:left="33"/>
        <w:rPr>
          <w:b/>
        </w:rPr>
      </w:pPr>
      <w:r>
        <w:rPr>
          <w:b/>
        </w:rPr>
        <w:t>Kelt: Szombathely, 2012. május 8.</w:t>
      </w:r>
    </w:p>
    <w:p w:rsidR="00DC4B80" w:rsidRDefault="00DC4B80" w:rsidP="00DC4B80">
      <w:pPr>
        <w:tabs>
          <w:tab w:val="left" w:pos="3969"/>
        </w:tabs>
      </w:pPr>
    </w:p>
    <w:p w:rsidR="00DC4B80" w:rsidRDefault="00DC4B80" w:rsidP="00DC4B80">
      <w:pPr>
        <w:tabs>
          <w:tab w:val="left" w:pos="3969"/>
        </w:tabs>
      </w:pPr>
      <w:r>
        <w:tab/>
        <w:t>Tisztelettel:</w:t>
      </w:r>
    </w:p>
    <w:p w:rsidR="00DC4B80" w:rsidRDefault="00DC4B80" w:rsidP="00DC4B80">
      <w:pPr>
        <w:tabs>
          <w:tab w:val="left" w:pos="4536"/>
        </w:tabs>
        <w:spacing w:after="120" w:line="240" w:lineRule="auto"/>
        <w:rPr>
          <w:rFonts w:ascii="Calibri" w:hAnsi="Calibri" w:cs="Calibri"/>
        </w:rPr>
      </w:pPr>
      <w:r>
        <w:rPr>
          <w:rFonts w:ascii="Calibri" w:hAnsi="Calibri" w:cs="Calibri"/>
        </w:rPr>
        <w:tab/>
      </w:r>
    </w:p>
    <w:p w:rsidR="00DC4B80" w:rsidRDefault="00DC4B80" w:rsidP="00DC4B80">
      <w:pPr>
        <w:spacing w:after="120" w:line="240" w:lineRule="auto"/>
        <w:ind w:left="5664"/>
        <w:rPr>
          <w:rFonts w:cs="Calibri"/>
        </w:rPr>
      </w:pPr>
      <w:r>
        <w:rPr>
          <w:rFonts w:cs="Calibri"/>
        </w:rPr>
        <w:t>Nyugat-Dunántúli</w:t>
      </w:r>
      <w:r>
        <w:rPr>
          <w:rFonts w:cs="Calibri"/>
        </w:rPr>
        <w:br/>
        <w:t xml:space="preserve">Regionális Hulladékgazdálkodási </w:t>
      </w:r>
      <w:r>
        <w:rPr>
          <w:rFonts w:cs="Calibri"/>
        </w:rPr>
        <w:br/>
        <w:t>Önkormányzati Társulás</w:t>
      </w:r>
    </w:p>
    <w:p w:rsidR="00DC4B80" w:rsidRDefault="00DC4B80">
      <w:pPr>
        <w:rPr>
          <w:rFonts w:ascii="Times New Roman" w:hAnsi="Times New Roman" w:cs="Times New Roman"/>
          <w:sz w:val="24"/>
          <w:szCs w:val="24"/>
        </w:rPr>
      </w:pPr>
      <w:r>
        <w:rPr>
          <w:rFonts w:ascii="Times New Roman" w:hAnsi="Times New Roman" w:cs="Times New Roman"/>
          <w:sz w:val="24"/>
          <w:szCs w:val="24"/>
        </w:rPr>
        <w:br w:type="page"/>
      </w:r>
    </w:p>
    <w:p w:rsidR="00DC4B80" w:rsidRDefault="00DC4B80" w:rsidP="00DC4B80">
      <w:pPr>
        <w:spacing w:after="0" w:line="240" w:lineRule="auto"/>
        <w:jc w:val="center"/>
        <w:rPr>
          <w:rFonts w:ascii="Times New Roman" w:eastAsia="Times New Roman" w:hAnsi="Times New Roman" w:cs="Times New Roman"/>
          <w:b/>
          <w:sz w:val="24"/>
        </w:rPr>
      </w:pPr>
      <w:r w:rsidRPr="00DC4B80">
        <w:rPr>
          <w:rFonts w:ascii="Times New Roman" w:eastAsia="Times New Roman" w:hAnsi="Times New Roman" w:cs="Times New Roman"/>
          <w:b/>
          <w:sz w:val="24"/>
        </w:rPr>
        <w:lastRenderedPageBreak/>
        <w:t xml:space="preserve">I. számú melléklet </w:t>
      </w:r>
    </w:p>
    <w:p w:rsidR="00DC4B80" w:rsidRPr="00DC4B80" w:rsidRDefault="00DC4B80" w:rsidP="00DC4B80">
      <w:pPr>
        <w:spacing w:after="0" w:line="240" w:lineRule="auto"/>
        <w:jc w:val="center"/>
        <w:rPr>
          <w:rFonts w:ascii="Times New Roman" w:eastAsia="Times New Roman" w:hAnsi="Times New Roman" w:cs="Times New Roman"/>
          <w:b/>
          <w:sz w:val="24"/>
        </w:rPr>
      </w:pPr>
    </w:p>
    <w:p w:rsidR="00DC4B80" w:rsidRPr="00990509" w:rsidRDefault="00DC4B80" w:rsidP="00DC4B80">
      <w:pPr>
        <w:pStyle w:val="Szvegtrzs"/>
        <w:jc w:val="both"/>
      </w:pPr>
      <w:r w:rsidRPr="00990509">
        <w:t xml:space="preserve">A projektben létrejövő vagyon </w:t>
      </w:r>
      <w:r>
        <w:t>üzemeltetés</w:t>
      </w:r>
      <w:r w:rsidRPr="00990509">
        <w:t xml:space="preserve">éhez szükséges finanszírozás gazdasági alapjainak megteremtéséhez, illetve az önkormányzatok közszolgáltatási kötelezettségének ellátásához egységes elveken alapuló díjpolitikát kell alkalmazni. Ennek érdekében a </w:t>
      </w:r>
      <w:r>
        <w:t>kedvezményezettek kötelezettséget vállalt</w:t>
      </w:r>
      <w:r w:rsidRPr="00990509">
        <w:t xml:space="preserve">ak arra, hogy a projekt megvalósulását követő közszolgáltatás igénybevételéhez – az európai uniós követelményrendszerre és a fokozatosság elvére figyelemmel, továbbá a Társulás által érintett települések lakosságának arányos teherviselése érdekében - egységes díjpolitikai elveket dolgoznak ki, és ezen egységes díjpolitikai elvek alapján kerül sor a díjtarifa megállapítására, amelyet az egyes önkormányzatok saját díjmegállapításuk során kötelező jelleggel kiindulási alapként, iránymutatóként alkalmaznak. </w:t>
      </w:r>
    </w:p>
    <w:p w:rsidR="00DC4B80" w:rsidRDefault="00DC4B80" w:rsidP="00DC4B80">
      <w:pPr>
        <w:pStyle w:val="Szvegtrzs"/>
        <w:spacing w:after="0"/>
        <w:jc w:val="both"/>
      </w:pPr>
      <w:r>
        <w:t>A hulladékártalmatlanítási díjat (a vegyes hulladék mennyiségével arányosan)</w:t>
      </w:r>
      <w:r w:rsidRPr="00990509">
        <w:t xml:space="preserve"> a </w:t>
      </w:r>
      <w:proofErr w:type="spellStart"/>
      <w:r>
        <w:t>Ht</w:t>
      </w:r>
      <w:proofErr w:type="spellEnd"/>
      <w:r>
        <w:t>. 43 §</w:t>
      </w:r>
      <w:proofErr w:type="spellStart"/>
      <w:r>
        <w:t>-ának</w:t>
      </w:r>
      <w:proofErr w:type="spellEnd"/>
      <w:r>
        <w:t xml:space="preserve"> megfelelően kell megállapítani. Ennek a díjnak két összetevője van:</w:t>
      </w:r>
    </w:p>
    <w:p w:rsidR="00DC4B80" w:rsidRDefault="00DC4B80" w:rsidP="00DC4B80">
      <w:pPr>
        <w:pStyle w:val="Szvegtrzs"/>
        <w:numPr>
          <w:ilvl w:val="0"/>
          <w:numId w:val="5"/>
        </w:numPr>
        <w:spacing w:after="0"/>
        <w:jc w:val="both"/>
      </w:pPr>
      <w:r>
        <w:t>Egységes projektszolgáltatási díj (szelektív hulladékkelezés)</w:t>
      </w:r>
    </w:p>
    <w:p w:rsidR="00DC4B80" w:rsidRPr="00990509" w:rsidRDefault="00DC4B80" w:rsidP="00DC4B80">
      <w:pPr>
        <w:pStyle w:val="Szvegtrzs"/>
        <w:numPr>
          <w:ilvl w:val="0"/>
          <w:numId w:val="5"/>
        </w:numPr>
        <w:spacing w:after="0"/>
        <w:jc w:val="both"/>
      </w:pPr>
      <w:r>
        <w:t>Vegyes hulladék gyűjtése szállításáért, ártalmatlanításért fizetett, településenként változó díj</w:t>
      </w:r>
    </w:p>
    <w:p w:rsidR="00DC4B80" w:rsidRPr="009B279C" w:rsidRDefault="00DC4B80" w:rsidP="00DC4B80">
      <w:pPr>
        <w:tabs>
          <w:tab w:val="left" w:pos="1080"/>
        </w:tabs>
        <w:spacing w:after="0" w:line="240" w:lineRule="auto"/>
        <w:jc w:val="both"/>
        <w:rPr>
          <w:b/>
          <w:bCs/>
          <w:u w:val="single"/>
        </w:rPr>
      </w:pPr>
    </w:p>
    <w:p w:rsidR="00DC4B80" w:rsidRPr="00694D1D" w:rsidRDefault="00DC4B80" w:rsidP="00DC4B80">
      <w:pPr>
        <w:pStyle w:val="Cmsor2"/>
        <w:rPr>
          <w:rFonts w:ascii="Times New Roman" w:hAnsi="Times New Roman" w:cs="Times New Roman"/>
          <w:color w:val="auto"/>
          <w:sz w:val="24"/>
          <w:szCs w:val="24"/>
          <w:u w:val="single"/>
        </w:rPr>
      </w:pPr>
      <w:bookmarkStart w:id="0" w:name="_Toc320615881"/>
      <w:r w:rsidRPr="00694D1D">
        <w:rPr>
          <w:rFonts w:ascii="Times New Roman" w:hAnsi="Times New Roman" w:cs="Times New Roman"/>
          <w:color w:val="auto"/>
          <w:sz w:val="24"/>
          <w:szCs w:val="24"/>
          <w:u w:val="single"/>
        </w:rPr>
        <w:t xml:space="preserve">A projektszolgáltatásért fizetendő hulladékkezelési díj </w:t>
      </w:r>
      <w:r>
        <w:rPr>
          <w:rFonts w:ascii="Times New Roman" w:hAnsi="Times New Roman" w:cs="Times New Roman"/>
          <w:color w:val="auto"/>
          <w:sz w:val="24"/>
          <w:szCs w:val="24"/>
          <w:u w:val="single"/>
        </w:rPr>
        <w:t>megállapítása</w:t>
      </w:r>
      <w:r w:rsidRPr="00694D1D">
        <w:rPr>
          <w:rFonts w:ascii="Times New Roman" w:hAnsi="Times New Roman" w:cs="Times New Roman"/>
          <w:color w:val="auto"/>
          <w:sz w:val="24"/>
          <w:szCs w:val="24"/>
          <w:u w:val="single"/>
        </w:rPr>
        <w:t>:</w:t>
      </w:r>
      <w:bookmarkEnd w:id="0"/>
    </w:p>
    <w:p w:rsidR="00DC4B80" w:rsidRDefault="00DC4B80" w:rsidP="00DC4B80">
      <w:pPr>
        <w:pStyle w:val="Szvegtrzs"/>
        <w:jc w:val="both"/>
      </w:pPr>
      <w:r>
        <w:t xml:space="preserve">A </w:t>
      </w:r>
      <w:proofErr w:type="gramStart"/>
      <w:r>
        <w:t>projekt szolgáltatással</w:t>
      </w:r>
      <w:proofErr w:type="gramEnd"/>
      <w:r>
        <w:t xml:space="preserve"> kapcsolatban</w:t>
      </w:r>
      <w:r w:rsidRPr="009B279C">
        <w:t xml:space="preserve"> elismertethető költség elosztásra kerül </w:t>
      </w:r>
      <w:r>
        <w:t xml:space="preserve">a vegyesen gyűjtött, ártalmatlanításra (vegyes hulladék előkezelés és lerakás) </w:t>
      </w:r>
      <w:r w:rsidRPr="009B279C">
        <w:t>várhatóan beszállítandó hulladék tonnában kifejezett mennyiségével, Ft/tonna mértékegységben meghatározva.</w:t>
      </w:r>
      <w:r>
        <w:t xml:space="preserve"> Az értéket a könnyebb számolhatóság érdekében 100 Ft végű összegre kerekítjük.</w:t>
      </w:r>
      <w:r w:rsidRPr="009B279C">
        <w:t xml:space="preserve"> A </w:t>
      </w:r>
      <w:r>
        <w:t>vegyes hulladék gyűjt, ártalmatlanító közszolgáltatók az ártalmatlanításra</w:t>
      </w:r>
      <w:r w:rsidRPr="009B279C">
        <w:t xml:space="preserve"> beszállított – tonnában mért – hulladék után ezt a Ft/tonna mértékegységben meghatározott díjat (továbbiakban: fajlagos </w:t>
      </w:r>
      <w:r>
        <w:t>hulladékkezelési</w:t>
      </w:r>
      <w:r w:rsidRPr="009B279C">
        <w:t xml:space="preserve"> szolgáltatási díj) kötelesek megfizetni</w:t>
      </w:r>
      <w:r>
        <w:t xml:space="preserve"> a szelektív hulladékgyűjtést végző közszolgáltató részére</w:t>
      </w:r>
      <w:r w:rsidRPr="009B279C">
        <w:t xml:space="preserve">. </w:t>
      </w:r>
      <w:r>
        <w:t xml:space="preserve">Ennek költségét az önkormányzatok a díjak elfogadását megalapozó költségkalkuláció </w:t>
      </w:r>
      <w:proofErr w:type="gramStart"/>
      <w:r>
        <w:t>részeként</w:t>
      </w:r>
      <w:proofErr w:type="gramEnd"/>
      <w:r>
        <w:t xml:space="preserve"> mint elismertethető költséget figyelembe veszik. </w:t>
      </w:r>
      <w:r w:rsidRPr="009B279C">
        <w:t xml:space="preserve">Amennyiben az adott szolgáltatás ÁFA köteles, a megfizetett díjat az ÁFA összegével növelten kell megfizetni. </w:t>
      </w:r>
    </w:p>
    <w:p w:rsidR="00DC4B80" w:rsidRDefault="00DC4B80" w:rsidP="00DC4B80">
      <w:pPr>
        <w:pStyle w:val="Szvegtrzs"/>
        <w:jc w:val="both"/>
      </w:pPr>
      <w:r>
        <w:t xml:space="preserve">Fentiek alapján a szelektíven gyűjtött hulladékkal kapcsolatban külön díj nem kerül felszámításra, </w:t>
      </w:r>
      <w:proofErr w:type="gramStart"/>
      <w:r>
        <w:t>ezen</w:t>
      </w:r>
      <w:proofErr w:type="gramEnd"/>
      <w:r>
        <w:t xml:space="preserve"> hulladékkezelés költségei -</w:t>
      </w:r>
      <w:r w:rsidRPr="00F30A1D">
        <w:t xml:space="preserve"> </w:t>
      </w:r>
      <w:r>
        <w:t>összhangban a hatályos jogszabályokkal - a vegyesen gyűjtött, ártalmatlanításra szánt hulladékra vetített díjban kerülnek elszámolásra.</w:t>
      </w:r>
    </w:p>
    <w:p w:rsidR="00DC4B80" w:rsidRPr="009B279C" w:rsidRDefault="00DC4B80" w:rsidP="00DC4B80">
      <w:pPr>
        <w:pStyle w:val="Szvegtrzs"/>
        <w:jc w:val="both"/>
      </w:pPr>
      <w:r w:rsidRPr="009B279C">
        <w:t>A díjképlet az alábbiak szerint határozható meg:</w:t>
      </w:r>
    </w:p>
    <w:p w:rsidR="00DC4B80" w:rsidRPr="00F65F48" w:rsidRDefault="00DC4B80" w:rsidP="00DC4B80">
      <w:pPr>
        <w:pStyle w:val="Szvegtrzs"/>
        <w:rPr>
          <w:b/>
          <w:bCs/>
        </w:rPr>
      </w:pPr>
      <w:r w:rsidRPr="00F65F48">
        <w:rPr>
          <w:b/>
          <w:bCs/>
        </w:rPr>
        <w:t xml:space="preserve">Fizetendő hulladékkezelési szolgáltatási </w:t>
      </w:r>
      <w:proofErr w:type="gramStart"/>
      <w:r w:rsidRPr="00F65F48">
        <w:rPr>
          <w:b/>
          <w:bCs/>
        </w:rPr>
        <w:t>díj = ártalmatlanításra</w:t>
      </w:r>
      <w:proofErr w:type="gramEnd"/>
      <w:r w:rsidRPr="00F65F48">
        <w:rPr>
          <w:b/>
          <w:bCs/>
        </w:rPr>
        <w:t xml:space="preserve"> beszállított hulladék mennyisége (tonna) * fajlagos átlag szolgáltatási díj (Ft/tonna) + ÁFA</w:t>
      </w:r>
    </w:p>
    <w:p w:rsidR="00DC4B80" w:rsidRPr="00694D1D" w:rsidRDefault="00DC4B80" w:rsidP="00DC4B80">
      <w:pPr>
        <w:spacing w:after="0" w:line="240" w:lineRule="auto"/>
        <w:rPr>
          <w:rFonts w:ascii="Times New Roman" w:hAnsi="Times New Roman" w:cs="Times New Roman"/>
          <w:sz w:val="24"/>
          <w:szCs w:val="24"/>
        </w:rPr>
      </w:pPr>
      <w:bookmarkStart w:id="1" w:name="_Toc317695656"/>
      <w:r w:rsidRPr="00694D1D">
        <w:rPr>
          <w:rFonts w:ascii="Times New Roman" w:hAnsi="Times New Roman" w:cs="Times New Roman"/>
          <w:sz w:val="24"/>
          <w:szCs w:val="24"/>
        </w:rPr>
        <w:t>Az elismertethető költségek számítása az alábbi táblázat segítségével történik:</w:t>
      </w:r>
      <w:bookmarkEnd w:id="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7020"/>
        <w:gridCol w:w="1620"/>
      </w:tblGrid>
      <w:tr w:rsidR="00DC4B80" w:rsidRPr="00BD7BA2" w:rsidTr="00DC4B80">
        <w:tc>
          <w:tcPr>
            <w:tcW w:w="7668" w:type="dxa"/>
            <w:gridSpan w:val="2"/>
          </w:tcPr>
          <w:p w:rsidR="00DC4B80" w:rsidRPr="00BD7BA2" w:rsidRDefault="00DC4B80" w:rsidP="00DC4B80">
            <w:pPr>
              <w:spacing w:after="0" w:line="240" w:lineRule="auto"/>
              <w:jc w:val="center"/>
              <w:rPr>
                <w:b/>
                <w:bCs/>
              </w:rPr>
            </w:pPr>
            <w:r w:rsidRPr="00BD7BA2">
              <w:rPr>
                <w:b/>
                <w:bCs/>
              </w:rPr>
              <w:t>Elismertethető költségek fajtái</w:t>
            </w:r>
            <w:r w:rsidRPr="00BD7BA2">
              <w:rPr>
                <w:rStyle w:val="Lbjegyzet-hivatkozs"/>
                <w:b/>
                <w:bCs/>
              </w:rPr>
              <w:footnoteReference w:id="1"/>
            </w:r>
          </w:p>
        </w:tc>
        <w:tc>
          <w:tcPr>
            <w:tcW w:w="1620" w:type="dxa"/>
          </w:tcPr>
          <w:p w:rsidR="00DC4B80" w:rsidRPr="00BD7BA2" w:rsidRDefault="00DC4B80" w:rsidP="00DC4B80">
            <w:pPr>
              <w:spacing w:after="0" w:line="240" w:lineRule="auto"/>
              <w:jc w:val="center"/>
              <w:rPr>
                <w:b/>
                <w:bCs/>
              </w:rPr>
            </w:pPr>
            <w:r w:rsidRPr="00BD7BA2">
              <w:rPr>
                <w:b/>
                <w:bCs/>
              </w:rPr>
              <w:t xml:space="preserve">Becsült </w:t>
            </w:r>
            <w:proofErr w:type="gramStart"/>
            <w:r w:rsidRPr="00BD7BA2">
              <w:rPr>
                <w:b/>
                <w:bCs/>
              </w:rPr>
              <w:t>költségek ….</w:t>
            </w:r>
            <w:proofErr w:type="gramEnd"/>
            <w:r w:rsidRPr="00BD7BA2">
              <w:rPr>
                <w:b/>
                <w:bCs/>
              </w:rPr>
              <w:t xml:space="preserve"> évre Forintban </w:t>
            </w:r>
          </w:p>
        </w:tc>
      </w:tr>
      <w:tr w:rsidR="00DC4B80" w:rsidRPr="00BD7BA2" w:rsidTr="00DC4B80">
        <w:tc>
          <w:tcPr>
            <w:tcW w:w="648" w:type="dxa"/>
          </w:tcPr>
          <w:p w:rsidR="00DC4B80" w:rsidRPr="00BD7BA2" w:rsidRDefault="00DC4B80" w:rsidP="00DC4B80">
            <w:pPr>
              <w:spacing w:after="0" w:line="240" w:lineRule="auto"/>
              <w:ind w:left="360" w:hanging="360"/>
            </w:pPr>
            <w:r w:rsidRPr="00BD7BA2">
              <w:t>a)</w:t>
            </w:r>
          </w:p>
        </w:tc>
        <w:tc>
          <w:tcPr>
            <w:tcW w:w="7020" w:type="dxa"/>
          </w:tcPr>
          <w:p w:rsidR="00DC4B80" w:rsidRPr="00BD7BA2" w:rsidRDefault="00DC4B80" w:rsidP="00DC4B80">
            <w:pPr>
              <w:spacing w:after="0" w:line="240" w:lineRule="auto"/>
              <w:ind w:left="360" w:hanging="360"/>
            </w:pPr>
            <w:r w:rsidRPr="00BD7BA2">
              <w:t xml:space="preserve">+ </w:t>
            </w:r>
            <w:r w:rsidRPr="00BD7BA2">
              <w:tab/>
              <w:t>Az uniós forrásból finanszírozott hulladékkezelő eszközrendszer üzemeltetési költsége</w:t>
            </w:r>
          </w:p>
        </w:tc>
        <w:tc>
          <w:tcPr>
            <w:tcW w:w="162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DC4B80" w:rsidP="00DC4B80">
            <w:pPr>
              <w:spacing w:after="0" w:line="240" w:lineRule="auto"/>
              <w:ind w:left="360" w:hanging="360"/>
            </w:pPr>
            <w:r w:rsidRPr="00BD7BA2">
              <w:t>b)</w:t>
            </w:r>
          </w:p>
        </w:tc>
        <w:tc>
          <w:tcPr>
            <w:tcW w:w="7020" w:type="dxa"/>
          </w:tcPr>
          <w:p w:rsidR="00DC4B80" w:rsidRPr="00BD7BA2" w:rsidRDefault="00DC4B80" w:rsidP="00DC4B80">
            <w:pPr>
              <w:spacing w:after="0" w:line="240" w:lineRule="auto"/>
              <w:ind w:left="360" w:hanging="360"/>
            </w:pPr>
            <w:r w:rsidRPr="00BD7BA2">
              <w:t xml:space="preserve">+ </w:t>
            </w:r>
            <w:r w:rsidRPr="00BD7BA2">
              <w:tab/>
              <w:t xml:space="preserve">a </w:t>
            </w:r>
            <w:r>
              <w:t>KEOP</w:t>
            </w:r>
            <w:r w:rsidRPr="00BD7BA2">
              <w:t xml:space="preserve"> beruházásában létrejövő hulladékkezelő eszközrendszer egységes </w:t>
            </w:r>
            <w:r>
              <w:t xml:space="preserve">pótlási költség </w:t>
            </w:r>
            <w:r w:rsidRPr="00BD7BA2">
              <w:t>hányada a Gördülő Beruházási Tervben meghatározottak szerint</w:t>
            </w:r>
          </w:p>
        </w:tc>
        <w:tc>
          <w:tcPr>
            <w:tcW w:w="162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DC4B80" w:rsidP="00DC4B80">
            <w:pPr>
              <w:spacing w:after="0" w:line="240" w:lineRule="auto"/>
              <w:ind w:left="360" w:hanging="360"/>
            </w:pPr>
            <w:r>
              <w:t>c</w:t>
            </w:r>
            <w:r w:rsidRPr="00BD7BA2">
              <w:t>)</w:t>
            </w:r>
          </w:p>
        </w:tc>
        <w:tc>
          <w:tcPr>
            <w:tcW w:w="7020" w:type="dxa"/>
          </w:tcPr>
          <w:p w:rsidR="00DC4B80" w:rsidRPr="00BD7BA2" w:rsidRDefault="00DC4B80" w:rsidP="00DC4B80">
            <w:pPr>
              <w:spacing w:after="0" w:line="240" w:lineRule="auto"/>
              <w:ind w:left="360" w:hanging="360"/>
            </w:pPr>
            <w:r w:rsidRPr="00BD7BA2">
              <w:t>-</w:t>
            </w:r>
            <w:r w:rsidRPr="00BD7BA2">
              <w:tab/>
              <w:t xml:space="preserve">A közszolgáltatással összefüggő egyéb bevételszerző tevékenységek </w:t>
            </w:r>
            <w:r w:rsidRPr="00BD7BA2">
              <w:lastRenderedPageBreak/>
              <w:t>bevételei</w:t>
            </w:r>
            <w:r>
              <w:t xml:space="preserve"> (másodnyersanyag bevétel, koordinációs bevétel)</w:t>
            </w:r>
          </w:p>
        </w:tc>
        <w:tc>
          <w:tcPr>
            <w:tcW w:w="162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DC4B80" w:rsidP="00DC4B80">
            <w:pPr>
              <w:spacing w:after="0" w:line="240" w:lineRule="auto"/>
              <w:ind w:left="360" w:hanging="360"/>
              <w:rPr>
                <w:b/>
                <w:bCs/>
              </w:rPr>
            </w:pPr>
            <w:r>
              <w:lastRenderedPageBreak/>
              <w:t>d</w:t>
            </w:r>
            <w:r w:rsidRPr="00BD7BA2">
              <w:t>)</w:t>
            </w:r>
            <w:r w:rsidRPr="00BD7BA2">
              <w:rPr>
                <w:b/>
                <w:bCs/>
              </w:rPr>
              <w:t xml:space="preserve"> </w:t>
            </w:r>
          </w:p>
        </w:tc>
        <w:tc>
          <w:tcPr>
            <w:tcW w:w="7020" w:type="dxa"/>
          </w:tcPr>
          <w:p w:rsidR="00DC4B80" w:rsidRPr="00BD7BA2" w:rsidRDefault="00DC4B80" w:rsidP="00DC4B80">
            <w:pPr>
              <w:spacing w:after="0" w:line="240" w:lineRule="auto"/>
              <w:jc w:val="center"/>
              <w:rPr>
                <w:b/>
                <w:bCs/>
              </w:rPr>
            </w:pPr>
            <w:r w:rsidRPr="00BD7BA2">
              <w:rPr>
                <w:b/>
                <w:bCs/>
              </w:rPr>
              <w:t>Összesen (Ft) (a+b+c</w:t>
            </w:r>
            <w:r>
              <w:rPr>
                <w:b/>
                <w:bCs/>
              </w:rPr>
              <w:t>)</w:t>
            </w:r>
          </w:p>
        </w:tc>
        <w:tc>
          <w:tcPr>
            <w:tcW w:w="1620" w:type="dxa"/>
          </w:tcPr>
          <w:p w:rsidR="00DC4B80" w:rsidRPr="00BD7BA2" w:rsidRDefault="00DC4B80" w:rsidP="00DC4B80">
            <w:pPr>
              <w:spacing w:after="0" w:line="240" w:lineRule="auto"/>
              <w:jc w:val="center"/>
              <w:rPr>
                <w:b/>
                <w:bCs/>
              </w:rPr>
            </w:pPr>
          </w:p>
        </w:tc>
      </w:tr>
      <w:tr w:rsidR="00DC4B80" w:rsidRPr="00BD7BA2" w:rsidTr="00DC4B80">
        <w:tc>
          <w:tcPr>
            <w:tcW w:w="648" w:type="dxa"/>
            <w:shd w:val="clear" w:color="auto" w:fill="C0C0C0"/>
          </w:tcPr>
          <w:p w:rsidR="00DC4B80" w:rsidRPr="00BD7BA2" w:rsidRDefault="00DC4B80" w:rsidP="00DC4B80">
            <w:pPr>
              <w:spacing w:after="0" w:line="240" w:lineRule="auto"/>
              <w:ind w:left="360" w:hanging="360"/>
              <w:rPr>
                <w:b/>
                <w:bCs/>
              </w:rPr>
            </w:pPr>
            <w:r>
              <w:rPr>
                <w:b/>
                <w:bCs/>
              </w:rPr>
              <w:t>e</w:t>
            </w:r>
            <w:r w:rsidRPr="00BD7BA2">
              <w:rPr>
                <w:b/>
                <w:bCs/>
              </w:rPr>
              <w:t>)</w:t>
            </w:r>
          </w:p>
        </w:tc>
        <w:tc>
          <w:tcPr>
            <w:tcW w:w="7020" w:type="dxa"/>
            <w:shd w:val="clear" w:color="auto" w:fill="C0C0C0"/>
          </w:tcPr>
          <w:p w:rsidR="00DC4B80" w:rsidRPr="00BD7BA2" w:rsidRDefault="00DC4B80" w:rsidP="00DC4B80">
            <w:pPr>
              <w:spacing w:after="0" w:line="240" w:lineRule="auto"/>
              <w:jc w:val="center"/>
              <w:rPr>
                <w:b/>
                <w:bCs/>
              </w:rPr>
            </w:pPr>
            <w:r w:rsidRPr="00BD7BA2">
              <w:rPr>
                <w:b/>
                <w:bCs/>
              </w:rPr>
              <w:t>Vegyesen gyűjtött, ártalmatlanításra (előkezelés, lerakás) beszállított hulladék becsült mennyisége (tonna)</w:t>
            </w:r>
          </w:p>
        </w:tc>
        <w:tc>
          <w:tcPr>
            <w:tcW w:w="1620" w:type="dxa"/>
            <w:shd w:val="clear" w:color="auto" w:fill="C0C0C0"/>
          </w:tcPr>
          <w:p w:rsidR="00DC4B80" w:rsidRPr="00BD7BA2" w:rsidRDefault="00DC4B80" w:rsidP="00DC4B80">
            <w:pPr>
              <w:spacing w:after="0" w:line="240" w:lineRule="auto"/>
              <w:jc w:val="center"/>
              <w:rPr>
                <w:b/>
                <w:bCs/>
              </w:rPr>
            </w:pPr>
          </w:p>
        </w:tc>
      </w:tr>
    </w:tbl>
    <w:p w:rsidR="00DC4B80" w:rsidRPr="009B279C" w:rsidRDefault="00DC4B80" w:rsidP="00DC4B80">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7020"/>
        <w:gridCol w:w="1620"/>
      </w:tblGrid>
      <w:tr w:rsidR="00DC4B80" w:rsidRPr="00BD7BA2" w:rsidTr="00DC4B80">
        <w:tc>
          <w:tcPr>
            <w:tcW w:w="7668" w:type="dxa"/>
            <w:gridSpan w:val="2"/>
          </w:tcPr>
          <w:p w:rsidR="00DC4B80" w:rsidRPr="00BD7BA2" w:rsidRDefault="00DC4B80" w:rsidP="00DC4B80">
            <w:pPr>
              <w:spacing w:after="0" w:line="240" w:lineRule="auto"/>
              <w:jc w:val="center"/>
              <w:rPr>
                <w:b/>
                <w:bCs/>
              </w:rPr>
            </w:pPr>
            <w:r w:rsidRPr="00BD7BA2">
              <w:rPr>
                <w:b/>
                <w:bCs/>
              </w:rPr>
              <w:t>Fajlagos díjak megnevezése</w:t>
            </w:r>
          </w:p>
        </w:tc>
        <w:tc>
          <w:tcPr>
            <w:tcW w:w="1620" w:type="dxa"/>
          </w:tcPr>
          <w:p w:rsidR="00DC4B80" w:rsidRPr="00BD7BA2" w:rsidRDefault="00DC4B80" w:rsidP="00DC4B80">
            <w:pPr>
              <w:spacing w:after="0" w:line="240" w:lineRule="auto"/>
              <w:jc w:val="center"/>
              <w:rPr>
                <w:b/>
                <w:bCs/>
              </w:rPr>
            </w:pPr>
            <w:proofErr w:type="gramStart"/>
            <w:r w:rsidRPr="00BD7BA2">
              <w:rPr>
                <w:b/>
                <w:bCs/>
              </w:rPr>
              <w:t>…</w:t>
            </w:r>
            <w:proofErr w:type="gramEnd"/>
            <w:r w:rsidRPr="00BD7BA2">
              <w:rPr>
                <w:b/>
                <w:bCs/>
              </w:rPr>
              <w:t xml:space="preserve"> évben Ft/tonna</w:t>
            </w:r>
          </w:p>
        </w:tc>
      </w:tr>
      <w:tr w:rsidR="00DC4B80" w:rsidRPr="00BD7BA2" w:rsidTr="00DC4B80">
        <w:tc>
          <w:tcPr>
            <w:tcW w:w="648" w:type="dxa"/>
          </w:tcPr>
          <w:p w:rsidR="00DC4B80" w:rsidRPr="00BD7BA2" w:rsidRDefault="00DC4B80" w:rsidP="00DC4B80">
            <w:pPr>
              <w:spacing w:after="0" w:line="240" w:lineRule="auto"/>
              <w:jc w:val="center"/>
            </w:pPr>
            <w:r>
              <w:t>f</w:t>
            </w:r>
            <w:r w:rsidRPr="00BD7BA2">
              <w:t>)</w:t>
            </w:r>
          </w:p>
        </w:tc>
        <w:tc>
          <w:tcPr>
            <w:tcW w:w="7020" w:type="dxa"/>
          </w:tcPr>
          <w:p w:rsidR="00DC4B80" w:rsidRPr="00BD7BA2" w:rsidRDefault="00DC4B80" w:rsidP="00DC4B80">
            <w:pPr>
              <w:spacing w:after="0" w:line="240" w:lineRule="auto"/>
              <w:jc w:val="center"/>
            </w:pPr>
            <w:r w:rsidRPr="00BD7BA2">
              <w:t xml:space="preserve">Fajlagos </w:t>
            </w:r>
            <w:proofErr w:type="gramStart"/>
            <w:r w:rsidRPr="00BD7BA2">
              <w:t>átlag szolgáltatási</w:t>
            </w:r>
            <w:proofErr w:type="gramEnd"/>
            <w:r w:rsidRPr="00BD7BA2">
              <w:t xml:space="preserve"> díj (számítva) </w:t>
            </w:r>
            <w:r w:rsidR="008531BF">
              <w:rPr>
                <w:b/>
                <w:bCs/>
              </w:rPr>
              <w:t>(d/e</w:t>
            </w:r>
            <w:r w:rsidRPr="00BD7BA2">
              <w:rPr>
                <w:b/>
                <w:bCs/>
              </w:rPr>
              <w:t>)</w:t>
            </w:r>
          </w:p>
        </w:tc>
        <w:tc>
          <w:tcPr>
            <w:tcW w:w="162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8531BF" w:rsidP="00DC4B80">
            <w:pPr>
              <w:spacing w:after="0" w:line="240" w:lineRule="auto"/>
              <w:jc w:val="center"/>
            </w:pPr>
            <w:r>
              <w:t>g</w:t>
            </w:r>
            <w:r w:rsidR="00DC4B80" w:rsidRPr="00BD7BA2">
              <w:t>)</w:t>
            </w:r>
          </w:p>
        </w:tc>
        <w:tc>
          <w:tcPr>
            <w:tcW w:w="7020" w:type="dxa"/>
          </w:tcPr>
          <w:p w:rsidR="00DC4B80" w:rsidRPr="00BD7BA2" w:rsidDel="009B279C" w:rsidRDefault="00DC4B80" w:rsidP="00DC4B80">
            <w:pPr>
              <w:spacing w:after="0" w:line="240" w:lineRule="auto"/>
              <w:jc w:val="center"/>
            </w:pPr>
            <w:r w:rsidRPr="00BD7BA2">
              <w:t xml:space="preserve">Fajlagos </w:t>
            </w:r>
            <w:proofErr w:type="gramStart"/>
            <w:r w:rsidRPr="00BD7BA2">
              <w:t>átlag szolgáltatási</w:t>
            </w:r>
            <w:proofErr w:type="gramEnd"/>
            <w:r w:rsidRPr="00BD7BA2">
              <w:t xml:space="preserve"> díj 100 Ft végűre kerekítve </w:t>
            </w:r>
            <w:r w:rsidRPr="00BD7BA2">
              <w:rPr>
                <w:b/>
                <w:bCs/>
              </w:rPr>
              <w:t>(k 100 végűre kerekítve)</w:t>
            </w:r>
          </w:p>
        </w:tc>
        <w:tc>
          <w:tcPr>
            <w:tcW w:w="1620" w:type="dxa"/>
          </w:tcPr>
          <w:p w:rsidR="00DC4B80" w:rsidRPr="00BD7BA2" w:rsidRDefault="00DC4B80" w:rsidP="00DC4B80">
            <w:pPr>
              <w:spacing w:after="0" w:line="240" w:lineRule="auto"/>
              <w:jc w:val="center"/>
            </w:pPr>
          </w:p>
        </w:tc>
      </w:tr>
    </w:tbl>
    <w:p w:rsidR="00DC4B80" w:rsidRDefault="00DC4B80" w:rsidP="00DC4B80">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7020"/>
        <w:gridCol w:w="1620"/>
      </w:tblGrid>
      <w:tr w:rsidR="00DC4B80" w:rsidRPr="00BD7BA2" w:rsidTr="00DC4B80">
        <w:tc>
          <w:tcPr>
            <w:tcW w:w="648" w:type="dxa"/>
          </w:tcPr>
          <w:p w:rsidR="00DC4B80" w:rsidRPr="00BD7BA2" w:rsidRDefault="008531BF" w:rsidP="00DC4B80">
            <w:pPr>
              <w:spacing w:after="0" w:line="240" w:lineRule="auto"/>
              <w:jc w:val="center"/>
            </w:pPr>
            <w:r>
              <w:t>h</w:t>
            </w:r>
            <w:r w:rsidR="00DC4B80" w:rsidRPr="00BD7BA2">
              <w:t>)</w:t>
            </w:r>
          </w:p>
        </w:tc>
        <w:tc>
          <w:tcPr>
            <w:tcW w:w="7020" w:type="dxa"/>
          </w:tcPr>
          <w:p w:rsidR="00DC4B80" w:rsidRPr="00BD7BA2" w:rsidRDefault="00DC4B80" w:rsidP="00DC4B80">
            <w:pPr>
              <w:spacing w:after="0" w:line="240" w:lineRule="auto"/>
              <w:jc w:val="center"/>
            </w:pPr>
            <w:r w:rsidRPr="00BD7BA2">
              <w:t xml:space="preserve">Kéttényezős hulladékkezelési díj fajlagos alapdíj hányadának számítása </w:t>
            </w:r>
            <w:proofErr w:type="gramStart"/>
            <w:r w:rsidR="008531BF">
              <w:rPr>
                <w:b/>
                <w:bCs/>
              </w:rPr>
              <w:t>( (</w:t>
            </w:r>
            <w:proofErr w:type="gramEnd"/>
            <w:r w:rsidR="008531BF">
              <w:rPr>
                <w:b/>
                <w:bCs/>
              </w:rPr>
              <w:t>b/e</w:t>
            </w:r>
            <w:r w:rsidRPr="00BD7BA2">
              <w:rPr>
                <w:b/>
                <w:bCs/>
              </w:rPr>
              <w:t xml:space="preserve"> )</w:t>
            </w:r>
          </w:p>
        </w:tc>
        <w:tc>
          <w:tcPr>
            <w:tcW w:w="1620" w:type="dxa"/>
          </w:tcPr>
          <w:p w:rsidR="00DC4B80" w:rsidRPr="00BD7BA2" w:rsidRDefault="00DC4B80" w:rsidP="00DC4B80">
            <w:pPr>
              <w:spacing w:after="0" w:line="240" w:lineRule="auto"/>
              <w:jc w:val="center"/>
            </w:pPr>
          </w:p>
        </w:tc>
      </w:tr>
    </w:tbl>
    <w:p w:rsidR="00DC4B80" w:rsidRDefault="00DC4B80" w:rsidP="00DC4B80">
      <w:pPr>
        <w:pStyle w:val="Szvegtrzs"/>
        <w:rPr>
          <w:b/>
          <w:bCs/>
          <w:u w:val="single"/>
        </w:rPr>
      </w:pPr>
    </w:p>
    <w:p w:rsidR="00DC4B80" w:rsidRPr="00694D1D" w:rsidRDefault="00DC4B80" w:rsidP="00DC4B80">
      <w:pPr>
        <w:pStyle w:val="Cmsor2"/>
        <w:rPr>
          <w:rFonts w:ascii="Times New Roman" w:hAnsi="Times New Roman" w:cs="Times New Roman"/>
          <w:color w:val="auto"/>
          <w:sz w:val="24"/>
          <w:szCs w:val="24"/>
          <w:u w:val="single"/>
        </w:rPr>
      </w:pPr>
      <w:bookmarkStart w:id="2" w:name="_Toc320615882"/>
      <w:proofErr w:type="gramStart"/>
      <w:r w:rsidRPr="00694D1D">
        <w:rPr>
          <w:rFonts w:ascii="Times New Roman" w:hAnsi="Times New Roman" w:cs="Times New Roman"/>
          <w:color w:val="auto"/>
          <w:sz w:val="24"/>
          <w:szCs w:val="24"/>
          <w:u w:val="single"/>
        </w:rPr>
        <w:t>a</w:t>
      </w:r>
      <w:proofErr w:type="gramEnd"/>
      <w:r w:rsidRPr="00694D1D">
        <w:rPr>
          <w:rFonts w:ascii="Times New Roman" w:hAnsi="Times New Roman" w:cs="Times New Roman"/>
          <w:color w:val="auto"/>
          <w:sz w:val="24"/>
          <w:szCs w:val="24"/>
          <w:u w:val="single"/>
        </w:rPr>
        <w:t xml:space="preserve"> vegyes hulladék gyűjtési közszolgáltatásért fizetendő lakossági szolgáltatási díj </w:t>
      </w:r>
      <w:r>
        <w:rPr>
          <w:rFonts w:ascii="Times New Roman" w:hAnsi="Times New Roman" w:cs="Times New Roman"/>
          <w:color w:val="auto"/>
          <w:sz w:val="24"/>
          <w:szCs w:val="24"/>
          <w:u w:val="single"/>
        </w:rPr>
        <w:t>megállapítás</w:t>
      </w:r>
      <w:r w:rsidRPr="00694D1D">
        <w:rPr>
          <w:rFonts w:ascii="Times New Roman" w:hAnsi="Times New Roman" w:cs="Times New Roman"/>
          <w:color w:val="auto"/>
          <w:sz w:val="24"/>
          <w:szCs w:val="24"/>
          <w:u w:val="single"/>
        </w:rPr>
        <w:t>a:</w:t>
      </w:r>
      <w:bookmarkEnd w:id="2"/>
    </w:p>
    <w:p w:rsidR="00DC4B80" w:rsidRDefault="00DC4B80" w:rsidP="00DC4B80">
      <w:pPr>
        <w:pStyle w:val="Szvegtrzs"/>
        <w:jc w:val="both"/>
      </w:pPr>
      <w:r>
        <w:t xml:space="preserve">A </w:t>
      </w:r>
      <w:proofErr w:type="gramStart"/>
      <w:r>
        <w:t>projekt szolgáltatással</w:t>
      </w:r>
      <w:proofErr w:type="gramEnd"/>
      <w:r>
        <w:t xml:space="preserve"> kapcsolatban meghatározott, Ft/tonna díjat (lásd előző pont) megszorozzuk az adott településen keletkező, vegyesen gyűjtött ártalmatlanítandó hulladék mennyiségével</w:t>
      </w:r>
      <w:r w:rsidRPr="009B279C">
        <w:t>.</w:t>
      </w:r>
      <w:r>
        <w:t xml:space="preserve"> Ez a számítás adja az adott település esetében hulladékkezelésre elszámolandó költségeket. Az így kiszámolt díjhoz hozzáadjuk a gyűjtés-, szállítás</w:t>
      </w:r>
      <w:r w:rsidR="008531BF">
        <w:t>, ártalmatlanítás</w:t>
      </w:r>
      <w:r>
        <w:t xml:space="preserve"> közszolgáltatással kapcsoltban felmerülő költségeit, illetve az elismert kiadásokat és az így meghatározott díjtömeget szedjük be az adott település hulladékkezelési rendeletében előírtaknak megfelelően. Az egyes költség tételek településenkénti felosztása a vegyesen gyűjtött, ártalmatlanításra beszállított hulladék tonnában kifejezett településenkénti mennyisége alapján történik. A közszolgáltatói díj meghatározásának lehetőségei (a teljesség igénye nélkül):</w:t>
      </w:r>
    </w:p>
    <w:p w:rsidR="00DC4B80" w:rsidRDefault="00DC4B80" w:rsidP="00DC4B80">
      <w:pPr>
        <w:pStyle w:val="Lista2"/>
        <w:numPr>
          <w:ilvl w:val="0"/>
          <w:numId w:val="3"/>
        </w:numPr>
        <w:jc w:val="both"/>
      </w:pPr>
      <w:r>
        <w:t>Önkormányzat az így meghatározott díjat egy összegben fizeti meg saját költségvetéséből (esetlegesen ennek ellentételezését kommunális adó formában szedi be)</w:t>
      </w:r>
    </w:p>
    <w:p w:rsidR="00DC4B80" w:rsidRDefault="00DC4B80" w:rsidP="00DC4B80">
      <w:pPr>
        <w:pStyle w:val="Lista2"/>
        <w:numPr>
          <w:ilvl w:val="0"/>
          <w:numId w:val="3"/>
        </w:numPr>
        <w:jc w:val="both"/>
      </w:pPr>
      <w:r>
        <w:t>Egytényezős hulladékkezelési díj kerül meghatározásra az adott önkormányzat teljes edény állományára Ft/liter vetítve.</w:t>
      </w:r>
    </w:p>
    <w:p w:rsidR="00DC4B80" w:rsidRDefault="00DC4B80" w:rsidP="00DC4B80">
      <w:pPr>
        <w:pStyle w:val="Lista2"/>
        <w:numPr>
          <w:ilvl w:val="0"/>
          <w:numId w:val="3"/>
        </w:numPr>
        <w:jc w:val="both"/>
      </w:pPr>
      <w:r>
        <w:t>Kéttényezős hulladékkezelési díj kerül meghatározásra, ahol a díj egy részét (legfeljebb 40 %-át) az alapdíj teszi ki</w:t>
      </w:r>
    </w:p>
    <w:p w:rsidR="008531BF" w:rsidRDefault="008531BF" w:rsidP="00DC4B80">
      <w:pPr>
        <w:pStyle w:val="Lista2"/>
        <w:ind w:left="0" w:firstLine="0"/>
        <w:jc w:val="both"/>
      </w:pPr>
    </w:p>
    <w:p w:rsidR="008531BF" w:rsidRDefault="008531BF">
      <w:pPr>
        <w:rPr>
          <w:rFonts w:ascii="Times New Roman" w:eastAsia="Times New Roman" w:hAnsi="Times New Roman" w:cs="Times New Roman"/>
          <w:sz w:val="24"/>
          <w:szCs w:val="24"/>
          <w:lang w:eastAsia="hu-HU"/>
        </w:rPr>
      </w:pPr>
      <w:r>
        <w:br w:type="page"/>
      </w:r>
    </w:p>
    <w:p w:rsidR="00DC4B80" w:rsidRDefault="00DC4B80" w:rsidP="00DC4B80">
      <w:pPr>
        <w:pStyle w:val="Lista2"/>
        <w:ind w:left="0" w:firstLine="0"/>
        <w:jc w:val="both"/>
      </w:pPr>
      <w:r>
        <w:lastRenderedPageBreak/>
        <w:t>A díj meghatározása az I) pontban meghatározott esetben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7020"/>
        <w:gridCol w:w="1980"/>
      </w:tblGrid>
      <w:tr w:rsidR="00DC4B80" w:rsidRPr="00BD7BA2" w:rsidTr="00DC4B80">
        <w:tc>
          <w:tcPr>
            <w:tcW w:w="7668" w:type="dxa"/>
            <w:gridSpan w:val="2"/>
          </w:tcPr>
          <w:p w:rsidR="00DC4B80" w:rsidRPr="00BD7BA2" w:rsidRDefault="00DC4B80" w:rsidP="00DC4B80">
            <w:pPr>
              <w:spacing w:after="0" w:line="240" w:lineRule="auto"/>
              <w:jc w:val="center"/>
              <w:rPr>
                <w:b/>
                <w:bCs/>
              </w:rPr>
            </w:pPr>
            <w:r w:rsidRPr="00BD7BA2">
              <w:rPr>
                <w:b/>
                <w:bCs/>
              </w:rPr>
              <w:t xml:space="preserve">Egyösszegű </w:t>
            </w:r>
            <w:proofErr w:type="gramStart"/>
            <w:r w:rsidRPr="00BD7BA2">
              <w:rPr>
                <w:b/>
                <w:bCs/>
              </w:rPr>
              <w:t>díjszámítás …</w:t>
            </w:r>
            <w:proofErr w:type="gramEnd"/>
            <w:r w:rsidRPr="00BD7BA2">
              <w:rPr>
                <w:b/>
                <w:bCs/>
              </w:rPr>
              <w:t xml:space="preserve"> településre</w:t>
            </w:r>
            <w:r w:rsidRPr="00BD7BA2">
              <w:rPr>
                <w:rStyle w:val="Lbjegyzet-hivatkozs"/>
                <w:b/>
                <w:bCs/>
              </w:rPr>
              <w:footnoteReference w:id="2"/>
            </w:r>
          </w:p>
        </w:tc>
        <w:tc>
          <w:tcPr>
            <w:tcW w:w="1980" w:type="dxa"/>
          </w:tcPr>
          <w:p w:rsidR="00DC4B80" w:rsidRPr="00BD7BA2" w:rsidRDefault="00DC4B80" w:rsidP="00DC4B80">
            <w:pPr>
              <w:spacing w:after="0" w:line="240" w:lineRule="auto"/>
              <w:jc w:val="center"/>
              <w:rPr>
                <w:b/>
                <w:bCs/>
              </w:rPr>
            </w:pPr>
            <w:r w:rsidRPr="00BD7BA2">
              <w:rPr>
                <w:b/>
                <w:bCs/>
              </w:rPr>
              <w:t xml:space="preserve">Becsült </w:t>
            </w:r>
            <w:proofErr w:type="gramStart"/>
            <w:r w:rsidRPr="00BD7BA2">
              <w:rPr>
                <w:b/>
                <w:bCs/>
              </w:rPr>
              <w:t>költségek ….</w:t>
            </w:r>
            <w:proofErr w:type="gramEnd"/>
            <w:r w:rsidRPr="00BD7BA2">
              <w:rPr>
                <w:b/>
                <w:bCs/>
              </w:rPr>
              <w:t xml:space="preserve"> évre Forintban </w:t>
            </w:r>
          </w:p>
        </w:tc>
      </w:tr>
      <w:tr w:rsidR="00DC4B80" w:rsidRPr="00BD7BA2" w:rsidTr="00DC4B80">
        <w:tc>
          <w:tcPr>
            <w:tcW w:w="648" w:type="dxa"/>
            <w:shd w:val="clear" w:color="auto" w:fill="C0C0C0"/>
          </w:tcPr>
          <w:p w:rsidR="00DC4B80" w:rsidRPr="00BD7BA2" w:rsidRDefault="008531BF" w:rsidP="00DC4B80">
            <w:pPr>
              <w:spacing w:after="0" w:line="240" w:lineRule="auto"/>
              <w:ind w:left="360" w:hanging="360"/>
            </w:pPr>
            <w:r>
              <w:rPr>
                <w:b/>
                <w:bCs/>
              </w:rPr>
              <w:t>i</w:t>
            </w:r>
            <w:r w:rsidR="00DC4B80" w:rsidRPr="00BD7BA2">
              <w:rPr>
                <w:b/>
                <w:bCs/>
              </w:rPr>
              <w:t>)</w:t>
            </w:r>
          </w:p>
        </w:tc>
        <w:tc>
          <w:tcPr>
            <w:tcW w:w="7020" w:type="dxa"/>
            <w:shd w:val="clear" w:color="auto" w:fill="C0C0C0"/>
          </w:tcPr>
          <w:p w:rsidR="00DC4B80" w:rsidRPr="00BD7BA2" w:rsidRDefault="00DC4B80" w:rsidP="00DC4B80">
            <w:pPr>
              <w:spacing w:after="0" w:line="240" w:lineRule="auto"/>
              <w:ind w:left="360" w:hanging="360"/>
            </w:pPr>
            <w:r w:rsidRPr="00BD7BA2">
              <w:rPr>
                <w:b/>
                <w:bCs/>
              </w:rPr>
              <w:t>Vegyesen gyűjtött</w:t>
            </w:r>
            <w:r w:rsidR="008531BF">
              <w:rPr>
                <w:b/>
                <w:bCs/>
              </w:rPr>
              <w:t>, ártalmatlanításra (</w:t>
            </w:r>
            <w:r w:rsidRPr="00BD7BA2">
              <w:rPr>
                <w:b/>
                <w:bCs/>
              </w:rPr>
              <w:t>lerakás) beszállított hulladék becsült mennyisége (tonna) az adott település vonatkozásában</w:t>
            </w:r>
          </w:p>
        </w:tc>
        <w:tc>
          <w:tcPr>
            <w:tcW w:w="1980" w:type="dxa"/>
            <w:shd w:val="clear" w:color="auto" w:fill="C0C0C0"/>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8531BF" w:rsidP="00DC4B80">
            <w:pPr>
              <w:spacing w:after="0" w:line="240" w:lineRule="auto"/>
              <w:ind w:left="360" w:hanging="360"/>
            </w:pPr>
            <w:r>
              <w:t>j</w:t>
            </w:r>
            <w:r w:rsidR="00DC4B80" w:rsidRPr="00BD7BA2">
              <w:t>)</w:t>
            </w:r>
          </w:p>
        </w:tc>
        <w:tc>
          <w:tcPr>
            <w:tcW w:w="7020" w:type="dxa"/>
          </w:tcPr>
          <w:p w:rsidR="00DC4B80" w:rsidRPr="00BD7BA2" w:rsidRDefault="00DC4B80" w:rsidP="008531BF">
            <w:pPr>
              <w:spacing w:after="0" w:line="240" w:lineRule="auto"/>
              <w:ind w:left="360" w:hanging="360"/>
            </w:pPr>
            <w:r w:rsidRPr="00BD7BA2">
              <w:t xml:space="preserve">+ </w:t>
            </w:r>
            <w:r w:rsidRPr="00BD7BA2">
              <w:tab/>
              <w:t>A</w:t>
            </w:r>
            <w:r w:rsidR="008531BF">
              <w:t xml:space="preserve"> szelektív</w:t>
            </w:r>
            <w:r w:rsidRPr="00BD7BA2">
              <w:t xml:space="preserve"> hulladékkezelés díja </w:t>
            </w:r>
            <w:r w:rsidRPr="00BD7BA2">
              <w:rPr>
                <w:b/>
                <w:bCs/>
              </w:rPr>
              <w:t>(</w:t>
            </w:r>
            <w:r w:rsidR="008531BF">
              <w:rPr>
                <w:b/>
                <w:bCs/>
              </w:rPr>
              <w:t>i</w:t>
            </w:r>
            <w:r w:rsidRPr="00BD7BA2">
              <w:rPr>
                <w:b/>
                <w:bCs/>
              </w:rPr>
              <w:t>*</w:t>
            </w:r>
            <w:r w:rsidR="008531BF">
              <w:rPr>
                <w:b/>
                <w:bCs/>
              </w:rPr>
              <w:t>g</w:t>
            </w:r>
            <w:r w:rsidRPr="00BD7BA2">
              <w:rPr>
                <w:b/>
                <w:bCs/>
              </w:rPr>
              <w:t>)</w:t>
            </w:r>
          </w:p>
        </w:tc>
        <w:tc>
          <w:tcPr>
            <w:tcW w:w="198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8531BF" w:rsidP="00DC4B80">
            <w:pPr>
              <w:spacing w:after="0" w:line="240" w:lineRule="auto"/>
              <w:ind w:left="360" w:hanging="360"/>
            </w:pPr>
            <w:r>
              <w:t>k</w:t>
            </w:r>
            <w:r w:rsidR="00DC4B80" w:rsidRPr="00BD7BA2">
              <w:t>)</w:t>
            </w:r>
          </w:p>
        </w:tc>
        <w:tc>
          <w:tcPr>
            <w:tcW w:w="7020" w:type="dxa"/>
          </w:tcPr>
          <w:p w:rsidR="00DC4B80" w:rsidRPr="00BD7BA2" w:rsidRDefault="00DC4B80" w:rsidP="008531BF">
            <w:pPr>
              <w:spacing w:after="0" w:line="240" w:lineRule="auto"/>
              <w:ind w:left="360" w:hanging="360"/>
            </w:pPr>
            <w:r w:rsidRPr="00BD7BA2">
              <w:t xml:space="preserve">+ </w:t>
            </w:r>
            <w:r w:rsidRPr="00BD7BA2">
              <w:tab/>
              <w:t xml:space="preserve">a Közszolgáltató saját, hulladékgyűjtési </w:t>
            </w:r>
            <w:r w:rsidR="008531BF">
              <w:t xml:space="preserve">és ártalmatlanítási </w:t>
            </w:r>
            <w:r w:rsidRPr="00BD7BA2">
              <w:t>közszolgáltatói feladatok ell</w:t>
            </w:r>
            <w:r w:rsidR="008531BF">
              <w:t xml:space="preserve">átásához </w:t>
            </w:r>
            <w:proofErr w:type="gramStart"/>
            <w:r w:rsidR="008531BF">
              <w:t>szükséges  eszközeinek</w:t>
            </w:r>
            <w:proofErr w:type="gramEnd"/>
            <w:r w:rsidR="008531BF">
              <w:t xml:space="preserve">, létesítményeinek </w:t>
            </w:r>
            <w:r w:rsidRPr="00BD7BA2">
              <w:t xml:space="preserve">üzemeltetési költsége </w:t>
            </w:r>
          </w:p>
        </w:tc>
        <w:tc>
          <w:tcPr>
            <w:tcW w:w="198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8531BF" w:rsidP="00DC4B80">
            <w:pPr>
              <w:spacing w:after="0" w:line="240" w:lineRule="auto"/>
              <w:ind w:left="360" w:hanging="360"/>
            </w:pPr>
            <w:r>
              <w:t>l</w:t>
            </w:r>
            <w:r w:rsidR="00DC4B80" w:rsidRPr="00BD7BA2">
              <w:t>)</w:t>
            </w:r>
          </w:p>
        </w:tc>
        <w:tc>
          <w:tcPr>
            <w:tcW w:w="7020" w:type="dxa"/>
          </w:tcPr>
          <w:p w:rsidR="00DC4B80" w:rsidRPr="00BD7BA2" w:rsidRDefault="00DC4B80" w:rsidP="008531BF">
            <w:pPr>
              <w:spacing w:after="0" w:line="240" w:lineRule="auto"/>
              <w:ind w:left="360" w:hanging="360"/>
            </w:pPr>
            <w:r w:rsidRPr="00BD7BA2">
              <w:t>+</w:t>
            </w:r>
            <w:r w:rsidRPr="00BD7BA2">
              <w:tab/>
              <w:t xml:space="preserve">A Közszolgáltató saját, hulladékgyűjtési közszolgáltatói feladatok ellátásához </w:t>
            </w:r>
            <w:proofErr w:type="gramStart"/>
            <w:r w:rsidRPr="00BD7BA2">
              <w:t>szükséges  eszközeinek</w:t>
            </w:r>
            <w:proofErr w:type="gramEnd"/>
            <w:r w:rsidRPr="00BD7BA2">
              <w:t xml:space="preserve"> pótlási díjhányada </w:t>
            </w:r>
          </w:p>
        </w:tc>
        <w:tc>
          <w:tcPr>
            <w:tcW w:w="198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8531BF" w:rsidP="00DC4B80">
            <w:pPr>
              <w:spacing w:after="0" w:line="240" w:lineRule="auto"/>
              <w:ind w:left="360" w:hanging="360"/>
            </w:pPr>
            <w:r>
              <w:t>m</w:t>
            </w:r>
            <w:r w:rsidR="00DC4B80" w:rsidRPr="00BD7BA2">
              <w:t>)</w:t>
            </w:r>
          </w:p>
        </w:tc>
        <w:tc>
          <w:tcPr>
            <w:tcW w:w="7020" w:type="dxa"/>
          </w:tcPr>
          <w:p w:rsidR="00DC4B80" w:rsidRPr="00BD7BA2" w:rsidRDefault="00DC4B80" w:rsidP="00DC4B80">
            <w:pPr>
              <w:spacing w:after="0" w:line="240" w:lineRule="auto"/>
              <w:ind w:left="360" w:hanging="360"/>
            </w:pPr>
            <w:r w:rsidRPr="00BD7BA2">
              <w:t>-</w:t>
            </w:r>
            <w:r w:rsidRPr="00BD7BA2">
              <w:tab/>
              <w:t>A közszolgáltatás keretében beszedett ipari, intézményi díjbevétel</w:t>
            </w:r>
          </w:p>
        </w:tc>
        <w:tc>
          <w:tcPr>
            <w:tcW w:w="198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8531BF" w:rsidP="00DC4B80">
            <w:pPr>
              <w:spacing w:after="0" w:line="240" w:lineRule="auto"/>
              <w:ind w:left="360" w:hanging="360"/>
            </w:pPr>
            <w:r>
              <w:t>n</w:t>
            </w:r>
            <w:r w:rsidR="00DC4B80" w:rsidRPr="00BD7BA2">
              <w:t>)</w:t>
            </w:r>
          </w:p>
        </w:tc>
        <w:tc>
          <w:tcPr>
            <w:tcW w:w="7020" w:type="dxa"/>
          </w:tcPr>
          <w:p w:rsidR="00DC4B80" w:rsidRPr="00BD7BA2" w:rsidRDefault="00DC4B80" w:rsidP="00DC4B80">
            <w:pPr>
              <w:spacing w:after="0" w:line="240" w:lineRule="auto"/>
              <w:ind w:left="360" w:hanging="360"/>
            </w:pPr>
            <w:r w:rsidRPr="00BD7BA2">
              <w:t xml:space="preserve">+ </w:t>
            </w:r>
            <w:r w:rsidRPr="00BD7BA2">
              <w:tab/>
              <w:t>A Közszolgáltató elismert profitja</w:t>
            </w:r>
          </w:p>
        </w:tc>
        <w:tc>
          <w:tcPr>
            <w:tcW w:w="198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8531BF" w:rsidP="00DC4B80">
            <w:pPr>
              <w:spacing w:after="0" w:line="240" w:lineRule="auto"/>
              <w:ind w:left="360" w:hanging="360"/>
              <w:rPr>
                <w:b/>
                <w:bCs/>
              </w:rPr>
            </w:pPr>
            <w:r>
              <w:t>o</w:t>
            </w:r>
            <w:r w:rsidR="00DC4B80" w:rsidRPr="00BD7BA2">
              <w:t>)</w:t>
            </w:r>
            <w:r w:rsidR="00DC4B80" w:rsidRPr="00BD7BA2">
              <w:rPr>
                <w:b/>
                <w:bCs/>
              </w:rPr>
              <w:t xml:space="preserve"> </w:t>
            </w:r>
          </w:p>
        </w:tc>
        <w:tc>
          <w:tcPr>
            <w:tcW w:w="7020" w:type="dxa"/>
          </w:tcPr>
          <w:p w:rsidR="00DC4B80" w:rsidRPr="00BD7BA2" w:rsidRDefault="00DC4B80" w:rsidP="008531BF">
            <w:pPr>
              <w:spacing w:after="0" w:line="240" w:lineRule="auto"/>
              <w:jc w:val="center"/>
              <w:rPr>
                <w:b/>
                <w:bCs/>
              </w:rPr>
            </w:pPr>
            <w:r w:rsidRPr="00BD7BA2">
              <w:rPr>
                <w:b/>
                <w:bCs/>
              </w:rPr>
              <w:t>Az önkormányzatnak egy összegben kiszámlázott hulladékkezelési</w:t>
            </w:r>
            <w:r w:rsidR="008531BF">
              <w:rPr>
                <w:b/>
                <w:bCs/>
              </w:rPr>
              <w:t xml:space="preserve"> díj összesen ÁFA nélkül (Ft) (j+k+l-m+n</w:t>
            </w:r>
            <w:r w:rsidRPr="00BD7BA2">
              <w:rPr>
                <w:b/>
                <w:bCs/>
              </w:rPr>
              <w:t>)</w:t>
            </w:r>
          </w:p>
        </w:tc>
        <w:tc>
          <w:tcPr>
            <w:tcW w:w="1980" w:type="dxa"/>
          </w:tcPr>
          <w:p w:rsidR="00DC4B80" w:rsidRPr="00BD7BA2" w:rsidRDefault="00DC4B80" w:rsidP="00DC4B80">
            <w:pPr>
              <w:spacing w:after="0" w:line="240" w:lineRule="auto"/>
              <w:jc w:val="center"/>
              <w:rPr>
                <w:b/>
                <w:bCs/>
              </w:rPr>
            </w:pPr>
          </w:p>
        </w:tc>
      </w:tr>
    </w:tbl>
    <w:p w:rsidR="008531BF" w:rsidRDefault="008531BF" w:rsidP="00DC4B80">
      <w:pPr>
        <w:pStyle w:val="Lista2"/>
        <w:ind w:left="0" w:firstLine="0"/>
        <w:jc w:val="both"/>
      </w:pPr>
    </w:p>
    <w:p w:rsidR="008531BF" w:rsidRDefault="008531BF" w:rsidP="00DC4B80">
      <w:pPr>
        <w:pStyle w:val="Lista2"/>
        <w:ind w:left="0" w:firstLine="0"/>
        <w:jc w:val="both"/>
      </w:pPr>
    </w:p>
    <w:p w:rsidR="008531BF" w:rsidRDefault="008531BF" w:rsidP="00DC4B80">
      <w:pPr>
        <w:pStyle w:val="Lista2"/>
        <w:ind w:left="0" w:firstLine="0"/>
        <w:jc w:val="both"/>
      </w:pPr>
    </w:p>
    <w:p w:rsidR="00DC4B80" w:rsidRDefault="00DC4B80" w:rsidP="00DC4B80">
      <w:pPr>
        <w:pStyle w:val="Lista2"/>
        <w:ind w:left="0" w:firstLine="0"/>
        <w:jc w:val="both"/>
      </w:pPr>
      <w:r>
        <w:t>A díj meghatározása az II) pontban meghatározott esetben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7020"/>
        <w:gridCol w:w="1980"/>
      </w:tblGrid>
      <w:tr w:rsidR="00DC4B80" w:rsidRPr="00BD7BA2" w:rsidTr="00DC4B80">
        <w:tc>
          <w:tcPr>
            <w:tcW w:w="7668" w:type="dxa"/>
            <w:gridSpan w:val="2"/>
          </w:tcPr>
          <w:p w:rsidR="00DC4B80" w:rsidRPr="00BD7BA2" w:rsidRDefault="00DC4B80" w:rsidP="00DC4B80">
            <w:pPr>
              <w:spacing w:after="0" w:line="240" w:lineRule="auto"/>
              <w:jc w:val="center"/>
              <w:rPr>
                <w:b/>
                <w:bCs/>
              </w:rPr>
            </w:pPr>
            <w:r w:rsidRPr="00BD7BA2">
              <w:rPr>
                <w:b/>
                <w:bCs/>
              </w:rPr>
              <w:t xml:space="preserve">Egytényezős </w:t>
            </w:r>
            <w:proofErr w:type="gramStart"/>
            <w:r w:rsidRPr="00BD7BA2">
              <w:rPr>
                <w:b/>
                <w:bCs/>
              </w:rPr>
              <w:t>díjszámítás …</w:t>
            </w:r>
            <w:proofErr w:type="gramEnd"/>
            <w:r w:rsidRPr="00BD7BA2">
              <w:rPr>
                <w:b/>
                <w:bCs/>
              </w:rPr>
              <w:t xml:space="preserve"> településre</w:t>
            </w:r>
            <w:r w:rsidRPr="00BD7BA2">
              <w:rPr>
                <w:rStyle w:val="Lbjegyzet-hivatkozs"/>
                <w:b/>
                <w:bCs/>
              </w:rPr>
              <w:footnoteReference w:id="3"/>
            </w:r>
          </w:p>
        </w:tc>
        <w:tc>
          <w:tcPr>
            <w:tcW w:w="1980" w:type="dxa"/>
          </w:tcPr>
          <w:p w:rsidR="00DC4B80" w:rsidRPr="00BD7BA2" w:rsidRDefault="00DC4B80" w:rsidP="00DC4B80">
            <w:pPr>
              <w:spacing w:after="0" w:line="240" w:lineRule="auto"/>
              <w:jc w:val="center"/>
              <w:rPr>
                <w:b/>
                <w:bCs/>
              </w:rPr>
            </w:pPr>
            <w:r w:rsidRPr="00BD7BA2">
              <w:rPr>
                <w:b/>
                <w:bCs/>
              </w:rPr>
              <w:t xml:space="preserve">Becsült </w:t>
            </w:r>
            <w:proofErr w:type="gramStart"/>
            <w:r w:rsidRPr="00BD7BA2">
              <w:rPr>
                <w:b/>
                <w:bCs/>
              </w:rPr>
              <w:t>költségek ….</w:t>
            </w:r>
            <w:proofErr w:type="gramEnd"/>
            <w:r w:rsidRPr="00BD7BA2">
              <w:rPr>
                <w:b/>
                <w:bCs/>
              </w:rPr>
              <w:t xml:space="preserve"> évre Forintban </w:t>
            </w:r>
          </w:p>
        </w:tc>
      </w:tr>
      <w:tr w:rsidR="00DC4B80" w:rsidRPr="00BD7BA2" w:rsidTr="00DC4B80">
        <w:tc>
          <w:tcPr>
            <w:tcW w:w="648" w:type="dxa"/>
            <w:shd w:val="clear" w:color="auto" w:fill="C0C0C0"/>
          </w:tcPr>
          <w:p w:rsidR="00DC4B80" w:rsidRPr="00BD7BA2" w:rsidRDefault="008531BF" w:rsidP="00DC4B80">
            <w:pPr>
              <w:spacing w:after="0" w:line="240" w:lineRule="auto"/>
              <w:ind w:left="360" w:hanging="360"/>
            </w:pPr>
            <w:r>
              <w:rPr>
                <w:b/>
                <w:bCs/>
              </w:rPr>
              <w:t>i</w:t>
            </w:r>
            <w:r w:rsidR="00DC4B80" w:rsidRPr="00BD7BA2">
              <w:rPr>
                <w:b/>
                <w:bCs/>
              </w:rPr>
              <w:t>)</w:t>
            </w:r>
          </w:p>
        </w:tc>
        <w:tc>
          <w:tcPr>
            <w:tcW w:w="7020" w:type="dxa"/>
            <w:shd w:val="clear" w:color="auto" w:fill="C0C0C0"/>
          </w:tcPr>
          <w:p w:rsidR="00DC4B80" w:rsidRPr="00BD7BA2" w:rsidRDefault="00DC4B80" w:rsidP="00DC4B80">
            <w:pPr>
              <w:spacing w:after="0" w:line="240" w:lineRule="auto"/>
              <w:ind w:left="360" w:hanging="360"/>
            </w:pPr>
            <w:r w:rsidRPr="00BD7BA2">
              <w:rPr>
                <w:b/>
                <w:bCs/>
              </w:rPr>
              <w:t>Vegyesen gyűjtött,</w:t>
            </w:r>
            <w:r w:rsidR="008531BF">
              <w:rPr>
                <w:b/>
                <w:bCs/>
              </w:rPr>
              <w:t xml:space="preserve"> ártalmatlanításra (</w:t>
            </w:r>
            <w:r w:rsidRPr="00BD7BA2">
              <w:rPr>
                <w:b/>
                <w:bCs/>
              </w:rPr>
              <w:t>lerakás) beszállított hulladék becsült mennyisége (tonna) az adott település vonatkozásában</w:t>
            </w:r>
          </w:p>
        </w:tc>
        <w:tc>
          <w:tcPr>
            <w:tcW w:w="1980" w:type="dxa"/>
            <w:shd w:val="clear" w:color="auto" w:fill="C0C0C0"/>
          </w:tcPr>
          <w:p w:rsidR="00DC4B80" w:rsidRPr="00BD7BA2" w:rsidRDefault="00DC4B80" w:rsidP="00DC4B80">
            <w:pPr>
              <w:spacing w:after="0" w:line="240" w:lineRule="auto"/>
              <w:jc w:val="center"/>
            </w:pPr>
          </w:p>
        </w:tc>
      </w:tr>
      <w:tr w:rsidR="008531BF" w:rsidRPr="00BD7BA2" w:rsidTr="008531BF">
        <w:tc>
          <w:tcPr>
            <w:tcW w:w="648" w:type="dxa"/>
          </w:tcPr>
          <w:p w:rsidR="008531BF" w:rsidRPr="00BD7BA2" w:rsidRDefault="008531BF" w:rsidP="008531BF">
            <w:pPr>
              <w:spacing w:after="0" w:line="240" w:lineRule="auto"/>
              <w:ind w:left="360" w:hanging="360"/>
            </w:pPr>
            <w:r>
              <w:t>j</w:t>
            </w:r>
            <w:r w:rsidRPr="00BD7BA2">
              <w:t>)</w:t>
            </w:r>
          </w:p>
        </w:tc>
        <w:tc>
          <w:tcPr>
            <w:tcW w:w="7020" w:type="dxa"/>
          </w:tcPr>
          <w:p w:rsidR="008531BF" w:rsidRPr="00BD7BA2" w:rsidRDefault="008531BF" w:rsidP="008531BF">
            <w:pPr>
              <w:spacing w:after="0" w:line="240" w:lineRule="auto"/>
              <w:ind w:left="360" w:hanging="360"/>
            </w:pPr>
            <w:r w:rsidRPr="00BD7BA2">
              <w:t xml:space="preserve">+ </w:t>
            </w:r>
            <w:r w:rsidRPr="00BD7BA2">
              <w:tab/>
              <w:t>A</w:t>
            </w:r>
            <w:r>
              <w:t xml:space="preserve"> szelektív</w:t>
            </w:r>
            <w:r w:rsidRPr="00BD7BA2">
              <w:t xml:space="preserve"> hulladékkezelés díja </w:t>
            </w:r>
            <w:r w:rsidRPr="00BD7BA2">
              <w:rPr>
                <w:b/>
                <w:bCs/>
              </w:rPr>
              <w:t>(</w:t>
            </w:r>
            <w:r>
              <w:rPr>
                <w:b/>
                <w:bCs/>
              </w:rPr>
              <w:t>i</w:t>
            </w:r>
            <w:r w:rsidRPr="00BD7BA2">
              <w:rPr>
                <w:b/>
                <w:bCs/>
              </w:rPr>
              <w:t>*</w:t>
            </w:r>
            <w:r>
              <w:rPr>
                <w:b/>
                <w:bCs/>
              </w:rPr>
              <w:t>g</w:t>
            </w:r>
            <w:r w:rsidRPr="00BD7BA2">
              <w:rPr>
                <w:b/>
                <w:bCs/>
              </w:rPr>
              <w:t>)</w:t>
            </w:r>
          </w:p>
        </w:tc>
        <w:tc>
          <w:tcPr>
            <w:tcW w:w="1980" w:type="dxa"/>
          </w:tcPr>
          <w:p w:rsidR="008531BF" w:rsidRPr="00BD7BA2" w:rsidRDefault="008531BF" w:rsidP="008531BF">
            <w:pPr>
              <w:spacing w:after="0" w:line="240" w:lineRule="auto"/>
              <w:jc w:val="center"/>
            </w:pPr>
          </w:p>
        </w:tc>
      </w:tr>
      <w:tr w:rsidR="008531BF" w:rsidRPr="00BD7BA2" w:rsidTr="008531BF">
        <w:tc>
          <w:tcPr>
            <w:tcW w:w="648" w:type="dxa"/>
          </w:tcPr>
          <w:p w:rsidR="008531BF" w:rsidRPr="00BD7BA2" w:rsidRDefault="008531BF" w:rsidP="008531BF">
            <w:pPr>
              <w:spacing w:after="0" w:line="240" w:lineRule="auto"/>
              <w:ind w:left="360" w:hanging="360"/>
            </w:pPr>
            <w:r>
              <w:t>k</w:t>
            </w:r>
            <w:r w:rsidRPr="00BD7BA2">
              <w:t>)</w:t>
            </w:r>
          </w:p>
        </w:tc>
        <w:tc>
          <w:tcPr>
            <w:tcW w:w="7020" w:type="dxa"/>
          </w:tcPr>
          <w:p w:rsidR="008531BF" w:rsidRPr="00BD7BA2" w:rsidRDefault="008531BF" w:rsidP="008531BF">
            <w:pPr>
              <w:spacing w:after="0" w:line="240" w:lineRule="auto"/>
              <w:ind w:left="360" w:hanging="360"/>
            </w:pPr>
            <w:r w:rsidRPr="00BD7BA2">
              <w:t xml:space="preserve">+ </w:t>
            </w:r>
            <w:r w:rsidRPr="00BD7BA2">
              <w:tab/>
              <w:t xml:space="preserve">a Közszolgáltató saját, hulladékgyűjtési </w:t>
            </w:r>
            <w:r>
              <w:t xml:space="preserve">és ártalmatlanítási </w:t>
            </w:r>
            <w:r w:rsidRPr="00BD7BA2">
              <w:t>közszolgáltatói feladatok ell</w:t>
            </w:r>
            <w:r>
              <w:t xml:space="preserve">átásához </w:t>
            </w:r>
            <w:proofErr w:type="gramStart"/>
            <w:r>
              <w:t>szükséges  eszközeinek</w:t>
            </w:r>
            <w:proofErr w:type="gramEnd"/>
            <w:r>
              <w:t xml:space="preserve">, létesítményeinek </w:t>
            </w:r>
            <w:r w:rsidRPr="00BD7BA2">
              <w:t xml:space="preserve">üzemeltetési költsége </w:t>
            </w:r>
          </w:p>
        </w:tc>
        <w:tc>
          <w:tcPr>
            <w:tcW w:w="1980" w:type="dxa"/>
          </w:tcPr>
          <w:p w:rsidR="008531BF" w:rsidRPr="00BD7BA2" w:rsidRDefault="008531BF" w:rsidP="008531BF">
            <w:pPr>
              <w:spacing w:after="0" w:line="240" w:lineRule="auto"/>
              <w:jc w:val="center"/>
            </w:pPr>
          </w:p>
        </w:tc>
      </w:tr>
      <w:tr w:rsidR="008531BF" w:rsidRPr="00BD7BA2" w:rsidTr="008531BF">
        <w:tc>
          <w:tcPr>
            <w:tcW w:w="648" w:type="dxa"/>
          </w:tcPr>
          <w:p w:rsidR="008531BF" w:rsidRPr="00BD7BA2" w:rsidRDefault="008531BF" w:rsidP="008531BF">
            <w:pPr>
              <w:spacing w:after="0" w:line="240" w:lineRule="auto"/>
              <w:ind w:left="360" w:hanging="360"/>
            </w:pPr>
            <w:r>
              <w:t>l</w:t>
            </w:r>
            <w:r w:rsidRPr="00BD7BA2">
              <w:t>)</w:t>
            </w:r>
          </w:p>
        </w:tc>
        <w:tc>
          <w:tcPr>
            <w:tcW w:w="7020" w:type="dxa"/>
          </w:tcPr>
          <w:p w:rsidR="008531BF" w:rsidRPr="00BD7BA2" w:rsidRDefault="008531BF" w:rsidP="008531BF">
            <w:pPr>
              <w:spacing w:after="0" w:line="240" w:lineRule="auto"/>
              <w:ind w:left="360" w:hanging="360"/>
            </w:pPr>
            <w:r w:rsidRPr="00BD7BA2">
              <w:t>+</w:t>
            </w:r>
            <w:r w:rsidRPr="00BD7BA2">
              <w:tab/>
              <w:t xml:space="preserve">A Közszolgáltató saját, hulladékgyűjtési közszolgáltatói feladatok ellátásához </w:t>
            </w:r>
            <w:proofErr w:type="gramStart"/>
            <w:r w:rsidRPr="00BD7BA2">
              <w:t>szükséges  eszközeinek</w:t>
            </w:r>
            <w:proofErr w:type="gramEnd"/>
            <w:r w:rsidRPr="00BD7BA2">
              <w:t xml:space="preserve"> pótlási díjhányada </w:t>
            </w:r>
          </w:p>
        </w:tc>
        <w:tc>
          <w:tcPr>
            <w:tcW w:w="1980" w:type="dxa"/>
          </w:tcPr>
          <w:p w:rsidR="008531BF" w:rsidRPr="00BD7BA2" w:rsidRDefault="008531BF" w:rsidP="008531BF">
            <w:pPr>
              <w:spacing w:after="0" w:line="240" w:lineRule="auto"/>
              <w:jc w:val="center"/>
            </w:pPr>
          </w:p>
        </w:tc>
      </w:tr>
      <w:tr w:rsidR="008531BF" w:rsidRPr="00BD7BA2" w:rsidTr="008531BF">
        <w:tc>
          <w:tcPr>
            <w:tcW w:w="648" w:type="dxa"/>
          </w:tcPr>
          <w:p w:rsidR="008531BF" w:rsidRPr="00BD7BA2" w:rsidRDefault="008531BF" w:rsidP="008531BF">
            <w:pPr>
              <w:spacing w:after="0" w:line="240" w:lineRule="auto"/>
              <w:ind w:left="360" w:hanging="360"/>
            </w:pPr>
            <w:r>
              <w:t>m</w:t>
            </w:r>
            <w:r w:rsidRPr="00BD7BA2">
              <w:t>)</w:t>
            </w:r>
          </w:p>
        </w:tc>
        <w:tc>
          <w:tcPr>
            <w:tcW w:w="7020" w:type="dxa"/>
          </w:tcPr>
          <w:p w:rsidR="008531BF" w:rsidRPr="00BD7BA2" w:rsidRDefault="008531BF" w:rsidP="008531BF">
            <w:pPr>
              <w:spacing w:after="0" w:line="240" w:lineRule="auto"/>
              <w:ind w:left="360" w:hanging="360"/>
            </w:pPr>
            <w:r w:rsidRPr="00BD7BA2">
              <w:t>-</w:t>
            </w:r>
            <w:r w:rsidRPr="00BD7BA2">
              <w:tab/>
              <w:t>A közszolgáltatás keretében beszedett ipari, intézményi díjbevétel</w:t>
            </w:r>
          </w:p>
        </w:tc>
        <w:tc>
          <w:tcPr>
            <w:tcW w:w="1980" w:type="dxa"/>
          </w:tcPr>
          <w:p w:rsidR="008531BF" w:rsidRPr="00BD7BA2" w:rsidRDefault="008531BF" w:rsidP="008531BF">
            <w:pPr>
              <w:spacing w:after="0" w:line="240" w:lineRule="auto"/>
              <w:jc w:val="center"/>
            </w:pPr>
          </w:p>
        </w:tc>
      </w:tr>
      <w:tr w:rsidR="008531BF" w:rsidRPr="00BD7BA2" w:rsidTr="008531BF">
        <w:tc>
          <w:tcPr>
            <w:tcW w:w="648" w:type="dxa"/>
          </w:tcPr>
          <w:p w:rsidR="008531BF" w:rsidRPr="00BD7BA2" w:rsidRDefault="004118C5" w:rsidP="008531BF">
            <w:pPr>
              <w:spacing w:after="0" w:line="240" w:lineRule="auto"/>
              <w:ind w:left="360" w:hanging="360"/>
            </w:pPr>
            <w:r>
              <w:t>n)</w:t>
            </w:r>
          </w:p>
        </w:tc>
        <w:tc>
          <w:tcPr>
            <w:tcW w:w="7020" w:type="dxa"/>
          </w:tcPr>
          <w:p w:rsidR="008531BF" w:rsidRPr="00BD7BA2" w:rsidRDefault="004118C5" w:rsidP="008531BF">
            <w:pPr>
              <w:spacing w:after="0" w:line="240" w:lineRule="auto"/>
              <w:ind w:left="360" w:hanging="360"/>
            </w:pPr>
            <w:r>
              <w:t>+     Számlázás, díjbeszedés költsége</w:t>
            </w:r>
          </w:p>
        </w:tc>
        <w:tc>
          <w:tcPr>
            <w:tcW w:w="1980" w:type="dxa"/>
          </w:tcPr>
          <w:p w:rsidR="008531BF" w:rsidRPr="00BD7BA2" w:rsidRDefault="008531BF" w:rsidP="008531BF">
            <w:pPr>
              <w:spacing w:after="0" w:line="240" w:lineRule="auto"/>
              <w:jc w:val="center"/>
            </w:pPr>
          </w:p>
        </w:tc>
      </w:tr>
      <w:tr w:rsidR="004118C5" w:rsidRPr="00BD7BA2" w:rsidTr="00DC4B80">
        <w:tc>
          <w:tcPr>
            <w:tcW w:w="648" w:type="dxa"/>
          </w:tcPr>
          <w:p w:rsidR="004118C5" w:rsidRPr="00BD7BA2" w:rsidRDefault="004118C5" w:rsidP="004118C5">
            <w:pPr>
              <w:spacing w:after="0" w:line="240" w:lineRule="auto"/>
              <w:ind w:left="360" w:hanging="360"/>
            </w:pPr>
            <w:r>
              <w:t>o</w:t>
            </w:r>
            <w:r w:rsidRPr="00BD7BA2">
              <w:t>)</w:t>
            </w:r>
          </w:p>
        </w:tc>
        <w:tc>
          <w:tcPr>
            <w:tcW w:w="7020" w:type="dxa"/>
          </w:tcPr>
          <w:p w:rsidR="004118C5" w:rsidRPr="00BD7BA2" w:rsidRDefault="004118C5" w:rsidP="004118C5">
            <w:pPr>
              <w:spacing w:after="0" w:line="240" w:lineRule="auto"/>
              <w:ind w:left="360" w:hanging="360"/>
            </w:pPr>
            <w:r w:rsidRPr="00BD7BA2">
              <w:t xml:space="preserve">+ </w:t>
            </w:r>
            <w:r w:rsidRPr="00BD7BA2">
              <w:tab/>
              <w:t>A Közszolgáltató elismert profitja</w:t>
            </w:r>
          </w:p>
        </w:tc>
        <w:tc>
          <w:tcPr>
            <w:tcW w:w="1980" w:type="dxa"/>
          </w:tcPr>
          <w:p w:rsidR="004118C5" w:rsidRPr="00BD7BA2" w:rsidRDefault="004118C5" w:rsidP="00DC4B80">
            <w:pPr>
              <w:spacing w:after="0" w:line="240" w:lineRule="auto"/>
              <w:jc w:val="center"/>
              <w:rPr>
                <w:b/>
                <w:bCs/>
              </w:rPr>
            </w:pPr>
          </w:p>
        </w:tc>
      </w:tr>
      <w:tr w:rsidR="004118C5" w:rsidRPr="00BD7BA2" w:rsidTr="00DC4B80">
        <w:tc>
          <w:tcPr>
            <w:tcW w:w="648" w:type="dxa"/>
          </w:tcPr>
          <w:p w:rsidR="004118C5" w:rsidRPr="00BD7BA2" w:rsidRDefault="004118C5" w:rsidP="00DC4B80">
            <w:pPr>
              <w:spacing w:after="0" w:line="240" w:lineRule="auto"/>
              <w:ind w:left="360" w:hanging="360"/>
              <w:rPr>
                <w:b/>
                <w:bCs/>
              </w:rPr>
            </w:pPr>
            <w:r>
              <w:t>p</w:t>
            </w:r>
            <w:r w:rsidRPr="00BD7BA2">
              <w:t>)</w:t>
            </w:r>
            <w:r w:rsidRPr="00BD7BA2">
              <w:rPr>
                <w:b/>
                <w:bCs/>
              </w:rPr>
              <w:t xml:space="preserve"> </w:t>
            </w:r>
          </w:p>
        </w:tc>
        <w:tc>
          <w:tcPr>
            <w:tcW w:w="7020" w:type="dxa"/>
          </w:tcPr>
          <w:p w:rsidR="004118C5" w:rsidRPr="00BD7BA2" w:rsidRDefault="004118C5" w:rsidP="00DC4B80">
            <w:pPr>
              <w:spacing w:after="0" w:line="240" w:lineRule="auto"/>
              <w:jc w:val="center"/>
              <w:rPr>
                <w:b/>
                <w:bCs/>
              </w:rPr>
            </w:pPr>
            <w:r w:rsidRPr="00BD7BA2">
              <w:rPr>
                <w:b/>
                <w:bCs/>
              </w:rPr>
              <w:t>Összesen (</w:t>
            </w:r>
            <w:r>
              <w:rPr>
                <w:b/>
                <w:bCs/>
              </w:rPr>
              <w:t>(Ft) (j+k+l-m+n+o</w:t>
            </w:r>
            <w:r w:rsidRPr="00BD7BA2">
              <w:rPr>
                <w:b/>
                <w:bCs/>
              </w:rPr>
              <w:t>)</w:t>
            </w:r>
          </w:p>
        </w:tc>
        <w:tc>
          <w:tcPr>
            <w:tcW w:w="1980" w:type="dxa"/>
          </w:tcPr>
          <w:p w:rsidR="004118C5" w:rsidRPr="00BD7BA2" w:rsidRDefault="004118C5" w:rsidP="00DC4B80">
            <w:pPr>
              <w:spacing w:after="0" w:line="240" w:lineRule="auto"/>
              <w:jc w:val="center"/>
              <w:rPr>
                <w:b/>
                <w:bCs/>
              </w:rPr>
            </w:pPr>
          </w:p>
        </w:tc>
      </w:tr>
      <w:tr w:rsidR="004118C5" w:rsidRPr="00BD7BA2" w:rsidTr="00DC4B80">
        <w:tc>
          <w:tcPr>
            <w:tcW w:w="648" w:type="dxa"/>
            <w:shd w:val="clear" w:color="auto" w:fill="C0C0C0"/>
          </w:tcPr>
          <w:p w:rsidR="004118C5" w:rsidRPr="00BD7BA2" w:rsidRDefault="004118C5" w:rsidP="00DC4B80">
            <w:pPr>
              <w:spacing w:after="0" w:line="240" w:lineRule="auto"/>
              <w:ind w:left="360" w:hanging="360"/>
            </w:pPr>
            <w:r>
              <w:rPr>
                <w:b/>
                <w:bCs/>
              </w:rPr>
              <w:t>q</w:t>
            </w:r>
            <w:r w:rsidRPr="00BD7BA2">
              <w:rPr>
                <w:b/>
                <w:bCs/>
              </w:rPr>
              <w:t>)</w:t>
            </w:r>
          </w:p>
        </w:tc>
        <w:tc>
          <w:tcPr>
            <w:tcW w:w="7020" w:type="dxa"/>
            <w:shd w:val="clear" w:color="auto" w:fill="C0C0C0"/>
          </w:tcPr>
          <w:p w:rsidR="004118C5" w:rsidRPr="00BD7BA2" w:rsidRDefault="004118C5" w:rsidP="00DC4B80">
            <w:pPr>
              <w:spacing w:after="0" w:line="240" w:lineRule="auto"/>
            </w:pPr>
            <w:r w:rsidRPr="00BD7BA2">
              <w:rPr>
                <w:b/>
                <w:bCs/>
              </w:rPr>
              <w:t>Adott településen használt lakossági hulladékgyűjtő edények összesített térfogata (liter)</w:t>
            </w:r>
          </w:p>
        </w:tc>
        <w:tc>
          <w:tcPr>
            <w:tcW w:w="1980" w:type="dxa"/>
            <w:shd w:val="clear" w:color="auto" w:fill="C0C0C0"/>
          </w:tcPr>
          <w:p w:rsidR="004118C5" w:rsidRPr="00BD7BA2" w:rsidRDefault="004118C5" w:rsidP="00DC4B80">
            <w:pPr>
              <w:spacing w:after="0" w:line="240" w:lineRule="auto"/>
              <w:jc w:val="center"/>
            </w:pPr>
          </w:p>
        </w:tc>
      </w:tr>
      <w:tr w:rsidR="004118C5" w:rsidRPr="00BD7BA2" w:rsidTr="00DC4B80">
        <w:tc>
          <w:tcPr>
            <w:tcW w:w="648" w:type="dxa"/>
          </w:tcPr>
          <w:p w:rsidR="004118C5" w:rsidRPr="00BD7BA2" w:rsidRDefault="004118C5" w:rsidP="00DC4B80">
            <w:pPr>
              <w:spacing w:after="0" w:line="240" w:lineRule="auto"/>
              <w:ind w:left="360" w:hanging="360"/>
              <w:rPr>
                <w:b/>
                <w:bCs/>
              </w:rPr>
            </w:pPr>
            <w:r>
              <w:t>r</w:t>
            </w:r>
            <w:r w:rsidRPr="00BD7BA2">
              <w:t>)</w:t>
            </w:r>
            <w:r w:rsidRPr="00BD7BA2">
              <w:rPr>
                <w:b/>
                <w:bCs/>
              </w:rPr>
              <w:t xml:space="preserve"> </w:t>
            </w:r>
          </w:p>
        </w:tc>
        <w:tc>
          <w:tcPr>
            <w:tcW w:w="7020" w:type="dxa"/>
          </w:tcPr>
          <w:p w:rsidR="004118C5" w:rsidRPr="00BD7BA2" w:rsidRDefault="004118C5" w:rsidP="00DC4B80">
            <w:pPr>
              <w:spacing w:after="0" w:line="240" w:lineRule="auto"/>
              <w:jc w:val="center"/>
              <w:rPr>
                <w:b/>
                <w:bCs/>
              </w:rPr>
            </w:pPr>
            <w:r w:rsidRPr="00BD7BA2">
              <w:rPr>
                <w:b/>
                <w:bCs/>
              </w:rPr>
              <w:t>Lakossági szolgálta</w:t>
            </w:r>
            <w:r>
              <w:rPr>
                <w:b/>
                <w:bCs/>
              </w:rPr>
              <w:t xml:space="preserve">tási díj (ÁFA </w:t>
            </w:r>
            <w:proofErr w:type="spellStart"/>
            <w:r>
              <w:rPr>
                <w:b/>
                <w:bCs/>
              </w:rPr>
              <w:t>nélkü</w:t>
            </w:r>
            <w:proofErr w:type="spellEnd"/>
            <w:r>
              <w:rPr>
                <w:b/>
                <w:bCs/>
              </w:rPr>
              <w:t>) Ft/liter (p/q</w:t>
            </w:r>
            <w:r w:rsidRPr="00BD7BA2">
              <w:rPr>
                <w:b/>
                <w:bCs/>
              </w:rPr>
              <w:t>)</w:t>
            </w:r>
          </w:p>
        </w:tc>
        <w:tc>
          <w:tcPr>
            <w:tcW w:w="1980" w:type="dxa"/>
          </w:tcPr>
          <w:p w:rsidR="004118C5" w:rsidRPr="00BD7BA2" w:rsidRDefault="004118C5" w:rsidP="00DC4B80">
            <w:pPr>
              <w:spacing w:after="0" w:line="240" w:lineRule="auto"/>
              <w:jc w:val="center"/>
              <w:rPr>
                <w:b/>
                <w:bCs/>
              </w:rPr>
            </w:pPr>
          </w:p>
        </w:tc>
      </w:tr>
    </w:tbl>
    <w:p w:rsidR="008531BF" w:rsidRDefault="008531BF" w:rsidP="00DC4B80">
      <w:pPr>
        <w:pStyle w:val="Lista2"/>
        <w:ind w:left="0" w:firstLine="0"/>
        <w:jc w:val="both"/>
      </w:pPr>
    </w:p>
    <w:p w:rsidR="008531BF" w:rsidRDefault="008531BF">
      <w:pPr>
        <w:rPr>
          <w:rFonts w:ascii="Times New Roman" w:eastAsia="Times New Roman" w:hAnsi="Times New Roman" w:cs="Times New Roman"/>
          <w:sz w:val="24"/>
          <w:szCs w:val="24"/>
          <w:lang w:eastAsia="hu-HU"/>
        </w:rPr>
      </w:pPr>
      <w:r>
        <w:br w:type="page"/>
      </w:r>
    </w:p>
    <w:p w:rsidR="00DC4B80" w:rsidRDefault="00DC4B80" w:rsidP="00DC4B80">
      <w:pPr>
        <w:pStyle w:val="Lista2"/>
        <w:ind w:left="0" w:firstLine="0"/>
        <w:jc w:val="both"/>
      </w:pPr>
      <w:r>
        <w:lastRenderedPageBreak/>
        <w:t>A díj meghatározása az III) pontban meghatározott esetben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7020"/>
        <w:gridCol w:w="1980"/>
      </w:tblGrid>
      <w:tr w:rsidR="00DC4B80" w:rsidRPr="00BD7BA2" w:rsidTr="00DC4B80">
        <w:tc>
          <w:tcPr>
            <w:tcW w:w="9648" w:type="dxa"/>
            <w:gridSpan w:val="3"/>
          </w:tcPr>
          <w:p w:rsidR="00DC4B80" w:rsidRPr="00BD7BA2" w:rsidRDefault="00DC4B80" w:rsidP="00DC4B80">
            <w:pPr>
              <w:spacing w:after="0" w:line="240" w:lineRule="auto"/>
              <w:jc w:val="center"/>
              <w:rPr>
                <w:b/>
                <w:bCs/>
              </w:rPr>
            </w:pPr>
            <w:r w:rsidRPr="00BD7BA2">
              <w:rPr>
                <w:b/>
                <w:bCs/>
              </w:rPr>
              <w:t xml:space="preserve">Kéttényezős </w:t>
            </w:r>
            <w:proofErr w:type="gramStart"/>
            <w:r w:rsidRPr="00BD7BA2">
              <w:rPr>
                <w:b/>
                <w:bCs/>
              </w:rPr>
              <w:t>díjszámítás …</w:t>
            </w:r>
            <w:proofErr w:type="gramEnd"/>
            <w:r w:rsidRPr="00BD7BA2">
              <w:rPr>
                <w:b/>
                <w:bCs/>
              </w:rPr>
              <w:t xml:space="preserve"> településre</w:t>
            </w:r>
            <w:r w:rsidRPr="00BD7BA2">
              <w:rPr>
                <w:rStyle w:val="Lbjegyzet-hivatkozs"/>
                <w:b/>
                <w:bCs/>
              </w:rPr>
              <w:footnoteReference w:id="4"/>
            </w:r>
          </w:p>
        </w:tc>
      </w:tr>
      <w:tr w:rsidR="00DC4B80" w:rsidRPr="00BD7BA2" w:rsidTr="00DC4B80">
        <w:tc>
          <w:tcPr>
            <w:tcW w:w="7668" w:type="dxa"/>
            <w:gridSpan w:val="2"/>
          </w:tcPr>
          <w:p w:rsidR="00DC4B80" w:rsidRPr="00BD7BA2" w:rsidRDefault="00DC4B80" w:rsidP="00DC4B80">
            <w:pPr>
              <w:spacing w:after="0" w:line="240" w:lineRule="auto"/>
              <w:jc w:val="center"/>
              <w:rPr>
                <w:b/>
                <w:bCs/>
              </w:rPr>
            </w:pPr>
            <w:r w:rsidRPr="00BD7BA2">
              <w:rPr>
                <w:b/>
                <w:bCs/>
              </w:rPr>
              <w:t>Az alapdíj számítása</w:t>
            </w:r>
          </w:p>
        </w:tc>
        <w:tc>
          <w:tcPr>
            <w:tcW w:w="1980" w:type="dxa"/>
          </w:tcPr>
          <w:p w:rsidR="00DC4B80" w:rsidRPr="00BD7BA2" w:rsidRDefault="00DC4B80" w:rsidP="00DC4B80">
            <w:pPr>
              <w:spacing w:after="0" w:line="240" w:lineRule="auto"/>
              <w:jc w:val="center"/>
              <w:rPr>
                <w:b/>
                <w:bCs/>
              </w:rPr>
            </w:pPr>
            <w:r w:rsidRPr="00BD7BA2">
              <w:rPr>
                <w:b/>
                <w:bCs/>
              </w:rPr>
              <w:t xml:space="preserve">Becsült </w:t>
            </w:r>
            <w:proofErr w:type="gramStart"/>
            <w:r w:rsidRPr="00BD7BA2">
              <w:rPr>
                <w:b/>
                <w:bCs/>
              </w:rPr>
              <w:t>költségek ….</w:t>
            </w:r>
            <w:proofErr w:type="gramEnd"/>
            <w:r w:rsidRPr="00BD7BA2">
              <w:rPr>
                <w:b/>
                <w:bCs/>
              </w:rPr>
              <w:t xml:space="preserve"> évre Forintban </w:t>
            </w:r>
          </w:p>
        </w:tc>
      </w:tr>
      <w:tr w:rsidR="00DC4B80" w:rsidRPr="00BD7BA2" w:rsidTr="00DC4B80">
        <w:tc>
          <w:tcPr>
            <w:tcW w:w="648" w:type="dxa"/>
            <w:shd w:val="clear" w:color="auto" w:fill="C0C0C0"/>
          </w:tcPr>
          <w:p w:rsidR="00DC4B80" w:rsidRPr="00BD7BA2" w:rsidRDefault="008531BF" w:rsidP="00DC4B80">
            <w:pPr>
              <w:spacing w:after="0" w:line="240" w:lineRule="auto"/>
              <w:ind w:left="360" w:hanging="360"/>
            </w:pPr>
            <w:r>
              <w:rPr>
                <w:b/>
                <w:bCs/>
              </w:rPr>
              <w:t>i</w:t>
            </w:r>
            <w:r w:rsidR="00DC4B80" w:rsidRPr="00BD7BA2">
              <w:rPr>
                <w:b/>
                <w:bCs/>
              </w:rPr>
              <w:t>)</w:t>
            </w:r>
          </w:p>
        </w:tc>
        <w:tc>
          <w:tcPr>
            <w:tcW w:w="7020" w:type="dxa"/>
            <w:shd w:val="clear" w:color="auto" w:fill="C0C0C0"/>
          </w:tcPr>
          <w:p w:rsidR="00DC4B80" w:rsidRPr="00BD7BA2" w:rsidRDefault="00DC4B80" w:rsidP="008531BF">
            <w:pPr>
              <w:spacing w:after="0" w:line="240" w:lineRule="auto"/>
              <w:ind w:left="360" w:hanging="360"/>
            </w:pPr>
            <w:r w:rsidRPr="00BD7BA2">
              <w:rPr>
                <w:b/>
                <w:bCs/>
              </w:rPr>
              <w:t>Vegyesen gyűjtött, ártalmatlanításra (lerakás) beszállított hulladék becsült mennyisége (tonna) az adott település vonatkozásában</w:t>
            </w:r>
          </w:p>
        </w:tc>
        <w:tc>
          <w:tcPr>
            <w:tcW w:w="1980" w:type="dxa"/>
            <w:shd w:val="clear" w:color="auto" w:fill="C0C0C0"/>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8531BF" w:rsidP="00DC4B80">
            <w:pPr>
              <w:spacing w:after="0" w:line="240" w:lineRule="auto"/>
              <w:ind w:left="360" w:hanging="360"/>
            </w:pPr>
            <w:r>
              <w:t>j</w:t>
            </w:r>
            <w:r w:rsidR="00DC4B80" w:rsidRPr="00BD7BA2">
              <w:t>)</w:t>
            </w:r>
          </w:p>
        </w:tc>
        <w:tc>
          <w:tcPr>
            <w:tcW w:w="7020" w:type="dxa"/>
          </w:tcPr>
          <w:p w:rsidR="00DC4B80" w:rsidRPr="00BD7BA2" w:rsidRDefault="00DC4B80" w:rsidP="004118C5">
            <w:pPr>
              <w:spacing w:after="0" w:line="240" w:lineRule="auto"/>
              <w:ind w:left="360" w:hanging="360"/>
            </w:pPr>
            <w:r w:rsidRPr="00BD7BA2">
              <w:t xml:space="preserve">+ </w:t>
            </w:r>
            <w:r w:rsidRPr="00BD7BA2">
              <w:tab/>
            </w:r>
            <w:r w:rsidR="004118C5">
              <w:t>Szelektív kezelés költsége a hulladékkezelési</w:t>
            </w:r>
            <w:r w:rsidRPr="00BD7BA2">
              <w:t xml:space="preserve"> alapdíj</w:t>
            </w:r>
            <w:r w:rsidR="004118C5">
              <w:t>ban</w:t>
            </w:r>
            <w:r w:rsidRPr="00BD7BA2">
              <w:t xml:space="preserve"> </w:t>
            </w:r>
            <w:r w:rsidRPr="00BD7BA2">
              <w:rPr>
                <w:b/>
                <w:bCs/>
              </w:rPr>
              <w:t>(</w:t>
            </w:r>
            <w:r w:rsidR="004118C5">
              <w:rPr>
                <w:b/>
                <w:bCs/>
              </w:rPr>
              <w:t>h</w:t>
            </w:r>
            <w:r w:rsidRPr="00BD7BA2">
              <w:rPr>
                <w:b/>
                <w:bCs/>
              </w:rPr>
              <w:t>*</w:t>
            </w:r>
            <w:r w:rsidR="004118C5">
              <w:rPr>
                <w:b/>
                <w:bCs/>
              </w:rPr>
              <w:t>i</w:t>
            </w:r>
            <w:r w:rsidRPr="00BD7BA2">
              <w:rPr>
                <w:b/>
                <w:bCs/>
              </w:rPr>
              <w:t>)</w:t>
            </w:r>
          </w:p>
        </w:tc>
        <w:tc>
          <w:tcPr>
            <w:tcW w:w="198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4118C5" w:rsidP="00DC4B80">
            <w:pPr>
              <w:spacing w:after="0" w:line="240" w:lineRule="auto"/>
              <w:ind w:left="360" w:hanging="360"/>
            </w:pPr>
            <w:r>
              <w:t>k</w:t>
            </w:r>
            <w:r w:rsidR="00DC4B80" w:rsidRPr="00BD7BA2">
              <w:t>)</w:t>
            </w:r>
          </w:p>
        </w:tc>
        <w:tc>
          <w:tcPr>
            <w:tcW w:w="7020" w:type="dxa"/>
          </w:tcPr>
          <w:p w:rsidR="00DC4B80" w:rsidRPr="00BD7BA2" w:rsidRDefault="00DC4B80" w:rsidP="00DC4B80">
            <w:pPr>
              <w:spacing w:after="0" w:line="240" w:lineRule="auto"/>
              <w:ind w:left="360" w:hanging="360"/>
            </w:pPr>
            <w:r w:rsidRPr="00BD7BA2">
              <w:t>+</w:t>
            </w:r>
            <w:r w:rsidRPr="00BD7BA2">
              <w:tab/>
              <w:t>Számlázás és díjbeszedés költsége</w:t>
            </w:r>
          </w:p>
        </w:tc>
        <w:tc>
          <w:tcPr>
            <w:tcW w:w="198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4118C5" w:rsidP="00DC4B80">
            <w:pPr>
              <w:spacing w:after="0" w:line="240" w:lineRule="auto"/>
              <w:ind w:left="360" w:hanging="360"/>
            </w:pPr>
            <w:r>
              <w:t>l</w:t>
            </w:r>
            <w:r w:rsidR="00DC4B80" w:rsidRPr="00BD7BA2">
              <w:t>)</w:t>
            </w:r>
          </w:p>
        </w:tc>
        <w:tc>
          <w:tcPr>
            <w:tcW w:w="7020" w:type="dxa"/>
          </w:tcPr>
          <w:p w:rsidR="00DC4B80" w:rsidRPr="00BD7BA2" w:rsidRDefault="00DC4B80" w:rsidP="004118C5">
            <w:pPr>
              <w:spacing w:after="0" w:line="240" w:lineRule="auto"/>
              <w:ind w:left="360" w:hanging="360"/>
            </w:pPr>
            <w:r w:rsidRPr="00BD7BA2">
              <w:t>+</w:t>
            </w:r>
            <w:r w:rsidRPr="00BD7BA2">
              <w:tab/>
              <w:t xml:space="preserve">A Közszolgáltató saját, hulladékgyűjtési közszolgáltatói feladatok ellátásához </w:t>
            </w:r>
            <w:proofErr w:type="gramStart"/>
            <w:r w:rsidRPr="00BD7BA2">
              <w:t>szükséges  eszközeinek</w:t>
            </w:r>
            <w:proofErr w:type="gramEnd"/>
            <w:r w:rsidRPr="00BD7BA2">
              <w:t xml:space="preserve"> pótlási díjhányada </w:t>
            </w:r>
          </w:p>
        </w:tc>
        <w:tc>
          <w:tcPr>
            <w:tcW w:w="198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4118C5" w:rsidP="00DC4B80">
            <w:pPr>
              <w:spacing w:after="0" w:line="240" w:lineRule="auto"/>
              <w:ind w:left="360" w:hanging="360"/>
              <w:rPr>
                <w:b/>
                <w:bCs/>
              </w:rPr>
            </w:pPr>
            <w:r>
              <w:t>m</w:t>
            </w:r>
            <w:r w:rsidR="00DC4B80" w:rsidRPr="00BD7BA2">
              <w:t>)</w:t>
            </w:r>
            <w:r w:rsidR="00DC4B80" w:rsidRPr="00BD7BA2">
              <w:rPr>
                <w:b/>
                <w:bCs/>
              </w:rPr>
              <w:t xml:space="preserve"> </w:t>
            </w:r>
          </w:p>
        </w:tc>
        <w:tc>
          <w:tcPr>
            <w:tcW w:w="7020" w:type="dxa"/>
          </w:tcPr>
          <w:p w:rsidR="00DC4B80" w:rsidRPr="00BD7BA2" w:rsidRDefault="00DC4B80" w:rsidP="004118C5">
            <w:pPr>
              <w:spacing w:after="0" w:line="240" w:lineRule="auto"/>
              <w:jc w:val="center"/>
              <w:rPr>
                <w:b/>
                <w:bCs/>
              </w:rPr>
            </w:pPr>
            <w:r w:rsidRPr="00BD7BA2">
              <w:rPr>
                <w:b/>
                <w:bCs/>
              </w:rPr>
              <w:t>Összesen (Ft) (</w:t>
            </w:r>
            <w:r w:rsidR="004118C5">
              <w:rPr>
                <w:b/>
                <w:bCs/>
              </w:rPr>
              <w:t>j+k+l</w:t>
            </w:r>
            <w:r w:rsidRPr="00BD7BA2">
              <w:rPr>
                <w:b/>
                <w:bCs/>
              </w:rPr>
              <w:t>)</w:t>
            </w:r>
          </w:p>
        </w:tc>
        <w:tc>
          <w:tcPr>
            <w:tcW w:w="1980" w:type="dxa"/>
          </w:tcPr>
          <w:p w:rsidR="00DC4B80" w:rsidRPr="00BD7BA2" w:rsidRDefault="00DC4B80" w:rsidP="00DC4B80">
            <w:pPr>
              <w:spacing w:after="0" w:line="240" w:lineRule="auto"/>
              <w:jc w:val="center"/>
              <w:rPr>
                <w:b/>
                <w:bCs/>
              </w:rPr>
            </w:pPr>
          </w:p>
        </w:tc>
      </w:tr>
      <w:tr w:rsidR="00DC4B80" w:rsidRPr="00BD7BA2" w:rsidTr="00DC4B80">
        <w:tc>
          <w:tcPr>
            <w:tcW w:w="648" w:type="dxa"/>
            <w:shd w:val="clear" w:color="auto" w:fill="C0C0C0"/>
          </w:tcPr>
          <w:p w:rsidR="00DC4B80" w:rsidRPr="00BD7BA2" w:rsidRDefault="004118C5" w:rsidP="00DC4B80">
            <w:pPr>
              <w:spacing w:after="0" w:line="240" w:lineRule="auto"/>
              <w:ind w:left="360" w:hanging="360"/>
            </w:pPr>
            <w:r>
              <w:rPr>
                <w:b/>
                <w:bCs/>
              </w:rPr>
              <w:t>n</w:t>
            </w:r>
            <w:r w:rsidR="00DC4B80" w:rsidRPr="00BD7BA2">
              <w:rPr>
                <w:b/>
                <w:bCs/>
              </w:rPr>
              <w:t>)</w:t>
            </w:r>
          </w:p>
        </w:tc>
        <w:tc>
          <w:tcPr>
            <w:tcW w:w="7020" w:type="dxa"/>
            <w:shd w:val="clear" w:color="auto" w:fill="C0C0C0"/>
          </w:tcPr>
          <w:p w:rsidR="00DC4B80" w:rsidRPr="00BD7BA2" w:rsidRDefault="00DC4B80" w:rsidP="00DC4B80">
            <w:pPr>
              <w:spacing w:after="0" w:line="240" w:lineRule="auto"/>
            </w:pPr>
            <w:r w:rsidRPr="00BD7BA2">
              <w:rPr>
                <w:b/>
                <w:bCs/>
              </w:rPr>
              <w:t>Adott településen a hulladékkezelési közszolgáltatásba bevont lakossági ingatlanok száma (db)</w:t>
            </w:r>
          </w:p>
        </w:tc>
        <w:tc>
          <w:tcPr>
            <w:tcW w:w="1980" w:type="dxa"/>
            <w:shd w:val="clear" w:color="auto" w:fill="C0C0C0"/>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4118C5" w:rsidP="00DC4B80">
            <w:pPr>
              <w:spacing w:after="0" w:line="240" w:lineRule="auto"/>
              <w:ind w:left="360" w:hanging="360"/>
              <w:rPr>
                <w:b/>
                <w:bCs/>
              </w:rPr>
            </w:pPr>
            <w:r>
              <w:t>o</w:t>
            </w:r>
            <w:r w:rsidR="00DC4B80" w:rsidRPr="00BD7BA2">
              <w:t>)</w:t>
            </w:r>
            <w:r w:rsidR="00DC4B80" w:rsidRPr="00BD7BA2">
              <w:rPr>
                <w:b/>
                <w:bCs/>
              </w:rPr>
              <w:t xml:space="preserve"> </w:t>
            </w:r>
          </w:p>
        </w:tc>
        <w:tc>
          <w:tcPr>
            <w:tcW w:w="7020" w:type="dxa"/>
          </w:tcPr>
          <w:p w:rsidR="00DC4B80" w:rsidRPr="00BD7BA2" w:rsidRDefault="00DC4B80" w:rsidP="004118C5">
            <w:pPr>
              <w:spacing w:after="0" w:line="240" w:lineRule="auto"/>
              <w:jc w:val="center"/>
              <w:rPr>
                <w:b/>
                <w:bCs/>
              </w:rPr>
            </w:pPr>
            <w:r w:rsidRPr="00BD7BA2">
              <w:rPr>
                <w:b/>
                <w:bCs/>
              </w:rPr>
              <w:t>Szolgáltatási alapdíj (ÁFA nélkül) Ft/ingatlan (</w:t>
            </w:r>
            <w:r w:rsidR="004118C5">
              <w:rPr>
                <w:b/>
                <w:bCs/>
              </w:rPr>
              <w:t>m</w:t>
            </w:r>
            <w:r w:rsidRPr="00BD7BA2">
              <w:rPr>
                <w:b/>
                <w:bCs/>
              </w:rPr>
              <w:t>/</w:t>
            </w:r>
            <w:r w:rsidR="004118C5">
              <w:rPr>
                <w:b/>
                <w:bCs/>
              </w:rPr>
              <w:t>n</w:t>
            </w:r>
            <w:r w:rsidRPr="00BD7BA2">
              <w:rPr>
                <w:b/>
                <w:bCs/>
              </w:rPr>
              <w:t>)</w:t>
            </w:r>
          </w:p>
        </w:tc>
        <w:tc>
          <w:tcPr>
            <w:tcW w:w="1980" w:type="dxa"/>
          </w:tcPr>
          <w:p w:rsidR="00DC4B80" w:rsidRPr="00BD7BA2" w:rsidRDefault="00DC4B80" w:rsidP="00DC4B80">
            <w:pPr>
              <w:spacing w:after="0" w:line="240" w:lineRule="auto"/>
              <w:jc w:val="center"/>
              <w:rPr>
                <w:b/>
                <w:bCs/>
              </w:rPr>
            </w:pPr>
          </w:p>
        </w:tc>
      </w:tr>
    </w:tbl>
    <w:p w:rsidR="00DC4B80" w:rsidRDefault="00DC4B80" w:rsidP="00DC4B80">
      <w:pPr>
        <w:spacing w:line="240" w:lineRule="auto"/>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7020"/>
        <w:gridCol w:w="1980"/>
      </w:tblGrid>
      <w:tr w:rsidR="00DC4B80" w:rsidRPr="00BD7BA2" w:rsidTr="00DC4B80">
        <w:tc>
          <w:tcPr>
            <w:tcW w:w="7668" w:type="dxa"/>
            <w:gridSpan w:val="2"/>
          </w:tcPr>
          <w:p w:rsidR="00DC4B80" w:rsidRPr="00BD7BA2" w:rsidRDefault="00DC4B80" w:rsidP="00DC4B80">
            <w:pPr>
              <w:spacing w:after="0" w:line="240" w:lineRule="auto"/>
              <w:jc w:val="center"/>
              <w:rPr>
                <w:b/>
                <w:bCs/>
              </w:rPr>
            </w:pPr>
            <w:r w:rsidRPr="00BD7BA2">
              <w:rPr>
                <w:b/>
                <w:bCs/>
              </w:rPr>
              <w:t>A literre vetített egységnyi díjtétel számítása</w:t>
            </w:r>
          </w:p>
        </w:tc>
        <w:tc>
          <w:tcPr>
            <w:tcW w:w="1980" w:type="dxa"/>
          </w:tcPr>
          <w:p w:rsidR="00DC4B80" w:rsidRPr="00BD7BA2" w:rsidRDefault="00DC4B80" w:rsidP="00DC4B80">
            <w:pPr>
              <w:spacing w:after="0" w:line="240" w:lineRule="auto"/>
              <w:jc w:val="center"/>
              <w:rPr>
                <w:b/>
                <w:bCs/>
              </w:rPr>
            </w:pPr>
            <w:r w:rsidRPr="00BD7BA2">
              <w:rPr>
                <w:b/>
                <w:bCs/>
              </w:rPr>
              <w:t xml:space="preserve">Becsült </w:t>
            </w:r>
            <w:proofErr w:type="gramStart"/>
            <w:r w:rsidRPr="00BD7BA2">
              <w:rPr>
                <w:b/>
                <w:bCs/>
              </w:rPr>
              <w:t>költségek ….</w:t>
            </w:r>
            <w:proofErr w:type="gramEnd"/>
            <w:r w:rsidRPr="00BD7BA2">
              <w:rPr>
                <w:b/>
                <w:bCs/>
              </w:rPr>
              <w:t xml:space="preserve"> évre Forintban </w:t>
            </w:r>
          </w:p>
        </w:tc>
      </w:tr>
      <w:tr w:rsidR="00DC4B80" w:rsidRPr="00BD7BA2" w:rsidTr="00DC4B80">
        <w:tc>
          <w:tcPr>
            <w:tcW w:w="648" w:type="dxa"/>
          </w:tcPr>
          <w:p w:rsidR="00DC4B80" w:rsidRPr="00BD7BA2" w:rsidRDefault="004118C5" w:rsidP="00DC4B80">
            <w:pPr>
              <w:spacing w:after="0" w:line="240" w:lineRule="auto"/>
              <w:ind w:left="360" w:hanging="360"/>
            </w:pPr>
            <w:r>
              <w:t>p</w:t>
            </w:r>
            <w:r w:rsidR="00DC4B80" w:rsidRPr="00BD7BA2">
              <w:t>)</w:t>
            </w:r>
          </w:p>
        </w:tc>
        <w:tc>
          <w:tcPr>
            <w:tcW w:w="7020" w:type="dxa"/>
          </w:tcPr>
          <w:p w:rsidR="00DC4B80" w:rsidRPr="00BD7BA2" w:rsidRDefault="00DC4B80" w:rsidP="00DC4B80">
            <w:pPr>
              <w:spacing w:after="0" w:line="240" w:lineRule="auto"/>
              <w:ind w:left="360" w:hanging="360"/>
            </w:pPr>
            <w:r w:rsidRPr="00BD7BA2">
              <w:t xml:space="preserve">+ </w:t>
            </w:r>
            <w:r w:rsidRPr="00BD7BA2">
              <w:tab/>
              <w:t xml:space="preserve">A </w:t>
            </w:r>
            <w:r w:rsidR="004118C5">
              <w:t xml:space="preserve">szelektív kezelés </w:t>
            </w:r>
            <w:r w:rsidRPr="00BD7BA2">
              <w:t xml:space="preserve">hulladékkezelési </w:t>
            </w:r>
            <w:r w:rsidR="004118C5">
              <w:t xml:space="preserve">a </w:t>
            </w:r>
            <w:r w:rsidRPr="00BD7BA2">
              <w:t>változódíj</w:t>
            </w:r>
            <w:r w:rsidR="004118C5">
              <w:t>ban</w:t>
            </w:r>
            <w:r w:rsidRPr="00BD7BA2">
              <w:t xml:space="preserve"> </w:t>
            </w:r>
            <w:r w:rsidR="004118C5">
              <w:rPr>
                <w:b/>
                <w:bCs/>
              </w:rPr>
              <w:t>((g-h)*i</w:t>
            </w:r>
            <w:r w:rsidRPr="00BD7BA2">
              <w:rPr>
                <w:b/>
                <w:bCs/>
              </w:rPr>
              <w:t>)</w:t>
            </w:r>
          </w:p>
        </w:tc>
        <w:tc>
          <w:tcPr>
            <w:tcW w:w="198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4118C5" w:rsidP="00DC4B80">
            <w:pPr>
              <w:spacing w:after="0" w:line="240" w:lineRule="auto"/>
              <w:ind w:left="360" w:hanging="360"/>
            </w:pPr>
            <w:r>
              <w:t>r</w:t>
            </w:r>
            <w:r w:rsidR="00DC4B80" w:rsidRPr="00BD7BA2">
              <w:t>)</w:t>
            </w:r>
          </w:p>
        </w:tc>
        <w:tc>
          <w:tcPr>
            <w:tcW w:w="7020" w:type="dxa"/>
          </w:tcPr>
          <w:p w:rsidR="00DC4B80" w:rsidRPr="00BD7BA2" w:rsidRDefault="00DC4B80" w:rsidP="004118C5">
            <w:pPr>
              <w:spacing w:after="0" w:line="240" w:lineRule="auto"/>
              <w:ind w:left="360" w:hanging="360"/>
            </w:pPr>
            <w:r w:rsidRPr="00BD7BA2">
              <w:t xml:space="preserve">+ </w:t>
            </w:r>
            <w:r w:rsidRPr="00BD7BA2">
              <w:tab/>
              <w:t xml:space="preserve">a Közszolgáltató saját, </w:t>
            </w:r>
            <w:proofErr w:type="gramStart"/>
            <w:r w:rsidRPr="00BD7BA2">
              <w:t xml:space="preserve">hulladékgyűjtési </w:t>
            </w:r>
            <w:r w:rsidR="004118C5">
              <w:t>,</w:t>
            </w:r>
            <w:proofErr w:type="gramEnd"/>
            <w:r w:rsidR="004118C5">
              <w:t xml:space="preserve"> ártalmatlanítási </w:t>
            </w:r>
            <w:r w:rsidRPr="00BD7BA2">
              <w:t>közszolgáltatói feladatok ellátásához szükséges  eszközeinek üzemeltetési költsége</w:t>
            </w:r>
          </w:p>
        </w:tc>
        <w:tc>
          <w:tcPr>
            <w:tcW w:w="198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4118C5" w:rsidP="00DC4B80">
            <w:pPr>
              <w:spacing w:after="0" w:line="240" w:lineRule="auto"/>
              <w:ind w:left="360" w:hanging="360"/>
            </w:pPr>
            <w:r>
              <w:t>s</w:t>
            </w:r>
            <w:r w:rsidR="00DC4B80" w:rsidRPr="00BD7BA2">
              <w:t>)</w:t>
            </w:r>
          </w:p>
        </w:tc>
        <w:tc>
          <w:tcPr>
            <w:tcW w:w="7020" w:type="dxa"/>
          </w:tcPr>
          <w:p w:rsidR="00DC4B80" w:rsidRPr="00BD7BA2" w:rsidRDefault="00DC4B80" w:rsidP="00DC4B80">
            <w:pPr>
              <w:spacing w:after="0" w:line="240" w:lineRule="auto"/>
              <w:ind w:left="360" w:hanging="360"/>
            </w:pPr>
            <w:r w:rsidRPr="00BD7BA2">
              <w:t>-</w:t>
            </w:r>
            <w:r w:rsidRPr="00BD7BA2">
              <w:tab/>
              <w:t>A közszolgáltatás keretében beszedett ipari, intézményi díjbevétel</w:t>
            </w:r>
          </w:p>
        </w:tc>
        <w:tc>
          <w:tcPr>
            <w:tcW w:w="198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4118C5" w:rsidP="00DC4B80">
            <w:pPr>
              <w:spacing w:after="0" w:line="240" w:lineRule="auto"/>
              <w:ind w:left="360" w:hanging="360"/>
            </w:pPr>
            <w:r>
              <w:t>t</w:t>
            </w:r>
            <w:r w:rsidR="00DC4B80" w:rsidRPr="00BD7BA2">
              <w:t>)</w:t>
            </w:r>
          </w:p>
        </w:tc>
        <w:tc>
          <w:tcPr>
            <w:tcW w:w="7020" w:type="dxa"/>
          </w:tcPr>
          <w:p w:rsidR="00DC4B80" w:rsidRPr="00BD7BA2" w:rsidRDefault="00DC4B80" w:rsidP="00DC4B80">
            <w:pPr>
              <w:spacing w:after="0" w:line="240" w:lineRule="auto"/>
              <w:ind w:left="360" w:hanging="360"/>
            </w:pPr>
            <w:r w:rsidRPr="00BD7BA2">
              <w:t xml:space="preserve">+ </w:t>
            </w:r>
            <w:r w:rsidRPr="00BD7BA2">
              <w:tab/>
              <w:t>A Közszolgáltató elismert profitja</w:t>
            </w:r>
          </w:p>
        </w:tc>
        <w:tc>
          <w:tcPr>
            <w:tcW w:w="1980" w:type="dxa"/>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4118C5" w:rsidP="00DC4B80">
            <w:pPr>
              <w:spacing w:after="0" w:line="240" w:lineRule="auto"/>
              <w:ind w:left="360" w:hanging="360"/>
              <w:rPr>
                <w:b/>
                <w:bCs/>
              </w:rPr>
            </w:pPr>
            <w:r>
              <w:t>u</w:t>
            </w:r>
            <w:r w:rsidR="00DC4B80" w:rsidRPr="00BD7BA2">
              <w:t>)</w:t>
            </w:r>
            <w:r w:rsidR="00DC4B80" w:rsidRPr="00BD7BA2">
              <w:rPr>
                <w:b/>
                <w:bCs/>
              </w:rPr>
              <w:t xml:space="preserve"> </w:t>
            </w:r>
          </w:p>
        </w:tc>
        <w:tc>
          <w:tcPr>
            <w:tcW w:w="7020" w:type="dxa"/>
          </w:tcPr>
          <w:p w:rsidR="00DC4B80" w:rsidRPr="00BD7BA2" w:rsidRDefault="00DC4B80" w:rsidP="004118C5">
            <w:pPr>
              <w:spacing w:after="0" w:line="240" w:lineRule="auto"/>
              <w:jc w:val="center"/>
              <w:rPr>
                <w:b/>
                <w:bCs/>
              </w:rPr>
            </w:pPr>
            <w:r w:rsidRPr="00BD7BA2">
              <w:rPr>
                <w:b/>
                <w:bCs/>
              </w:rPr>
              <w:t>Összesen (Ft) (</w:t>
            </w:r>
            <w:r w:rsidR="004118C5">
              <w:rPr>
                <w:b/>
                <w:bCs/>
              </w:rPr>
              <w:t>p+</w:t>
            </w:r>
            <w:proofErr w:type="spellStart"/>
            <w:r w:rsidR="004118C5">
              <w:rPr>
                <w:b/>
                <w:bCs/>
              </w:rPr>
              <w:t>r-s</w:t>
            </w:r>
            <w:proofErr w:type="spellEnd"/>
            <w:r w:rsidR="004118C5">
              <w:rPr>
                <w:b/>
                <w:bCs/>
              </w:rPr>
              <w:t>+t</w:t>
            </w:r>
            <w:r w:rsidRPr="00BD7BA2">
              <w:rPr>
                <w:b/>
                <w:bCs/>
              </w:rPr>
              <w:t>)</w:t>
            </w:r>
          </w:p>
        </w:tc>
        <w:tc>
          <w:tcPr>
            <w:tcW w:w="1980" w:type="dxa"/>
          </w:tcPr>
          <w:p w:rsidR="00DC4B80" w:rsidRPr="00BD7BA2" w:rsidRDefault="00DC4B80" w:rsidP="00DC4B80">
            <w:pPr>
              <w:spacing w:after="0" w:line="240" w:lineRule="auto"/>
              <w:jc w:val="center"/>
              <w:rPr>
                <w:b/>
                <w:bCs/>
              </w:rPr>
            </w:pPr>
          </w:p>
        </w:tc>
      </w:tr>
      <w:tr w:rsidR="00DC4B80" w:rsidRPr="00BD7BA2" w:rsidTr="00DC4B80">
        <w:tc>
          <w:tcPr>
            <w:tcW w:w="648" w:type="dxa"/>
            <w:shd w:val="clear" w:color="auto" w:fill="C0C0C0"/>
          </w:tcPr>
          <w:p w:rsidR="00DC4B80" w:rsidRPr="00BD7BA2" w:rsidRDefault="004118C5" w:rsidP="00DC4B80">
            <w:pPr>
              <w:spacing w:after="0" w:line="240" w:lineRule="auto"/>
              <w:ind w:left="360" w:hanging="360"/>
            </w:pPr>
            <w:r>
              <w:rPr>
                <w:b/>
                <w:bCs/>
              </w:rPr>
              <w:t>v</w:t>
            </w:r>
            <w:r w:rsidR="00DC4B80" w:rsidRPr="00BD7BA2">
              <w:rPr>
                <w:b/>
                <w:bCs/>
              </w:rPr>
              <w:t>)</w:t>
            </w:r>
          </w:p>
        </w:tc>
        <w:tc>
          <w:tcPr>
            <w:tcW w:w="7020" w:type="dxa"/>
            <w:shd w:val="clear" w:color="auto" w:fill="C0C0C0"/>
          </w:tcPr>
          <w:p w:rsidR="00DC4B80" w:rsidRPr="00BD7BA2" w:rsidRDefault="00DC4B80" w:rsidP="00DC4B80">
            <w:pPr>
              <w:spacing w:after="0" w:line="240" w:lineRule="auto"/>
            </w:pPr>
            <w:r w:rsidRPr="00BD7BA2">
              <w:rPr>
                <w:b/>
                <w:bCs/>
              </w:rPr>
              <w:t>Adott településen használt lakossági hulladékgyűjtő edények összesített térfogata (liter)</w:t>
            </w:r>
          </w:p>
        </w:tc>
        <w:tc>
          <w:tcPr>
            <w:tcW w:w="1980" w:type="dxa"/>
            <w:shd w:val="clear" w:color="auto" w:fill="C0C0C0"/>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4118C5" w:rsidP="00DC4B80">
            <w:pPr>
              <w:spacing w:after="0" w:line="240" w:lineRule="auto"/>
              <w:ind w:left="360" w:hanging="360"/>
              <w:rPr>
                <w:b/>
                <w:bCs/>
              </w:rPr>
            </w:pPr>
            <w:r>
              <w:t>w</w:t>
            </w:r>
            <w:r w:rsidR="00DC4B80" w:rsidRPr="00BD7BA2">
              <w:t>)</w:t>
            </w:r>
            <w:r w:rsidR="00DC4B80" w:rsidRPr="00BD7BA2">
              <w:rPr>
                <w:b/>
                <w:bCs/>
              </w:rPr>
              <w:t xml:space="preserve"> </w:t>
            </w:r>
          </w:p>
        </w:tc>
        <w:tc>
          <w:tcPr>
            <w:tcW w:w="7020" w:type="dxa"/>
          </w:tcPr>
          <w:p w:rsidR="00DC4B80" w:rsidRPr="00BD7BA2" w:rsidRDefault="00DC4B80" w:rsidP="00DC4B80">
            <w:pPr>
              <w:spacing w:after="0" w:line="240" w:lineRule="auto"/>
              <w:jc w:val="center"/>
              <w:rPr>
                <w:b/>
                <w:bCs/>
              </w:rPr>
            </w:pPr>
            <w:r w:rsidRPr="00BD7BA2">
              <w:rPr>
                <w:b/>
                <w:bCs/>
              </w:rPr>
              <w:t>Lakossági szolgáltatá</w:t>
            </w:r>
            <w:r w:rsidR="004118C5">
              <w:rPr>
                <w:b/>
                <w:bCs/>
              </w:rPr>
              <w:t>si díj (ÁFA nélkül) Ft/liter (u/v</w:t>
            </w:r>
            <w:r w:rsidRPr="00BD7BA2">
              <w:rPr>
                <w:b/>
                <w:bCs/>
              </w:rPr>
              <w:t>)</w:t>
            </w:r>
          </w:p>
        </w:tc>
        <w:tc>
          <w:tcPr>
            <w:tcW w:w="1980" w:type="dxa"/>
          </w:tcPr>
          <w:p w:rsidR="00DC4B80" w:rsidRPr="00BD7BA2" w:rsidRDefault="00DC4B80" w:rsidP="00DC4B80">
            <w:pPr>
              <w:spacing w:after="0" w:line="240" w:lineRule="auto"/>
              <w:jc w:val="center"/>
              <w:rPr>
                <w:b/>
                <w:bCs/>
              </w:rPr>
            </w:pPr>
          </w:p>
        </w:tc>
      </w:tr>
    </w:tbl>
    <w:p w:rsidR="00DC4B80" w:rsidRDefault="00DC4B80" w:rsidP="00DC4B80">
      <w:pPr>
        <w:spacing w:line="240" w:lineRule="auto"/>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7020"/>
        <w:gridCol w:w="1620"/>
      </w:tblGrid>
      <w:tr w:rsidR="00DC4B80" w:rsidRPr="00BD7BA2" w:rsidTr="00DC4B80">
        <w:tc>
          <w:tcPr>
            <w:tcW w:w="648" w:type="dxa"/>
            <w:shd w:val="clear" w:color="auto" w:fill="C0C0C0"/>
          </w:tcPr>
          <w:p w:rsidR="00DC4B80" w:rsidRPr="00BD7BA2" w:rsidRDefault="004118C5" w:rsidP="00DC4B80">
            <w:pPr>
              <w:spacing w:after="0" w:line="240" w:lineRule="auto"/>
              <w:ind w:left="360" w:hanging="360"/>
            </w:pPr>
            <w:r>
              <w:rPr>
                <w:b/>
                <w:bCs/>
              </w:rPr>
              <w:t>x</w:t>
            </w:r>
            <w:r w:rsidR="00DC4B80" w:rsidRPr="00BD7BA2">
              <w:rPr>
                <w:b/>
                <w:bCs/>
              </w:rPr>
              <w:t>)</w:t>
            </w:r>
          </w:p>
        </w:tc>
        <w:tc>
          <w:tcPr>
            <w:tcW w:w="7020" w:type="dxa"/>
            <w:shd w:val="clear" w:color="auto" w:fill="C0C0C0"/>
          </w:tcPr>
          <w:p w:rsidR="00DC4B80" w:rsidRPr="00BD7BA2" w:rsidRDefault="004118C5" w:rsidP="00DC4B80">
            <w:pPr>
              <w:spacing w:after="0" w:line="240" w:lineRule="auto"/>
            </w:pPr>
            <w:r>
              <w:rPr>
                <w:b/>
                <w:bCs/>
              </w:rPr>
              <w:t xml:space="preserve">Alapdíj %-os értéke </w:t>
            </w:r>
            <w:proofErr w:type="gramStart"/>
            <w:r>
              <w:rPr>
                <w:b/>
                <w:bCs/>
              </w:rPr>
              <w:t>( m</w:t>
            </w:r>
            <w:proofErr w:type="gramEnd"/>
            <w:r>
              <w:rPr>
                <w:b/>
                <w:bCs/>
              </w:rPr>
              <w:t>/ (m+v</w:t>
            </w:r>
            <w:r w:rsidR="00DC4B80" w:rsidRPr="00BD7BA2">
              <w:rPr>
                <w:b/>
                <w:bCs/>
              </w:rPr>
              <w:t>) * 100)</w:t>
            </w:r>
            <w:r w:rsidR="00DC4B80" w:rsidRPr="00BD7BA2">
              <w:rPr>
                <w:rStyle w:val="Lbjegyzet-hivatkozs"/>
                <w:b/>
                <w:bCs/>
              </w:rPr>
              <w:footnoteReference w:id="5"/>
            </w:r>
          </w:p>
        </w:tc>
        <w:tc>
          <w:tcPr>
            <w:tcW w:w="1620" w:type="dxa"/>
            <w:shd w:val="clear" w:color="auto" w:fill="C0C0C0"/>
          </w:tcPr>
          <w:p w:rsidR="00DC4B80" w:rsidRPr="00BD7BA2" w:rsidRDefault="00DC4B80" w:rsidP="00DC4B80">
            <w:pPr>
              <w:spacing w:after="0" w:line="240" w:lineRule="auto"/>
              <w:jc w:val="center"/>
            </w:pPr>
          </w:p>
        </w:tc>
      </w:tr>
    </w:tbl>
    <w:p w:rsidR="00DC4B80" w:rsidRDefault="00DC4B80" w:rsidP="00DC4B80">
      <w:pPr>
        <w:spacing w:line="240" w:lineRule="auto"/>
      </w:pPr>
    </w:p>
    <w:p w:rsidR="001C10F1" w:rsidRDefault="001C10F1">
      <w:pPr>
        <w:rPr>
          <w:rFonts w:ascii="Times New Roman" w:eastAsiaTheme="majorEastAsia" w:hAnsi="Times New Roman" w:cs="Times New Roman"/>
          <w:b/>
          <w:bCs/>
          <w:sz w:val="24"/>
          <w:szCs w:val="24"/>
          <w:u w:val="single"/>
        </w:rPr>
      </w:pPr>
      <w:bookmarkStart w:id="3" w:name="_Toc320615883"/>
      <w:r>
        <w:rPr>
          <w:rFonts w:ascii="Times New Roman" w:hAnsi="Times New Roman" w:cs="Times New Roman"/>
          <w:sz w:val="24"/>
          <w:szCs w:val="24"/>
          <w:u w:val="single"/>
        </w:rPr>
        <w:br w:type="page"/>
      </w:r>
    </w:p>
    <w:p w:rsidR="00DC4B80" w:rsidRPr="0057566B" w:rsidRDefault="00DC4B80" w:rsidP="00DC4B80">
      <w:pPr>
        <w:pStyle w:val="Cmsor2"/>
        <w:rPr>
          <w:b w:val="0"/>
          <w:i/>
          <w:sz w:val="24"/>
          <w:szCs w:val="24"/>
          <w:u w:val="single"/>
        </w:rPr>
      </w:pPr>
      <w:r w:rsidRPr="00694D1D">
        <w:rPr>
          <w:rFonts w:ascii="Times New Roman" w:hAnsi="Times New Roman" w:cs="Times New Roman"/>
          <w:color w:val="auto"/>
          <w:sz w:val="24"/>
          <w:szCs w:val="24"/>
          <w:u w:val="single"/>
        </w:rPr>
        <w:lastRenderedPageBreak/>
        <w:t>A közszolgáltatás keretében beszedett ipari, intézményi díjbevétel számítása</w:t>
      </w:r>
      <w:bookmarkEnd w:id="3"/>
    </w:p>
    <w:p w:rsidR="00DC4B80" w:rsidRDefault="00DC4B80" w:rsidP="00DC4B80">
      <w:pPr>
        <w:pStyle w:val="Szvegtrzs"/>
        <w:jc w:val="both"/>
      </w:pPr>
      <w:r w:rsidRPr="00ED07FF">
        <w:t>A lakossági hulladékkezelési díjban díjcsökkentő tételként megjelenik a közszolgáltatás keretében ellátott</w:t>
      </w:r>
      <w:r>
        <w:t xml:space="preserve"> </w:t>
      </w:r>
      <w:r w:rsidRPr="00ED07FF">
        <w:t xml:space="preserve">ipari, intézményi fogyasztóktól beszedett díjak mértéke. Ezeket </w:t>
      </w:r>
      <w:r>
        <w:t>számítását az alábbi mód</w:t>
      </w:r>
      <w:r w:rsidR="001C10F1">
        <w:t xml:space="preserve">on </w:t>
      </w:r>
      <w:r>
        <w:t>lehet elvégezni, majd az így kiszámított bevételt kell a lakossági díjak kiszámítására szolgáló táblázatokba át</w:t>
      </w:r>
      <w:r w:rsidR="001C10F1">
        <w:t>vezetni (alternatívától függően „m” vagy „</w:t>
      </w:r>
      <w:r w:rsidR="004118C5">
        <w:t>s</w:t>
      </w:r>
      <w:r w:rsidR="001C10F1">
        <w:t>”</w:t>
      </w:r>
      <w:r>
        <w:t xml:space="preserve"> tételek)</w:t>
      </w:r>
    </w:p>
    <w:p w:rsidR="00DC4B80" w:rsidRDefault="00DC4B80" w:rsidP="00DC4B80">
      <w:pPr>
        <w:pStyle w:val="Lista2"/>
        <w:numPr>
          <w:ilvl w:val="0"/>
          <w:numId w:val="4"/>
        </w:numPr>
        <w:jc w:val="both"/>
      </w:pPr>
      <w:r>
        <w:t xml:space="preserve">Az ipari intézményi díjakat a költségektől függetlenül, a helyi vállalkozások teherviselő képessége alapján határozzák meg, ezt a díjmegállapítás során az önkormányzattal elfogadtatják. </w:t>
      </w:r>
    </w:p>
    <w:p w:rsidR="00DC4B80" w:rsidRDefault="00DC4B80" w:rsidP="00DC4B80">
      <w:pPr>
        <w:spacing w:line="240" w:lineRule="auto"/>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7020"/>
        <w:gridCol w:w="1980"/>
      </w:tblGrid>
      <w:tr w:rsidR="00DC4B80" w:rsidRPr="00BD7BA2" w:rsidTr="00DC4B80">
        <w:tc>
          <w:tcPr>
            <w:tcW w:w="7668" w:type="dxa"/>
            <w:gridSpan w:val="2"/>
          </w:tcPr>
          <w:p w:rsidR="00DC4B80" w:rsidRPr="00BD7BA2" w:rsidRDefault="00DC4B80" w:rsidP="00DC4B80">
            <w:pPr>
              <w:spacing w:after="0" w:line="240" w:lineRule="auto"/>
              <w:jc w:val="center"/>
              <w:rPr>
                <w:b/>
                <w:bCs/>
              </w:rPr>
            </w:pPr>
            <w:r w:rsidRPr="00BD7BA2">
              <w:rPr>
                <w:b/>
                <w:bCs/>
              </w:rPr>
              <w:t xml:space="preserve">Intézményi </w:t>
            </w:r>
            <w:proofErr w:type="gramStart"/>
            <w:r w:rsidRPr="00BD7BA2">
              <w:rPr>
                <w:b/>
                <w:bCs/>
              </w:rPr>
              <w:t>díjszámítás …</w:t>
            </w:r>
            <w:proofErr w:type="gramEnd"/>
            <w:r w:rsidRPr="00BD7BA2">
              <w:rPr>
                <w:b/>
                <w:bCs/>
              </w:rPr>
              <w:t xml:space="preserve"> településre</w:t>
            </w:r>
            <w:r w:rsidRPr="00BD7BA2">
              <w:rPr>
                <w:rStyle w:val="Lbjegyzet-hivatkozs"/>
                <w:b/>
                <w:bCs/>
              </w:rPr>
              <w:footnoteReference w:id="6"/>
            </w:r>
          </w:p>
        </w:tc>
        <w:tc>
          <w:tcPr>
            <w:tcW w:w="1980" w:type="dxa"/>
          </w:tcPr>
          <w:p w:rsidR="00DC4B80" w:rsidRPr="00BD7BA2" w:rsidRDefault="00DC4B80" w:rsidP="00DC4B80">
            <w:pPr>
              <w:spacing w:after="0" w:line="240" w:lineRule="auto"/>
              <w:jc w:val="center"/>
              <w:rPr>
                <w:b/>
                <w:bCs/>
              </w:rPr>
            </w:pPr>
            <w:r w:rsidRPr="00BD7BA2">
              <w:rPr>
                <w:b/>
                <w:bCs/>
              </w:rPr>
              <w:t xml:space="preserve">Becsült </w:t>
            </w:r>
            <w:proofErr w:type="gramStart"/>
            <w:r w:rsidRPr="00BD7BA2">
              <w:rPr>
                <w:b/>
                <w:bCs/>
              </w:rPr>
              <w:t>költségek ….</w:t>
            </w:r>
            <w:proofErr w:type="gramEnd"/>
            <w:r w:rsidRPr="00BD7BA2">
              <w:rPr>
                <w:b/>
                <w:bCs/>
              </w:rPr>
              <w:t xml:space="preserve"> évre Forintban </w:t>
            </w:r>
          </w:p>
        </w:tc>
      </w:tr>
      <w:tr w:rsidR="00DC4B80" w:rsidRPr="00BD7BA2" w:rsidTr="00DC4B80">
        <w:tc>
          <w:tcPr>
            <w:tcW w:w="648" w:type="dxa"/>
          </w:tcPr>
          <w:p w:rsidR="00DC4B80" w:rsidRPr="00BD7BA2" w:rsidRDefault="001C10F1" w:rsidP="00DC4B80">
            <w:pPr>
              <w:spacing w:after="0" w:line="240" w:lineRule="auto"/>
              <w:ind w:left="360" w:hanging="360"/>
            </w:pPr>
            <w:r>
              <w:t>y</w:t>
            </w:r>
            <w:r w:rsidR="00DC4B80" w:rsidRPr="00BD7BA2">
              <w:t>)</w:t>
            </w:r>
          </w:p>
        </w:tc>
        <w:tc>
          <w:tcPr>
            <w:tcW w:w="7020" w:type="dxa"/>
          </w:tcPr>
          <w:p w:rsidR="00DC4B80" w:rsidRPr="00BD7BA2" w:rsidRDefault="00DC4B80" w:rsidP="00DC4B80">
            <w:pPr>
              <w:spacing w:after="0" w:line="240" w:lineRule="auto"/>
              <w:ind w:left="360" w:hanging="360"/>
            </w:pPr>
            <w:r w:rsidRPr="00BD7BA2">
              <w:t>A közszolgáltatás keretében beszedni tervezett ipari, intézményi díjbevétel (szolgáltatói becslés</w:t>
            </w:r>
            <w:r w:rsidR="001C10F1">
              <w:t xml:space="preserve"> arányosan az ipari intézményi fogyasztóknál keletkező hulladék mennyiségével</w:t>
            </w:r>
            <w:r w:rsidRPr="00BD7BA2">
              <w:t>)</w:t>
            </w:r>
          </w:p>
        </w:tc>
        <w:tc>
          <w:tcPr>
            <w:tcW w:w="1980" w:type="dxa"/>
          </w:tcPr>
          <w:p w:rsidR="00DC4B80" w:rsidRPr="00BD7BA2" w:rsidRDefault="00DC4B80" w:rsidP="00DC4B80">
            <w:pPr>
              <w:spacing w:after="0" w:line="240" w:lineRule="auto"/>
              <w:jc w:val="center"/>
            </w:pPr>
          </w:p>
        </w:tc>
      </w:tr>
      <w:tr w:rsidR="00DC4B80" w:rsidRPr="00BD7BA2" w:rsidTr="00DC4B80">
        <w:tc>
          <w:tcPr>
            <w:tcW w:w="648" w:type="dxa"/>
            <w:shd w:val="clear" w:color="auto" w:fill="C0C0C0"/>
          </w:tcPr>
          <w:p w:rsidR="00DC4B80" w:rsidRPr="00BD7BA2" w:rsidRDefault="001C10F1" w:rsidP="00DC4B80">
            <w:pPr>
              <w:spacing w:after="0" w:line="240" w:lineRule="auto"/>
              <w:ind w:left="360" w:hanging="360"/>
            </w:pPr>
            <w:r>
              <w:rPr>
                <w:b/>
                <w:bCs/>
              </w:rPr>
              <w:t>z</w:t>
            </w:r>
            <w:r w:rsidR="00DC4B80" w:rsidRPr="00BD7BA2">
              <w:rPr>
                <w:b/>
                <w:bCs/>
              </w:rPr>
              <w:t>)</w:t>
            </w:r>
          </w:p>
        </w:tc>
        <w:tc>
          <w:tcPr>
            <w:tcW w:w="7020" w:type="dxa"/>
            <w:shd w:val="clear" w:color="auto" w:fill="C0C0C0"/>
          </w:tcPr>
          <w:p w:rsidR="00DC4B80" w:rsidRPr="00BD7BA2" w:rsidRDefault="00DC4B80" w:rsidP="00DC4B80">
            <w:pPr>
              <w:spacing w:after="0" w:line="240" w:lineRule="auto"/>
            </w:pPr>
            <w:r w:rsidRPr="00BD7BA2">
              <w:rPr>
                <w:b/>
                <w:bCs/>
              </w:rPr>
              <w:t>Adott településen használt ipari, intézményi hulladékgyűjtő edények összesített térfogata (liter)</w:t>
            </w:r>
          </w:p>
        </w:tc>
        <w:tc>
          <w:tcPr>
            <w:tcW w:w="1980" w:type="dxa"/>
            <w:shd w:val="clear" w:color="auto" w:fill="C0C0C0"/>
          </w:tcPr>
          <w:p w:rsidR="00DC4B80" w:rsidRPr="00BD7BA2" w:rsidRDefault="00DC4B80" w:rsidP="00DC4B80">
            <w:pPr>
              <w:spacing w:after="0" w:line="240" w:lineRule="auto"/>
              <w:jc w:val="center"/>
            </w:pPr>
          </w:p>
        </w:tc>
      </w:tr>
      <w:tr w:rsidR="00DC4B80" w:rsidRPr="00BD7BA2" w:rsidTr="00DC4B80">
        <w:tc>
          <w:tcPr>
            <w:tcW w:w="648" w:type="dxa"/>
          </w:tcPr>
          <w:p w:rsidR="00DC4B80" w:rsidRPr="00BD7BA2" w:rsidRDefault="001C10F1" w:rsidP="00DC4B80">
            <w:pPr>
              <w:spacing w:after="0" w:line="240" w:lineRule="auto"/>
              <w:ind w:left="360" w:hanging="360"/>
              <w:rPr>
                <w:b/>
                <w:bCs/>
              </w:rPr>
            </w:pPr>
            <w:proofErr w:type="spellStart"/>
            <w:r>
              <w:t>aa</w:t>
            </w:r>
            <w:proofErr w:type="spellEnd"/>
            <w:r w:rsidR="00DC4B80" w:rsidRPr="00BD7BA2">
              <w:t>)</w:t>
            </w:r>
            <w:r w:rsidR="00DC4B80" w:rsidRPr="00BD7BA2">
              <w:rPr>
                <w:b/>
                <w:bCs/>
              </w:rPr>
              <w:t xml:space="preserve"> </w:t>
            </w:r>
          </w:p>
        </w:tc>
        <w:tc>
          <w:tcPr>
            <w:tcW w:w="7020" w:type="dxa"/>
          </w:tcPr>
          <w:p w:rsidR="00DC4B80" w:rsidRPr="00BD7BA2" w:rsidRDefault="00DC4B80" w:rsidP="001C10F1">
            <w:pPr>
              <w:spacing w:after="0" w:line="240" w:lineRule="auto"/>
              <w:jc w:val="center"/>
              <w:rPr>
                <w:b/>
                <w:bCs/>
              </w:rPr>
            </w:pPr>
            <w:r w:rsidRPr="00BD7BA2">
              <w:rPr>
                <w:b/>
                <w:bCs/>
              </w:rPr>
              <w:t xml:space="preserve">Ipari, intézményi szolgáltatási díj (ÁFA </w:t>
            </w:r>
            <w:proofErr w:type="spellStart"/>
            <w:r w:rsidRPr="00BD7BA2">
              <w:rPr>
                <w:b/>
                <w:bCs/>
              </w:rPr>
              <w:t>nélkü</w:t>
            </w:r>
            <w:proofErr w:type="spellEnd"/>
            <w:r w:rsidRPr="00BD7BA2">
              <w:rPr>
                <w:b/>
                <w:bCs/>
              </w:rPr>
              <w:t>) Ft/liter (</w:t>
            </w:r>
            <w:r w:rsidR="001C10F1">
              <w:rPr>
                <w:b/>
                <w:bCs/>
              </w:rPr>
              <w:t>y</w:t>
            </w:r>
            <w:r w:rsidRPr="00BD7BA2">
              <w:rPr>
                <w:b/>
                <w:bCs/>
              </w:rPr>
              <w:t>/</w:t>
            </w:r>
            <w:r w:rsidR="001C10F1">
              <w:rPr>
                <w:b/>
                <w:bCs/>
              </w:rPr>
              <w:t>z</w:t>
            </w:r>
            <w:r w:rsidRPr="00BD7BA2">
              <w:rPr>
                <w:b/>
                <w:bCs/>
              </w:rPr>
              <w:t>)</w:t>
            </w:r>
          </w:p>
        </w:tc>
        <w:tc>
          <w:tcPr>
            <w:tcW w:w="1980" w:type="dxa"/>
          </w:tcPr>
          <w:p w:rsidR="00DC4B80" w:rsidRPr="00BD7BA2" w:rsidRDefault="00DC4B80" w:rsidP="00DC4B80">
            <w:pPr>
              <w:spacing w:after="0" w:line="240" w:lineRule="auto"/>
              <w:jc w:val="center"/>
              <w:rPr>
                <w:b/>
                <w:bCs/>
              </w:rPr>
            </w:pPr>
          </w:p>
        </w:tc>
      </w:tr>
    </w:tbl>
    <w:p w:rsidR="00DC4B80" w:rsidRDefault="00DC4B80" w:rsidP="00465D12">
      <w:pPr>
        <w:rPr>
          <w:rFonts w:ascii="Times New Roman" w:hAnsi="Times New Roman" w:cs="Times New Roman"/>
          <w:sz w:val="24"/>
          <w:szCs w:val="24"/>
        </w:rPr>
      </w:pPr>
    </w:p>
    <w:p w:rsidR="001C10F1" w:rsidRDefault="001C10F1" w:rsidP="00465D12">
      <w:pPr>
        <w:rPr>
          <w:rFonts w:ascii="Times New Roman" w:hAnsi="Times New Roman" w:cs="Times New Roman"/>
          <w:sz w:val="24"/>
          <w:szCs w:val="24"/>
        </w:rPr>
        <w:sectPr w:rsidR="001C10F1" w:rsidSect="00D302E3">
          <w:pgSz w:w="11906" w:h="16838"/>
          <w:pgMar w:top="1417" w:right="1417" w:bottom="1417" w:left="1417" w:header="708" w:footer="708" w:gutter="0"/>
          <w:cols w:space="708"/>
          <w:docGrid w:linePitch="360"/>
        </w:sectPr>
      </w:pPr>
    </w:p>
    <w:p w:rsidR="001C10F1" w:rsidRDefault="001C10F1" w:rsidP="001C10F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II.</w:t>
      </w:r>
      <w:r w:rsidRPr="00DC4B80">
        <w:rPr>
          <w:rFonts w:ascii="Times New Roman" w:eastAsia="Times New Roman" w:hAnsi="Times New Roman" w:cs="Times New Roman"/>
          <w:b/>
          <w:sz w:val="24"/>
        </w:rPr>
        <w:t xml:space="preserve"> számú melléklet </w:t>
      </w:r>
    </w:p>
    <w:p w:rsidR="001C10F1" w:rsidRDefault="001C10F1" w:rsidP="00465D12">
      <w:pPr>
        <w:rPr>
          <w:rFonts w:ascii="Times New Roman" w:hAnsi="Times New Roman" w:cs="Times New Roman"/>
          <w:sz w:val="24"/>
          <w:szCs w:val="24"/>
        </w:rPr>
      </w:pPr>
    </w:p>
    <w:p w:rsidR="001C10F1" w:rsidRDefault="001C10F1" w:rsidP="00465D12">
      <w:pPr>
        <w:rPr>
          <w:rFonts w:ascii="Times New Roman" w:hAnsi="Times New Roman" w:cs="Times New Roman"/>
          <w:sz w:val="24"/>
          <w:szCs w:val="24"/>
        </w:rPr>
      </w:pPr>
      <w:r>
        <w:rPr>
          <w:rFonts w:ascii="Times New Roman" w:hAnsi="Times New Roman" w:cs="Times New Roman"/>
          <w:sz w:val="24"/>
          <w:szCs w:val="24"/>
        </w:rPr>
        <w:t>Fentiek alapján a konkrét díjak az egyes települések saját döntésén múlnak, de a projektben az átlag lakossági díjak az alábbiak szerint alakulhatnak:</w:t>
      </w:r>
    </w:p>
    <w:p w:rsidR="001C10F1" w:rsidRDefault="001C10F1" w:rsidP="001C10F1">
      <w:pPr>
        <w:jc w:val="center"/>
        <w:rPr>
          <w:rFonts w:ascii="Times New Roman" w:hAnsi="Times New Roman" w:cs="Times New Roman"/>
          <w:sz w:val="24"/>
          <w:szCs w:val="24"/>
        </w:rPr>
        <w:sectPr w:rsidR="001C10F1" w:rsidSect="001C10F1">
          <w:pgSz w:w="16838" w:h="11906" w:orient="landscape"/>
          <w:pgMar w:top="1417" w:right="1417" w:bottom="1417" w:left="1417" w:header="708" w:footer="708" w:gutter="0"/>
          <w:cols w:space="708"/>
          <w:docGrid w:linePitch="360"/>
        </w:sectPr>
      </w:pPr>
      <w:r w:rsidRPr="001C10F1">
        <w:rPr>
          <w:szCs w:val="24"/>
        </w:rPr>
        <w:drawing>
          <wp:inline distT="0" distB="0" distL="0" distR="0">
            <wp:extent cx="6800850" cy="4646046"/>
            <wp:effectExtent l="1905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801882" cy="4646751"/>
                    </a:xfrm>
                    <a:prstGeom prst="rect">
                      <a:avLst/>
                    </a:prstGeom>
                    <a:noFill/>
                    <a:ln w="9525">
                      <a:noFill/>
                      <a:miter lim="800000"/>
                      <a:headEnd/>
                      <a:tailEnd/>
                    </a:ln>
                  </pic:spPr>
                </pic:pic>
              </a:graphicData>
            </a:graphic>
          </wp:inline>
        </w:drawing>
      </w:r>
    </w:p>
    <w:p w:rsidR="001C10F1" w:rsidRDefault="001C10F1" w:rsidP="001C10F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III.</w:t>
      </w:r>
      <w:r w:rsidRPr="00DC4B80">
        <w:rPr>
          <w:rFonts w:ascii="Times New Roman" w:eastAsia="Times New Roman" w:hAnsi="Times New Roman" w:cs="Times New Roman"/>
          <w:b/>
          <w:sz w:val="24"/>
        </w:rPr>
        <w:t xml:space="preserve"> számú melléklet </w:t>
      </w:r>
    </w:p>
    <w:p w:rsidR="001C10F1" w:rsidRDefault="001C10F1" w:rsidP="001C10F1">
      <w:pPr>
        <w:jc w:val="center"/>
        <w:rPr>
          <w:rFonts w:ascii="Times New Roman" w:hAnsi="Times New Roman" w:cs="Times New Roman"/>
          <w:sz w:val="24"/>
          <w:szCs w:val="24"/>
        </w:rPr>
      </w:pPr>
    </w:p>
    <w:p w:rsidR="001C10F1" w:rsidRDefault="001C10F1" w:rsidP="001C10F1">
      <w:pPr>
        <w:jc w:val="center"/>
        <w:rPr>
          <w:rFonts w:ascii="Times New Roman" w:hAnsi="Times New Roman" w:cs="Times New Roman"/>
          <w:sz w:val="24"/>
          <w:szCs w:val="24"/>
        </w:rPr>
      </w:pPr>
      <w:r w:rsidRPr="001C10F1">
        <w:rPr>
          <w:szCs w:val="24"/>
        </w:rPr>
        <w:drawing>
          <wp:inline distT="0" distB="0" distL="0" distR="0">
            <wp:extent cx="8892540" cy="1907128"/>
            <wp:effectExtent l="19050" t="0" r="381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8892540" cy="1907128"/>
                    </a:xfrm>
                    <a:prstGeom prst="rect">
                      <a:avLst/>
                    </a:prstGeom>
                    <a:noFill/>
                    <a:ln w="9525">
                      <a:noFill/>
                      <a:miter lim="800000"/>
                      <a:headEnd/>
                      <a:tailEnd/>
                    </a:ln>
                  </pic:spPr>
                </pic:pic>
              </a:graphicData>
            </a:graphic>
          </wp:inline>
        </w:drawing>
      </w:r>
    </w:p>
    <w:p w:rsidR="001C10F1" w:rsidRDefault="001C10F1">
      <w:pPr>
        <w:rPr>
          <w:rFonts w:ascii="Times New Roman" w:hAnsi="Times New Roman" w:cs="Times New Roman"/>
          <w:sz w:val="24"/>
          <w:szCs w:val="24"/>
        </w:rPr>
      </w:pPr>
      <w:r>
        <w:rPr>
          <w:rFonts w:ascii="Times New Roman" w:hAnsi="Times New Roman" w:cs="Times New Roman"/>
          <w:sz w:val="24"/>
          <w:szCs w:val="24"/>
        </w:rPr>
        <w:br w:type="page"/>
      </w:r>
    </w:p>
    <w:p w:rsidR="001C10F1" w:rsidRDefault="001C10F1" w:rsidP="001C10F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IV.</w:t>
      </w:r>
      <w:r w:rsidRPr="00DC4B80">
        <w:rPr>
          <w:rFonts w:ascii="Times New Roman" w:eastAsia="Times New Roman" w:hAnsi="Times New Roman" w:cs="Times New Roman"/>
          <w:b/>
          <w:sz w:val="24"/>
        </w:rPr>
        <w:t xml:space="preserve"> számú melléklet </w:t>
      </w:r>
    </w:p>
    <w:p w:rsidR="001C10F1" w:rsidRDefault="001C10F1" w:rsidP="001C10F1">
      <w:pPr>
        <w:spacing w:after="0" w:line="240" w:lineRule="auto"/>
        <w:jc w:val="center"/>
        <w:rPr>
          <w:rFonts w:ascii="Times New Roman" w:eastAsia="Times New Roman" w:hAnsi="Times New Roman" w:cs="Times New Roman"/>
          <w:b/>
          <w:sz w:val="24"/>
        </w:rPr>
      </w:pPr>
    </w:p>
    <w:p w:rsidR="001137EC" w:rsidRPr="001137EC" w:rsidRDefault="001137EC" w:rsidP="001C10F1">
      <w:pPr>
        <w:spacing w:after="0" w:line="240" w:lineRule="auto"/>
        <w:jc w:val="center"/>
        <w:rPr>
          <w:rFonts w:ascii="Times New Roman" w:eastAsia="Times New Roman" w:hAnsi="Times New Roman" w:cs="Times New Roman"/>
          <w:sz w:val="24"/>
        </w:rPr>
      </w:pPr>
      <w:r w:rsidRPr="001137EC">
        <w:rPr>
          <w:rFonts w:ascii="Times New Roman" w:eastAsia="Times New Roman" w:hAnsi="Times New Roman" w:cs="Times New Roman"/>
          <w:sz w:val="24"/>
        </w:rPr>
        <w:t>A pótlási költségeket a kérésnek megfelelően megosztottuk két évre:</w:t>
      </w:r>
    </w:p>
    <w:p w:rsidR="001137EC" w:rsidRDefault="001137EC" w:rsidP="001C10F1">
      <w:pPr>
        <w:spacing w:after="0" w:line="240" w:lineRule="auto"/>
        <w:jc w:val="center"/>
        <w:rPr>
          <w:rFonts w:ascii="Times New Roman" w:eastAsia="Times New Roman" w:hAnsi="Times New Roman" w:cs="Times New Roman"/>
          <w:b/>
          <w:sz w:val="24"/>
        </w:rPr>
      </w:pPr>
    </w:p>
    <w:p w:rsidR="001C10F1" w:rsidRDefault="001C10F1" w:rsidP="001C10F1">
      <w:pPr>
        <w:spacing w:after="0" w:line="240" w:lineRule="auto"/>
        <w:jc w:val="center"/>
        <w:rPr>
          <w:rFonts w:ascii="Times New Roman" w:eastAsia="Times New Roman" w:hAnsi="Times New Roman" w:cs="Times New Roman"/>
          <w:b/>
          <w:sz w:val="24"/>
        </w:rPr>
      </w:pPr>
      <w:r w:rsidRPr="001C10F1">
        <w:drawing>
          <wp:inline distT="0" distB="0" distL="0" distR="0">
            <wp:extent cx="8892540" cy="1874139"/>
            <wp:effectExtent l="19050" t="0" r="381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8892540" cy="1874139"/>
                    </a:xfrm>
                    <a:prstGeom prst="rect">
                      <a:avLst/>
                    </a:prstGeom>
                    <a:noFill/>
                    <a:ln w="9525">
                      <a:noFill/>
                      <a:miter lim="800000"/>
                      <a:headEnd/>
                      <a:tailEnd/>
                    </a:ln>
                  </pic:spPr>
                </pic:pic>
              </a:graphicData>
            </a:graphic>
          </wp:inline>
        </w:drawing>
      </w:r>
    </w:p>
    <w:p w:rsidR="001137EC" w:rsidRDefault="001137EC" w:rsidP="001C10F1">
      <w:pPr>
        <w:spacing w:after="0" w:line="240" w:lineRule="auto"/>
        <w:jc w:val="center"/>
        <w:rPr>
          <w:rFonts w:ascii="Times New Roman" w:eastAsia="Times New Roman" w:hAnsi="Times New Roman" w:cs="Times New Roman"/>
          <w:b/>
          <w:sz w:val="24"/>
        </w:rPr>
      </w:pPr>
    </w:p>
    <w:p w:rsidR="001137EC" w:rsidRDefault="001137EC" w:rsidP="001137EC">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A módszertani módosítás a </w:t>
      </w:r>
      <w:proofErr w:type="gramStart"/>
      <w:r>
        <w:rPr>
          <w:rFonts w:ascii="Times New Roman" w:eastAsia="Times New Roman" w:hAnsi="Times New Roman" w:cs="Times New Roman"/>
          <w:b/>
          <w:sz w:val="24"/>
        </w:rPr>
        <w:t>költség-haszon elemzést</w:t>
      </w:r>
      <w:proofErr w:type="gramEnd"/>
      <w:r>
        <w:rPr>
          <w:rFonts w:ascii="Times New Roman" w:eastAsia="Times New Roman" w:hAnsi="Times New Roman" w:cs="Times New Roman"/>
          <w:b/>
          <w:sz w:val="24"/>
        </w:rPr>
        <w:t xml:space="preserve"> érdemben nem érinti, a projekt így is fenntartható.</w:t>
      </w:r>
    </w:p>
    <w:p w:rsidR="001137EC" w:rsidRDefault="001137EC" w:rsidP="001C10F1">
      <w:pPr>
        <w:spacing w:after="0" w:line="240" w:lineRule="auto"/>
        <w:jc w:val="center"/>
        <w:rPr>
          <w:rFonts w:ascii="Times New Roman" w:eastAsia="Times New Roman" w:hAnsi="Times New Roman" w:cs="Times New Roman"/>
          <w:b/>
          <w:sz w:val="24"/>
        </w:rPr>
        <w:sectPr w:rsidR="001137EC" w:rsidSect="001C10F1">
          <w:pgSz w:w="16838" w:h="11906" w:orient="landscape"/>
          <w:pgMar w:top="1417" w:right="1417" w:bottom="1417" w:left="1417" w:header="708" w:footer="708" w:gutter="0"/>
          <w:cols w:space="708"/>
          <w:docGrid w:linePitch="360"/>
        </w:sectPr>
      </w:pPr>
    </w:p>
    <w:p w:rsidR="001137EC" w:rsidRDefault="001137EC" w:rsidP="001137EC">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V.</w:t>
      </w:r>
      <w:r w:rsidRPr="00DC4B80">
        <w:rPr>
          <w:rFonts w:ascii="Times New Roman" w:eastAsia="Times New Roman" w:hAnsi="Times New Roman" w:cs="Times New Roman"/>
          <w:b/>
          <w:sz w:val="24"/>
        </w:rPr>
        <w:t xml:space="preserve"> számú melléklet </w:t>
      </w:r>
    </w:p>
    <w:p w:rsidR="001137EC" w:rsidRDefault="001137EC" w:rsidP="001C10F1">
      <w:pPr>
        <w:spacing w:after="0" w:line="240" w:lineRule="auto"/>
        <w:jc w:val="center"/>
        <w:rPr>
          <w:rFonts w:ascii="Times New Roman" w:eastAsia="Times New Roman" w:hAnsi="Times New Roman" w:cs="Times New Roman"/>
          <w:b/>
          <w:sz w:val="24"/>
        </w:rPr>
      </w:pPr>
    </w:p>
    <w:p w:rsidR="001137EC" w:rsidRPr="001137EC" w:rsidRDefault="001137EC" w:rsidP="001C10F1">
      <w:pPr>
        <w:spacing w:after="0" w:line="240" w:lineRule="auto"/>
        <w:jc w:val="center"/>
        <w:rPr>
          <w:rFonts w:ascii="Times New Roman" w:eastAsia="Times New Roman" w:hAnsi="Times New Roman" w:cs="Times New Roman"/>
          <w:sz w:val="24"/>
        </w:rPr>
      </w:pPr>
      <w:r w:rsidRPr="001137EC">
        <w:rPr>
          <w:rFonts w:ascii="Times New Roman" w:eastAsia="Times New Roman" w:hAnsi="Times New Roman" w:cs="Times New Roman"/>
          <w:sz w:val="24"/>
        </w:rPr>
        <w:t>Ha feltételezzük, hogy 2034 után nem szedjük be a pótlási díjhányadot (elfogadva, hogy azt 2041 és az után nem is kell elkölteni, mivel a proj</w:t>
      </w:r>
      <w:r>
        <w:rPr>
          <w:rFonts w:ascii="Times New Roman" w:eastAsia="Times New Roman" w:hAnsi="Times New Roman" w:cs="Times New Roman"/>
          <w:sz w:val="24"/>
        </w:rPr>
        <w:t xml:space="preserve">ekt 2041-ben lezárul), akkor a támogatási </w:t>
      </w:r>
      <w:proofErr w:type="gramStart"/>
      <w:r>
        <w:rPr>
          <w:rFonts w:ascii="Times New Roman" w:eastAsia="Times New Roman" w:hAnsi="Times New Roman" w:cs="Times New Roman"/>
          <w:sz w:val="24"/>
        </w:rPr>
        <w:t>ráta számításnál</w:t>
      </w:r>
      <w:proofErr w:type="gramEnd"/>
      <w:r>
        <w:rPr>
          <w:rFonts w:ascii="Times New Roman" w:eastAsia="Times New Roman" w:hAnsi="Times New Roman" w:cs="Times New Roman"/>
          <w:sz w:val="24"/>
        </w:rPr>
        <w:t xml:space="preserve"> az alábbi eredményre </w:t>
      </w:r>
      <w:r w:rsidRPr="001137EC">
        <w:rPr>
          <w:rFonts w:ascii="Times New Roman" w:eastAsia="Times New Roman" w:hAnsi="Times New Roman" w:cs="Times New Roman"/>
          <w:sz w:val="24"/>
        </w:rPr>
        <w:t>juthatunk:</w:t>
      </w:r>
    </w:p>
    <w:p w:rsidR="001137EC" w:rsidRDefault="001137EC" w:rsidP="001C10F1">
      <w:pPr>
        <w:spacing w:after="0" w:line="240" w:lineRule="auto"/>
        <w:jc w:val="center"/>
        <w:rPr>
          <w:rFonts w:ascii="Times New Roman" w:eastAsia="Times New Roman" w:hAnsi="Times New Roman" w:cs="Times New Roman"/>
          <w:b/>
          <w:sz w:val="24"/>
        </w:rPr>
      </w:pPr>
    </w:p>
    <w:p w:rsidR="001C10F1" w:rsidRDefault="001137EC" w:rsidP="001C10F1">
      <w:pPr>
        <w:spacing w:after="0" w:line="240" w:lineRule="auto"/>
        <w:jc w:val="center"/>
        <w:rPr>
          <w:rFonts w:ascii="Times New Roman" w:eastAsia="Times New Roman" w:hAnsi="Times New Roman" w:cs="Times New Roman"/>
          <w:b/>
          <w:sz w:val="24"/>
        </w:rPr>
      </w:pPr>
      <w:r w:rsidRPr="001137EC">
        <w:drawing>
          <wp:inline distT="0" distB="0" distL="0" distR="0">
            <wp:extent cx="8892540" cy="4372011"/>
            <wp:effectExtent l="19050" t="0" r="381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8892540" cy="4372011"/>
                    </a:xfrm>
                    <a:prstGeom prst="rect">
                      <a:avLst/>
                    </a:prstGeom>
                    <a:noFill/>
                    <a:ln w="9525">
                      <a:noFill/>
                      <a:miter lim="800000"/>
                      <a:headEnd/>
                      <a:tailEnd/>
                    </a:ln>
                  </pic:spPr>
                </pic:pic>
              </a:graphicData>
            </a:graphic>
          </wp:inline>
        </w:drawing>
      </w:r>
    </w:p>
    <w:p w:rsidR="001137EC" w:rsidRDefault="001137EC" w:rsidP="001C10F1">
      <w:pPr>
        <w:spacing w:after="0" w:line="240" w:lineRule="auto"/>
        <w:jc w:val="center"/>
        <w:rPr>
          <w:rFonts w:ascii="Times New Roman" w:eastAsia="Times New Roman" w:hAnsi="Times New Roman" w:cs="Times New Roman"/>
          <w:b/>
          <w:sz w:val="24"/>
        </w:rPr>
      </w:pPr>
    </w:p>
    <w:p w:rsidR="001137EC" w:rsidRDefault="001137EC" w:rsidP="001C10F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A módszertani módosítás a </w:t>
      </w:r>
      <w:proofErr w:type="gramStart"/>
      <w:r>
        <w:rPr>
          <w:rFonts w:ascii="Times New Roman" w:eastAsia="Times New Roman" w:hAnsi="Times New Roman" w:cs="Times New Roman"/>
          <w:b/>
          <w:sz w:val="24"/>
        </w:rPr>
        <w:t>költség-haszon elemzést</w:t>
      </w:r>
      <w:proofErr w:type="gramEnd"/>
      <w:r>
        <w:rPr>
          <w:rFonts w:ascii="Times New Roman" w:eastAsia="Times New Roman" w:hAnsi="Times New Roman" w:cs="Times New Roman"/>
          <w:b/>
          <w:sz w:val="24"/>
        </w:rPr>
        <w:t xml:space="preserve"> érdemben nem érinti, a projekt így is jogosult a maximális 85 %-os támogatásra.</w:t>
      </w:r>
    </w:p>
    <w:p w:rsidR="00C24007" w:rsidRDefault="00C24007" w:rsidP="00C24007">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VI.</w:t>
      </w:r>
      <w:r w:rsidRPr="00DC4B80">
        <w:rPr>
          <w:rFonts w:ascii="Times New Roman" w:eastAsia="Times New Roman" w:hAnsi="Times New Roman" w:cs="Times New Roman"/>
          <w:b/>
          <w:sz w:val="24"/>
        </w:rPr>
        <w:t xml:space="preserve"> számú melléklet </w:t>
      </w:r>
    </w:p>
    <w:p w:rsidR="00C24007" w:rsidRPr="00C24007" w:rsidRDefault="00C24007" w:rsidP="00C24007">
      <w:pPr>
        <w:spacing w:after="0" w:line="240" w:lineRule="auto"/>
        <w:jc w:val="center"/>
        <w:rPr>
          <w:rFonts w:ascii="Times New Roman" w:eastAsia="Times New Roman" w:hAnsi="Times New Roman" w:cs="Times New Roman"/>
          <w:sz w:val="24"/>
        </w:rPr>
      </w:pPr>
    </w:p>
    <w:p w:rsidR="00C24007" w:rsidRPr="00C24007" w:rsidRDefault="00C24007" w:rsidP="00C24007">
      <w:pPr>
        <w:spacing w:after="0" w:line="240" w:lineRule="auto"/>
        <w:jc w:val="center"/>
        <w:rPr>
          <w:rFonts w:ascii="Times New Roman" w:eastAsia="Times New Roman" w:hAnsi="Times New Roman" w:cs="Times New Roman"/>
          <w:sz w:val="24"/>
        </w:rPr>
      </w:pPr>
      <w:r w:rsidRPr="00C24007">
        <w:rPr>
          <w:rFonts w:ascii="Times New Roman" w:eastAsia="Times New Roman" w:hAnsi="Times New Roman" w:cs="Times New Roman"/>
          <w:sz w:val="24"/>
        </w:rPr>
        <w:t xml:space="preserve">A fenntarthatósági vizsgálatot a teljes </w:t>
      </w:r>
      <w:r>
        <w:rPr>
          <w:rFonts w:ascii="Times New Roman" w:eastAsia="Times New Roman" w:hAnsi="Times New Roman" w:cs="Times New Roman"/>
          <w:sz w:val="24"/>
        </w:rPr>
        <w:t>rendszer</w:t>
      </w:r>
      <w:r w:rsidRPr="00C2400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(nulla + fejlesztési alternatíva) </w:t>
      </w:r>
      <w:r w:rsidRPr="00C24007">
        <w:rPr>
          <w:rFonts w:ascii="Times New Roman" w:eastAsia="Times New Roman" w:hAnsi="Times New Roman" w:cs="Times New Roman"/>
          <w:sz w:val="24"/>
        </w:rPr>
        <w:t>tekintetében is elvégeztük:</w:t>
      </w:r>
    </w:p>
    <w:p w:rsidR="00C24007" w:rsidRDefault="00C24007" w:rsidP="00C24007">
      <w:pPr>
        <w:spacing w:after="0" w:line="240" w:lineRule="auto"/>
        <w:jc w:val="center"/>
        <w:rPr>
          <w:rFonts w:ascii="Times New Roman" w:eastAsia="Times New Roman" w:hAnsi="Times New Roman" w:cs="Times New Roman"/>
          <w:b/>
          <w:sz w:val="24"/>
        </w:rPr>
      </w:pPr>
    </w:p>
    <w:p w:rsidR="00C24007" w:rsidRDefault="00C24007" w:rsidP="00C24007">
      <w:pPr>
        <w:spacing w:after="0" w:line="240" w:lineRule="auto"/>
        <w:jc w:val="center"/>
        <w:rPr>
          <w:rFonts w:ascii="Times New Roman" w:eastAsia="Times New Roman" w:hAnsi="Times New Roman" w:cs="Times New Roman"/>
          <w:b/>
          <w:sz w:val="24"/>
        </w:rPr>
      </w:pPr>
      <w:r w:rsidRPr="00C24007">
        <w:drawing>
          <wp:inline distT="0" distB="0" distL="0" distR="0">
            <wp:extent cx="8892540" cy="1874139"/>
            <wp:effectExtent l="19050" t="0" r="381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8892540" cy="1874139"/>
                    </a:xfrm>
                    <a:prstGeom prst="rect">
                      <a:avLst/>
                    </a:prstGeom>
                    <a:noFill/>
                    <a:ln w="9525">
                      <a:noFill/>
                      <a:miter lim="800000"/>
                      <a:headEnd/>
                      <a:tailEnd/>
                    </a:ln>
                  </pic:spPr>
                </pic:pic>
              </a:graphicData>
            </a:graphic>
          </wp:inline>
        </w:drawing>
      </w:r>
    </w:p>
    <w:p w:rsidR="001C10F1" w:rsidRDefault="001C10F1" w:rsidP="001C10F1">
      <w:pPr>
        <w:spacing w:after="0" w:line="240" w:lineRule="auto"/>
        <w:jc w:val="center"/>
        <w:rPr>
          <w:rFonts w:ascii="Times New Roman" w:eastAsia="Times New Roman" w:hAnsi="Times New Roman" w:cs="Times New Roman"/>
          <w:b/>
          <w:sz w:val="24"/>
        </w:rPr>
      </w:pPr>
    </w:p>
    <w:p w:rsidR="001C10F1" w:rsidRDefault="00C24007" w:rsidP="001C10F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 teljes rendszer is fenntartható, mivel a nettó halmozott pénzügyi pénzáram minden évben pozitív.</w:t>
      </w:r>
    </w:p>
    <w:p w:rsidR="001C10F1" w:rsidRDefault="001C10F1" w:rsidP="001C10F1">
      <w:pPr>
        <w:spacing w:after="0" w:line="240" w:lineRule="auto"/>
        <w:jc w:val="center"/>
        <w:rPr>
          <w:rFonts w:ascii="Times New Roman" w:eastAsia="Times New Roman" w:hAnsi="Times New Roman" w:cs="Times New Roman"/>
          <w:b/>
          <w:sz w:val="24"/>
        </w:rPr>
      </w:pPr>
    </w:p>
    <w:p w:rsidR="001C10F1" w:rsidRPr="00465D12" w:rsidRDefault="001C10F1" w:rsidP="001C10F1">
      <w:pPr>
        <w:jc w:val="center"/>
        <w:rPr>
          <w:rFonts w:ascii="Times New Roman" w:hAnsi="Times New Roman" w:cs="Times New Roman"/>
          <w:sz w:val="24"/>
          <w:szCs w:val="24"/>
        </w:rPr>
      </w:pPr>
    </w:p>
    <w:sectPr w:rsidR="001C10F1" w:rsidRPr="00465D12" w:rsidSect="001C10F1">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7EC" w:rsidRDefault="001137EC" w:rsidP="00DC4B80">
      <w:pPr>
        <w:spacing w:after="0" w:line="240" w:lineRule="auto"/>
      </w:pPr>
      <w:r>
        <w:separator/>
      </w:r>
    </w:p>
  </w:endnote>
  <w:endnote w:type="continuationSeparator" w:id="0">
    <w:p w:rsidR="001137EC" w:rsidRDefault="001137EC" w:rsidP="00DC4B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Verdana">
    <w:altName w:val="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7EC" w:rsidRDefault="001137EC" w:rsidP="00DC4B80">
      <w:pPr>
        <w:spacing w:after="0" w:line="240" w:lineRule="auto"/>
      </w:pPr>
      <w:r>
        <w:separator/>
      </w:r>
    </w:p>
  </w:footnote>
  <w:footnote w:type="continuationSeparator" w:id="0">
    <w:p w:rsidR="001137EC" w:rsidRDefault="001137EC" w:rsidP="00DC4B80">
      <w:pPr>
        <w:spacing w:after="0" w:line="240" w:lineRule="auto"/>
      </w:pPr>
      <w:r>
        <w:continuationSeparator/>
      </w:r>
    </w:p>
  </w:footnote>
  <w:footnote w:id="1">
    <w:p w:rsidR="001137EC" w:rsidRDefault="001137EC" w:rsidP="00DC4B80">
      <w:pPr>
        <w:pStyle w:val="Lbjegyzetszveg"/>
      </w:pPr>
      <w:r w:rsidRPr="006672C7">
        <w:rPr>
          <w:rStyle w:val="Lbjegyzet-hivatkozs"/>
          <w:u w:val="single"/>
        </w:rPr>
        <w:footnoteRef/>
      </w:r>
      <w:r w:rsidRPr="006672C7">
        <w:rPr>
          <w:u w:val="single"/>
        </w:rPr>
        <w:t xml:space="preserve"> Jelmagyarázat:</w:t>
      </w:r>
      <w:r>
        <w:t xml:space="preserve"> a + szimbólummal jelölt tételeket a díjkiszámítás során hozzá kell adni, míg a – szimbólummal jelölt téteket ki kell vonni.</w:t>
      </w:r>
    </w:p>
  </w:footnote>
  <w:footnote w:id="2">
    <w:p w:rsidR="001137EC" w:rsidRDefault="001137EC" w:rsidP="00DC4B80">
      <w:pPr>
        <w:pStyle w:val="Lbjegyzetszveg"/>
      </w:pPr>
      <w:r>
        <w:rPr>
          <w:rStyle w:val="Lbjegyzet-hivatkozs"/>
        </w:rPr>
        <w:footnoteRef/>
      </w:r>
      <w:r>
        <w:t xml:space="preserve"> Az egyes tételek az adott településre eső költségeket jelentik</w:t>
      </w:r>
    </w:p>
  </w:footnote>
  <w:footnote w:id="3">
    <w:p w:rsidR="001137EC" w:rsidRDefault="001137EC" w:rsidP="00DC4B80">
      <w:pPr>
        <w:pStyle w:val="Lbjegyzetszveg"/>
      </w:pPr>
      <w:r>
        <w:rPr>
          <w:rStyle w:val="Lbjegyzet-hivatkozs"/>
        </w:rPr>
        <w:footnoteRef/>
      </w:r>
      <w:r>
        <w:t xml:space="preserve"> Az egyes tételek az adott településre eső költségeket jelentik</w:t>
      </w:r>
    </w:p>
  </w:footnote>
  <w:footnote w:id="4">
    <w:p w:rsidR="001137EC" w:rsidRDefault="001137EC" w:rsidP="00DC4B80">
      <w:pPr>
        <w:pStyle w:val="Lbjegyzetszveg"/>
      </w:pPr>
      <w:r>
        <w:rPr>
          <w:rStyle w:val="Lbjegyzet-hivatkozs"/>
        </w:rPr>
        <w:footnoteRef/>
      </w:r>
      <w:r>
        <w:t xml:space="preserve"> Az egyes tételek az adott településre eső költségeket jelentik</w:t>
      </w:r>
    </w:p>
  </w:footnote>
  <w:footnote w:id="5">
    <w:p w:rsidR="001137EC" w:rsidRDefault="001137EC" w:rsidP="00DC4B80">
      <w:pPr>
        <w:pStyle w:val="Lbjegyzetszveg"/>
      </w:pPr>
      <w:r>
        <w:rPr>
          <w:rStyle w:val="Lbjegyzet-hivatkozs"/>
        </w:rPr>
        <w:footnoteRef/>
      </w:r>
      <w:r>
        <w:t xml:space="preserve"> Ha x&gt; 40 %, akkor a 64/2008 Korm. rendelet 8 § (5) értelmében az alapdíjat és az egységnyi díjtételt a módosított m1, illetve u1 tételekből kell számítani az alábbiak szerint: m1=0,4*(m+u) és ab1=0,6*(m+u)</w:t>
      </w:r>
    </w:p>
  </w:footnote>
  <w:footnote w:id="6">
    <w:p w:rsidR="001137EC" w:rsidRDefault="001137EC" w:rsidP="00DC4B80">
      <w:pPr>
        <w:pStyle w:val="Lbjegyzetszveg"/>
      </w:pPr>
      <w:r>
        <w:rPr>
          <w:rStyle w:val="Lbjegyzet-hivatkozs"/>
        </w:rPr>
        <w:footnoteRef/>
      </w:r>
      <w:r>
        <w:t xml:space="preserve"> Az egyes tételek az adott településre eső költségeket jelentik</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860B9"/>
    <w:multiLevelType w:val="hybridMultilevel"/>
    <w:tmpl w:val="85A46C40"/>
    <w:lvl w:ilvl="0" w:tplc="0E5A1802">
      <w:start w:val="3"/>
      <w:numFmt w:val="bullet"/>
      <w:lvlText w:val="-"/>
      <w:lvlJc w:val="left"/>
      <w:pPr>
        <w:ind w:left="720" w:hanging="360"/>
      </w:pPr>
      <w:rPr>
        <w:rFonts w:ascii="Times New Roman" w:eastAsia="Times New Roman" w:hAnsi="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
    <w:nsid w:val="14CA423C"/>
    <w:multiLevelType w:val="hybridMultilevel"/>
    <w:tmpl w:val="7916B024"/>
    <w:lvl w:ilvl="0" w:tplc="FFFFFFFF">
      <w:start w:val="1"/>
      <w:numFmt w:val="upperRoman"/>
      <w:pStyle w:val="Felsorols2"/>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
    <w:nsid w:val="384B4B08"/>
    <w:multiLevelType w:val="hybridMultilevel"/>
    <w:tmpl w:val="77EC35C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50EB7B34"/>
    <w:multiLevelType w:val="hybridMultilevel"/>
    <w:tmpl w:val="E59C214C"/>
    <w:lvl w:ilvl="0" w:tplc="5538A48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79EC246F"/>
    <w:multiLevelType w:val="hybridMultilevel"/>
    <w:tmpl w:val="F9C2127A"/>
    <w:lvl w:ilvl="0" w:tplc="FFFFFFFF">
      <w:start w:val="1"/>
      <w:numFmt w:val="upperRoman"/>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45076"/>
    <w:rsid w:val="001137EC"/>
    <w:rsid w:val="00115AF2"/>
    <w:rsid w:val="001C10F1"/>
    <w:rsid w:val="003A7989"/>
    <w:rsid w:val="004118C5"/>
    <w:rsid w:val="00445076"/>
    <w:rsid w:val="00465D12"/>
    <w:rsid w:val="006A4CD5"/>
    <w:rsid w:val="00774D13"/>
    <w:rsid w:val="00816EDE"/>
    <w:rsid w:val="008531BF"/>
    <w:rsid w:val="00C24007"/>
    <w:rsid w:val="00D302E3"/>
    <w:rsid w:val="00DC4B80"/>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302E3"/>
  </w:style>
  <w:style w:type="paragraph" w:styleId="Cmsor2">
    <w:name w:val="heading 2"/>
    <w:basedOn w:val="Norml"/>
    <w:next w:val="Norml"/>
    <w:link w:val="Cmsor2Char"/>
    <w:uiPriority w:val="9"/>
    <w:unhideWhenUsed/>
    <w:qFormat/>
    <w:rsid w:val="00DC4B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59"/>
    <w:rsid w:val="004450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45076"/>
    <w:pPr>
      <w:autoSpaceDE w:val="0"/>
      <w:autoSpaceDN w:val="0"/>
      <w:adjustRightInd w:val="0"/>
      <w:spacing w:after="0" w:line="240" w:lineRule="auto"/>
    </w:pPr>
    <w:rPr>
      <w:rFonts w:ascii="Verdana" w:hAnsi="Verdana" w:cs="Verdana"/>
      <w:color w:val="000000"/>
      <w:sz w:val="24"/>
      <w:szCs w:val="24"/>
    </w:rPr>
  </w:style>
  <w:style w:type="paragraph" w:styleId="Listaszerbekezds">
    <w:name w:val="List Paragraph"/>
    <w:basedOn w:val="Norml"/>
    <w:uiPriority w:val="34"/>
    <w:qFormat/>
    <w:rsid w:val="00445076"/>
    <w:pPr>
      <w:ind w:left="720"/>
      <w:contextualSpacing/>
    </w:pPr>
  </w:style>
  <w:style w:type="character" w:customStyle="1" w:styleId="Cmsor2Char">
    <w:name w:val="Címsor 2 Char"/>
    <w:basedOn w:val="Bekezdsalapbettpusa"/>
    <w:link w:val="Cmsor2"/>
    <w:uiPriority w:val="9"/>
    <w:rsid w:val="00DC4B80"/>
    <w:rPr>
      <w:rFonts w:asciiTheme="majorHAnsi" w:eastAsiaTheme="majorEastAsia" w:hAnsiTheme="majorHAnsi" w:cstheme="majorBidi"/>
      <w:b/>
      <w:bCs/>
      <w:color w:val="4F81BD" w:themeColor="accent1"/>
      <w:sz w:val="26"/>
      <w:szCs w:val="26"/>
    </w:rPr>
  </w:style>
  <w:style w:type="paragraph" w:styleId="Lbjegyzetszveg">
    <w:name w:val="footnote text"/>
    <w:aliases w:val="Char"/>
    <w:basedOn w:val="Norml"/>
    <w:link w:val="LbjegyzetszvegChar"/>
    <w:uiPriority w:val="99"/>
    <w:semiHidden/>
    <w:rsid w:val="00DC4B80"/>
    <w:pPr>
      <w:spacing w:after="0" w:line="240" w:lineRule="auto"/>
    </w:pPr>
    <w:rPr>
      <w:rFonts w:ascii="Calibri" w:eastAsia="Calibri" w:hAnsi="Calibri" w:cs="Calibri"/>
      <w:sz w:val="20"/>
      <w:szCs w:val="20"/>
    </w:rPr>
  </w:style>
  <w:style w:type="character" w:customStyle="1" w:styleId="LbjegyzetszvegChar">
    <w:name w:val="Lábjegyzetszöveg Char"/>
    <w:aliases w:val="Char Char"/>
    <w:basedOn w:val="Bekezdsalapbettpusa"/>
    <w:link w:val="Lbjegyzetszveg"/>
    <w:uiPriority w:val="99"/>
    <w:semiHidden/>
    <w:rsid w:val="00DC4B80"/>
    <w:rPr>
      <w:rFonts w:ascii="Calibri" w:eastAsia="Calibri" w:hAnsi="Calibri" w:cs="Calibri"/>
      <w:sz w:val="20"/>
      <w:szCs w:val="20"/>
    </w:rPr>
  </w:style>
  <w:style w:type="character" w:styleId="Lbjegyzet-hivatkozs">
    <w:name w:val="footnote reference"/>
    <w:basedOn w:val="Bekezdsalapbettpusa"/>
    <w:uiPriority w:val="99"/>
    <w:semiHidden/>
    <w:rsid w:val="00DC4B80"/>
    <w:rPr>
      <w:vertAlign w:val="superscript"/>
    </w:rPr>
  </w:style>
  <w:style w:type="paragraph" w:styleId="Lista2">
    <w:name w:val="List 2"/>
    <w:basedOn w:val="Norml"/>
    <w:uiPriority w:val="99"/>
    <w:rsid w:val="00DC4B80"/>
    <w:pPr>
      <w:spacing w:after="0" w:line="240" w:lineRule="auto"/>
      <w:ind w:left="566" w:hanging="283"/>
    </w:pPr>
    <w:rPr>
      <w:rFonts w:ascii="Times New Roman" w:eastAsia="Times New Roman" w:hAnsi="Times New Roman" w:cs="Times New Roman"/>
      <w:sz w:val="24"/>
      <w:szCs w:val="24"/>
      <w:lang w:eastAsia="hu-HU"/>
    </w:rPr>
  </w:style>
  <w:style w:type="paragraph" w:styleId="Felsorols2">
    <w:name w:val="List Bullet 2"/>
    <w:basedOn w:val="Norml"/>
    <w:uiPriority w:val="99"/>
    <w:rsid w:val="00DC4B80"/>
    <w:pPr>
      <w:numPr>
        <w:numId w:val="4"/>
      </w:numPr>
      <w:tabs>
        <w:tab w:val="clear" w:pos="720"/>
        <w:tab w:val="num" w:pos="643"/>
      </w:tabs>
      <w:spacing w:after="0" w:line="240" w:lineRule="auto"/>
      <w:ind w:left="643"/>
    </w:pPr>
    <w:rPr>
      <w:rFonts w:ascii="Times New Roman" w:eastAsia="Times New Roman" w:hAnsi="Times New Roman" w:cs="Times New Roman"/>
      <w:sz w:val="24"/>
      <w:szCs w:val="24"/>
      <w:lang w:eastAsia="hu-HU"/>
    </w:rPr>
  </w:style>
  <w:style w:type="paragraph" w:styleId="Szvegtrzs">
    <w:name w:val="Body Text"/>
    <w:basedOn w:val="Norml"/>
    <w:link w:val="SzvegtrzsChar"/>
    <w:uiPriority w:val="99"/>
    <w:rsid w:val="00DC4B80"/>
    <w:pPr>
      <w:spacing w:after="120" w:line="240" w:lineRule="auto"/>
    </w:pPr>
    <w:rPr>
      <w:rFonts w:ascii="Times New Roman" w:eastAsia="Times New Roman" w:hAnsi="Times New Roman" w:cs="Times New Roman"/>
      <w:sz w:val="24"/>
      <w:szCs w:val="24"/>
      <w:lang w:eastAsia="hu-HU"/>
    </w:rPr>
  </w:style>
  <w:style w:type="character" w:customStyle="1" w:styleId="SzvegtrzsChar">
    <w:name w:val="Szövegtörzs Char"/>
    <w:basedOn w:val="Bekezdsalapbettpusa"/>
    <w:link w:val="Szvegtrzs"/>
    <w:uiPriority w:val="99"/>
    <w:rsid w:val="00DC4B80"/>
    <w:rPr>
      <w:rFonts w:ascii="Times New Roman" w:eastAsia="Times New Roman" w:hAnsi="Times New Roman" w:cs="Times New Roman"/>
      <w:sz w:val="24"/>
      <w:szCs w:val="24"/>
      <w:lang w:eastAsia="hu-HU"/>
    </w:rPr>
  </w:style>
  <w:style w:type="paragraph" w:styleId="Buborkszveg">
    <w:name w:val="Balloon Text"/>
    <w:basedOn w:val="Norml"/>
    <w:link w:val="BuborkszvegChar"/>
    <w:uiPriority w:val="99"/>
    <w:semiHidden/>
    <w:unhideWhenUsed/>
    <w:rsid w:val="001C10F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C10F1"/>
    <w:rPr>
      <w:rFonts w:ascii="Tahoma" w:hAnsi="Tahoma" w:cs="Tahoma"/>
      <w:sz w:val="16"/>
      <w:szCs w:val="16"/>
    </w:rPr>
  </w:style>
  <w:style w:type="paragraph" w:styleId="lfej">
    <w:name w:val="header"/>
    <w:basedOn w:val="Norml"/>
    <w:link w:val="lfejChar"/>
    <w:uiPriority w:val="99"/>
    <w:semiHidden/>
    <w:unhideWhenUsed/>
    <w:rsid w:val="00C24007"/>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C24007"/>
  </w:style>
  <w:style w:type="paragraph" w:styleId="llb">
    <w:name w:val="footer"/>
    <w:basedOn w:val="Norml"/>
    <w:link w:val="llbChar"/>
    <w:uiPriority w:val="99"/>
    <w:semiHidden/>
    <w:unhideWhenUsed/>
    <w:rsid w:val="00C24007"/>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C24007"/>
  </w:style>
</w:styles>
</file>

<file path=word/webSettings.xml><?xml version="1.0" encoding="utf-8"?>
<w:webSettings xmlns:r="http://schemas.openxmlformats.org/officeDocument/2006/relationships" xmlns:w="http://schemas.openxmlformats.org/wordprocessingml/2006/main">
  <w:divs>
    <w:div w:id="76391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13</Pages>
  <Words>2174</Words>
  <Characters>15004</Characters>
  <Application>Microsoft Office Word</Application>
  <DocSecurity>0</DocSecurity>
  <Lines>125</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dcterms:created xsi:type="dcterms:W3CDTF">2012-05-07T08:02:00Z</dcterms:created>
  <dcterms:modified xsi:type="dcterms:W3CDTF">2012-05-07T11:06:00Z</dcterms:modified>
</cp:coreProperties>
</file>