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rPr>
          <w:rFonts w:ascii="Arial" w:cs="Arial" w:eastAsia="Arial" w:hAnsi="Arial"/>
          <w:b w:val="1"/>
          <w:color w:val="ff0000"/>
          <w:sz w:val="28"/>
          <w:szCs w:val="28"/>
          <w:highlight w:val="white"/>
        </w:rPr>
      </w:pPr>
      <w:r w:rsidDel="00000000" w:rsidR="00000000" w:rsidRPr="00000000">
        <w:rPr>
          <w:rFonts w:ascii="Arial" w:cs="Arial" w:eastAsia="Arial" w:hAnsi="Arial"/>
          <w:b w:val="1"/>
          <w:color w:val="ff0000"/>
          <w:sz w:val="28"/>
          <w:szCs w:val="28"/>
          <w:highlight w:val="white"/>
          <w:rtl w:val="0"/>
        </w:rPr>
        <w:t xml:space="preserve">FINAL FOR RELEASE TUESDAY, SEPTEMBER 5, 2017</w:t>
      </w:r>
    </w:p>
    <w:p w:rsidR="00000000" w:rsidDel="00000000" w:rsidP="00000000" w:rsidRDefault="00000000" w:rsidRPr="00000000">
      <w:pPr>
        <w:spacing w:after="120" w:lineRule="auto"/>
        <w:contextualSpacing w:val="0"/>
        <w:jc w:val="center"/>
        <w:rPr>
          <w:rFonts w:ascii="Arial" w:cs="Arial" w:eastAsia="Arial" w:hAnsi="Arial"/>
          <w:color w:val="333333"/>
          <w:sz w:val="28"/>
          <w:szCs w:val="28"/>
          <w:highlight w:val="white"/>
        </w:rPr>
      </w:pPr>
      <w:r w:rsidDel="00000000" w:rsidR="00000000" w:rsidRPr="00000000">
        <w:rPr>
          <w:rtl w:val="0"/>
        </w:rPr>
      </w:r>
    </w:p>
    <w:p w:rsidR="00000000" w:rsidDel="00000000" w:rsidP="00000000" w:rsidRDefault="00000000" w:rsidRPr="00000000">
      <w:pPr>
        <w:spacing w:after="120" w:lineRule="auto"/>
        <w:contextualSpacing w:val="0"/>
        <w:jc w:val="center"/>
        <w:rPr>
          <w:rFonts w:ascii="Arial" w:cs="Arial" w:eastAsia="Arial" w:hAnsi="Arial"/>
          <w:color w:val="333333"/>
          <w:sz w:val="28"/>
          <w:szCs w:val="28"/>
          <w:highlight w:val="white"/>
        </w:rPr>
      </w:pPr>
      <w:r w:rsidDel="00000000" w:rsidR="00000000" w:rsidRPr="00000000">
        <w:rPr>
          <w:rFonts w:ascii="Arial" w:cs="Arial" w:eastAsia="Arial" w:hAnsi="Arial"/>
          <w:color w:val="333333"/>
          <w:sz w:val="28"/>
          <w:szCs w:val="28"/>
          <w:highlight w:val="white"/>
          <w:rtl w:val="0"/>
        </w:rPr>
        <w:t xml:space="preserve">Matryx Platform Aims to Breakthrough Barriers Impeding STEM Innovations</w:t>
      </w:r>
    </w:p>
    <w:p w:rsidR="00000000" w:rsidDel="00000000" w:rsidP="00000000" w:rsidRDefault="00000000" w:rsidRPr="00000000">
      <w:pPr>
        <w:spacing w:after="120" w:lineRule="auto"/>
        <w:contextualSpacing w:val="0"/>
        <w:jc w:val="center"/>
        <w:rPr>
          <w:rFonts w:ascii="Arial" w:cs="Arial" w:eastAsia="Arial" w:hAnsi="Arial"/>
          <w:color w:val="333333"/>
          <w:sz w:val="28"/>
          <w:szCs w:val="28"/>
          <w:highlight w:val="white"/>
        </w:rPr>
      </w:pPr>
      <w:r w:rsidDel="00000000" w:rsidR="00000000" w:rsidRPr="00000000">
        <w:rPr>
          <w:rtl w:val="0"/>
        </w:rPr>
      </w:r>
    </w:p>
    <w:p w:rsidR="00000000" w:rsidDel="00000000" w:rsidP="00000000" w:rsidRDefault="00000000" w:rsidRPr="00000000">
      <w:pPr>
        <w:spacing w:after="120" w:lineRule="auto"/>
        <w:contextualSpacing w:val="0"/>
        <w:jc w:val="center"/>
        <w:rPr>
          <w:rFonts w:ascii="Arial" w:cs="Arial" w:eastAsia="Arial" w:hAnsi="Arial"/>
          <w:color w:val="333333"/>
          <w:sz w:val="28"/>
          <w:szCs w:val="28"/>
          <w:highlight w:val="white"/>
        </w:rPr>
      </w:pPr>
      <w:r w:rsidDel="00000000" w:rsidR="00000000" w:rsidRPr="00000000">
        <w:rPr>
          <w:rFonts w:ascii="Arial" w:cs="Arial" w:eastAsia="Arial" w:hAnsi="Arial"/>
          <w:i w:val="1"/>
          <w:color w:val="333333"/>
          <w:highlight w:val="white"/>
          <w:rtl w:val="0"/>
        </w:rPr>
        <w:t xml:space="preserve">Blockchain-based bounty system incentivizes collaborative problem solving</w:t>
      </w:r>
      <w:r w:rsidDel="00000000" w:rsidR="00000000" w:rsidRPr="00000000">
        <w:rPr>
          <w:rFonts w:ascii="Arial" w:cs="Arial" w:eastAsia="Arial" w:hAnsi="Arial"/>
          <w:color w:val="333333"/>
          <w:sz w:val="28"/>
          <w:szCs w:val="28"/>
          <w:highlight w:val="white"/>
          <w:rtl w:val="0"/>
        </w:rPr>
        <w:t xml:space="preserve"> </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1"/>
        </w:rPr>
      </w:pPr>
      <w:bookmarkStart w:colFirst="0" w:colLast="0" w:name="_48flh81405bn" w:id="0"/>
      <w:bookmarkEnd w:id="0"/>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0"/>
        </w:rPr>
      </w:pPr>
      <w:bookmarkStart w:colFirst="0" w:colLast="0" w:name="_gjdgxs" w:id="1"/>
      <w:bookmarkEnd w:id="1"/>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rFonts w:ascii="Arial" w:cs="Arial" w:eastAsia="Arial" w:hAnsi="Arial"/>
          <w:b w:val="1"/>
          <w:sz w:val="22"/>
          <w:szCs w:val="22"/>
          <w:rtl w:val="0"/>
        </w:rPr>
        <w:t xml:space="preserve">SAN DIEGO, Calif.</w:t>
      </w:r>
      <w:r w:rsidDel="00000000" w:rsidR="00000000" w:rsidRPr="00000000">
        <w:rPr>
          <w:rFonts w:ascii="Arial" w:cs="Arial" w:eastAsia="Arial" w:hAnsi="Arial"/>
          <w:b w:val="1"/>
          <w:color w:val="000000"/>
          <w:sz w:val="22"/>
          <w:szCs w:val="22"/>
          <w:rtl w:val="0"/>
        </w:rPr>
        <w:t xml:space="preserve"> – </w:t>
      </w:r>
      <w:r w:rsidDel="00000000" w:rsidR="00000000" w:rsidRPr="00000000">
        <w:rPr>
          <w:rFonts w:ascii="Arial" w:cs="Arial" w:eastAsia="Arial" w:hAnsi="Arial"/>
          <w:b w:val="1"/>
          <w:sz w:val="22"/>
          <w:szCs w:val="22"/>
          <w:rtl w:val="0"/>
        </w:rPr>
        <w:t xml:space="preserve">September 5, </w:t>
      </w:r>
      <w:r w:rsidDel="00000000" w:rsidR="00000000" w:rsidRPr="00000000">
        <w:rPr>
          <w:rFonts w:ascii="Arial" w:cs="Arial" w:eastAsia="Arial" w:hAnsi="Arial"/>
          <w:b w:val="1"/>
          <w:color w:val="000000"/>
          <w:sz w:val="22"/>
          <w:szCs w:val="22"/>
          <w:rtl w:val="0"/>
        </w:rPr>
        <w:t xml:space="preserve">2017 –</w:t>
      </w:r>
      <w:r w:rsidDel="00000000" w:rsidR="00000000" w:rsidRPr="00000000">
        <w:rPr>
          <w:rFonts w:ascii="Arial" w:cs="Arial" w:eastAsia="Arial" w:hAnsi="Arial"/>
          <w:color w:val="000000"/>
          <w:sz w:val="22"/>
          <w:szCs w:val="22"/>
          <w:rtl w:val="0"/>
        </w:rPr>
        <w:t xml:space="preserve"> </w:t>
      </w:r>
      <w:hyperlink r:id="rId5">
        <w:r w:rsidDel="00000000" w:rsidR="00000000" w:rsidRPr="00000000">
          <w:rPr>
            <w:rFonts w:ascii="Arial" w:cs="Arial" w:eastAsia="Arial" w:hAnsi="Arial"/>
            <w:color w:val="1155cc"/>
            <w:sz w:val="22"/>
            <w:szCs w:val="22"/>
            <w:u w:val="single"/>
            <w:rtl w:val="0"/>
          </w:rPr>
          <w:t xml:space="preserve">Matryx</w:t>
        </w:r>
      </w:hyperlink>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an open source platform for decentralized collaboration</w:t>
      </w:r>
      <w:r w:rsidDel="00000000" w:rsidR="00000000" w:rsidRPr="00000000">
        <w:rPr>
          <w:rFonts w:ascii="Arial" w:cs="Arial" w:eastAsia="Arial" w:hAnsi="Arial"/>
          <w:sz w:val="22"/>
          <w:szCs w:val="22"/>
          <w:rtl w:val="0"/>
        </w:rPr>
        <w:t xml:space="preserve">, is pairing virtual reality and blockchain technologies to provide an ecosystem for collaborative problem solving across fields like science, technology, engineering and math (STEM). </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Technologies like the printing press, postal service, telephone and internet have enabled global collaboration and connectivity for hundreds of year</w:t>
      </w:r>
      <w:r w:rsidDel="00000000" w:rsidR="00000000" w:rsidRPr="00000000">
        <w:rPr>
          <w:rFonts w:ascii="Arial" w:cs="Arial" w:eastAsia="Arial" w:hAnsi="Arial"/>
          <w:sz w:val="22"/>
          <w:szCs w:val="22"/>
          <w:rtl w:val="0"/>
        </w:rPr>
        <w:t xml:space="preserve">s. </w:t>
      </w:r>
      <w:r w:rsidDel="00000000" w:rsidR="00000000" w:rsidRPr="00000000">
        <w:rPr>
          <w:rFonts w:ascii="Arial" w:cs="Arial" w:eastAsia="Arial" w:hAnsi="Arial"/>
          <w:sz w:val="22"/>
          <w:szCs w:val="22"/>
          <w:rtl w:val="0"/>
        </w:rPr>
        <w:t xml:space="preserve">However, despite these advancements, there still lacks a unified ecosystem for transparent and effective collaboration. </w:t>
      </w:r>
      <w:r w:rsidDel="00000000" w:rsidR="00000000" w:rsidRPr="00000000">
        <w:rPr>
          <w:rFonts w:ascii="Arial" w:cs="Arial" w:eastAsia="Arial" w:hAnsi="Arial"/>
          <w:sz w:val="22"/>
          <w:szCs w:val="22"/>
          <w:rtl w:val="0"/>
        </w:rPr>
        <w:t xml:space="preserve">Duplication and fragmented efforts lead to time and money lost. </w:t>
      </w:r>
      <w:r w:rsidDel="00000000" w:rsidR="00000000" w:rsidRPr="00000000">
        <w:rPr>
          <w:rFonts w:ascii="Arial" w:cs="Arial" w:eastAsia="Arial" w:hAnsi="Arial"/>
          <w:sz w:val="22"/>
          <w:szCs w:val="22"/>
          <w:rtl w:val="0"/>
        </w:rPr>
        <w:t xml:space="preserve">In addition</w:t>
      </w:r>
      <w:r w:rsidDel="00000000" w:rsidR="00000000" w:rsidRPr="00000000">
        <w:rPr>
          <w:rFonts w:ascii="Arial" w:cs="Arial" w:eastAsia="Arial" w:hAnsi="Arial"/>
          <w:sz w:val="22"/>
          <w:szCs w:val="22"/>
          <w:rtl w:val="0"/>
        </w:rPr>
        <w:t xml:space="preserve">, many critical contributors</w:t>
      </w:r>
      <w:r w:rsidDel="00000000" w:rsidR="00000000" w:rsidRPr="00000000">
        <w:rPr>
          <w:rFonts w:ascii="Arial" w:cs="Arial" w:eastAsia="Arial" w:hAnsi="Arial"/>
          <w:sz w:val="22"/>
          <w:szCs w:val="22"/>
          <w:rtl w:val="0"/>
        </w:rPr>
        <w:t xml:space="preserve"> to breakthroughs are overshadowed by the few who reveal work to the public in its final stages. By creating a visual, collaborative and public think tank, Matryx ensures that recognition is rightfully giv</w:t>
      </w:r>
      <w:r w:rsidDel="00000000" w:rsidR="00000000" w:rsidRPr="00000000">
        <w:rPr>
          <w:rFonts w:ascii="Arial" w:cs="Arial" w:eastAsia="Arial" w:hAnsi="Arial"/>
          <w:sz w:val="22"/>
          <w:szCs w:val="22"/>
          <w:rtl w:val="0"/>
        </w:rPr>
        <w:t xml:space="preserve">en to all contributors of a given solution, thereby encouraging and incentivizing innovation at every level. </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history of innovation points towards a clear future: a world where science, research and collaboration occur on a blockchain,” said Steve McCloskey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CEO, Matryx. “We believe that Matryx is this future. It will make problem solving a collective experience where all contributors are recognized for providing a critical building block towards a given solution; and it will speed the rate by which that given solution is found.”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Watch how Matryx works: https://www.youtube.com/watch?v=iLHlwnaqTWw</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Matryx consists of a library, marketplace, and bounty system for unique problems and their creative solutions. The Matryx Marketplace allows direct value exchange between users, allowing anyone to buy, sell or exchange digital assets for use in their designs for research or use in their digital worlds. Matryx uses an</w:t>
      </w:r>
      <w:r w:rsidDel="00000000" w:rsidR="00000000" w:rsidRPr="00000000">
        <w:rPr>
          <w:rFonts w:ascii="Arial" w:cs="Arial" w:eastAsia="Arial" w:hAnsi="Arial"/>
          <w:sz w:val="22"/>
          <w:szCs w:val="22"/>
          <w:rtl w:val="0"/>
        </w:rPr>
        <w:t xml:space="preserve"> ERC20</w:t>
      </w:r>
      <w:r w:rsidDel="00000000" w:rsidR="00000000" w:rsidRPr="00000000">
        <w:rPr>
          <w:rFonts w:ascii="Arial" w:cs="Arial" w:eastAsia="Arial" w:hAnsi="Arial"/>
          <w:sz w:val="22"/>
          <w:szCs w:val="22"/>
          <w:rtl w:val="0"/>
        </w:rPr>
        <w:t xml:space="preserve"> token, MTX, for the exchange of ideas and the Matryx bounty system.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 token sale of MTX token will kick off via pre-sale on Wednesday, September 6, followed by the official launch on Wednesday, September 13, 2017. To participate, visit </w:t>
      </w:r>
      <w:hyperlink r:id="rId6">
        <w:r w:rsidDel="00000000" w:rsidR="00000000" w:rsidRPr="00000000">
          <w:rPr>
            <w:rFonts w:ascii="Arial" w:cs="Arial" w:eastAsia="Arial" w:hAnsi="Arial"/>
            <w:color w:val="1155cc"/>
            <w:sz w:val="22"/>
            <w:szCs w:val="22"/>
            <w:u w:val="single"/>
            <w:rtl w:val="0"/>
          </w:rPr>
          <w:t xml:space="preserve">https://matryx.ai</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About Matryx</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Matryx aims to incentivize collaboration in fields of knowledge and creation like science, technology, engineering, and mathematics (STEM). The open source platform consists of a bounty system, a library of</w:t>
      </w:r>
      <w:r w:rsidDel="00000000" w:rsidR="00000000" w:rsidRPr="00000000">
        <w:rPr>
          <w:rFonts w:ascii="Arial" w:cs="Arial" w:eastAsia="Arial" w:hAnsi="Arial"/>
          <w:sz w:val="22"/>
          <w:szCs w:val="22"/>
          <w:rtl w:val="0"/>
        </w:rPr>
        <w:t xml:space="preserve"> digital assets, and a </w:t>
      </w:r>
      <w:r w:rsidDel="00000000" w:rsidR="00000000" w:rsidRPr="00000000">
        <w:rPr>
          <w:rFonts w:ascii="Arial" w:cs="Arial" w:eastAsia="Arial" w:hAnsi="Arial"/>
          <w:sz w:val="22"/>
          <w:szCs w:val="22"/>
          <w:rtl w:val="0"/>
        </w:rPr>
        <w:t xml:space="preserve">marketplace</w:t>
      </w:r>
      <w:r w:rsidDel="00000000" w:rsidR="00000000" w:rsidRPr="00000000">
        <w:rPr>
          <w:rFonts w:ascii="Arial" w:cs="Arial" w:eastAsia="Arial" w:hAnsi="Arial"/>
          <w:sz w:val="22"/>
          <w:szCs w:val="22"/>
          <w:rtl w:val="0"/>
        </w:rPr>
        <w:t xml:space="preserve">. Matryx will create a de facto standard for incentivized collaboration on top of the Ethereum blockchain using the ERC20 token MTX. Matryx is a product of </w:t>
      </w:r>
      <w:r w:rsidDel="00000000" w:rsidR="00000000" w:rsidRPr="00000000">
        <w:rPr>
          <w:rFonts w:ascii="Arial" w:cs="Arial" w:eastAsia="Arial" w:hAnsi="Arial"/>
          <w:sz w:val="22"/>
          <w:szCs w:val="22"/>
          <w:rtl w:val="0"/>
        </w:rPr>
        <w:t xml:space="preserve">Nanome Inc.,</w:t>
      </w:r>
      <w:r w:rsidDel="00000000" w:rsidR="00000000" w:rsidRPr="00000000">
        <w:rPr>
          <w:rFonts w:ascii="Arial" w:cs="Arial" w:eastAsia="Arial" w:hAnsi="Arial"/>
          <w:sz w:val="22"/>
          <w:szCs w:val="22"/>
          <w:rtl w:val="0"/>
        </w:rPr>
        <w:t xml:space="preserve"> creator of virtual reality software for scientific research and development</w:t>
      </w:r>
      <w:r w:rsidDel="00000000" w:rsidR="00000000" w:rsidRPr="00000000">
        <w:rPr>
          <w:rFonts w:ascii="Arial" w:cs="Arial" w:eastAsia="Arial" w:hAnsi="Arial"/>
          <w:sz w:val="22"/>
          <w:szCs w:val="22"/>
          <w:rtl w:val="0"/>
        </w:rPr>
        <w:t xml:space="preserve">. The Nanome software suite includes Calcflow, the industry-leading VR mathematics toolkit, nano-one, a VR interface for nanoscale design and simulation and Matryx. For more information, please visit </w:t>
      </w:r>
      <w:hyperlink r:id="rId7">
        <w:r w:rsidDel="00000000" w:rsidR="00000000" w:rsidRPr="00000000">
          <w:rPr>
            <w:rFonts w:ascii="Arial" w:cs="Arial" w:eastAsia="Arial" w:hAnsi="Arial"/>
            <w:color w:val="1155cc"/>
            <w:sz w:val="22"/>
            <w:szCs w:val="22"/>
            <w:u w:val="single"/>
            <w:rtl w:val="0"/>
          </w:rPr>
          <w:t xml:space="preserve">https://matryx.ai</w:t>
        </w:r>
      </w:hyperlink>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More Resources: </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Matryx Token Sale</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Matryx Blog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Matryx Whitepaper</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Matryx Telegram</w:t>
        </w:r>
      </w:hyperlink>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Media Contact</w:t>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Whitney True, for Matryx</w:t>
      </w:r>
    </w:p>
    <w:p w:rsidR="00000000" w:rsidDel="00000000" w:rsidP="00000000" w:rsidRDefault="00000000" w:rsidRPr="00000000">
      <w:pPr>
        <w:spacing w:line="276" w:lineRule="auto"/>
        <w:contextualSpacing w:val="0"/>
        <w:jc w:val="both"/>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press@matryx.ai</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t.me/matryxai" TargetMode="External"/><Relationship Id="rId10" Type="http://schemas.openxmlformats.org/officeDocument/2006/relationships/hyperlink" Target="http://matryx.ai/matryx-whitepaper.pdf" TargetMode="External"/><Relationship Id="rId12" Type="http://schemas.openxmlformats.org/officeDocument/2006/relationships/hyperlink" Target="mailto:press@matryx.ai" TargetMode="External"/><Relationship Id="rId9" Type="http://schemas.openxmlformats.org/officeDocument/2006/relationships/hyperlink" Target="https://blog.matryx.ai/?utm_campaign=pr&amp;utm_source=wire&amp;utm_medium=press" TargetMode="External"/><Relationship Id="rId5" Type="http://schemas.openxmlformats.org/officeDocument/2006/relationships/hyperlink" Target="https://matryx.ai/" TargetMode="External"/><Relationship Id="rId6" Type="http://schemas.openxmlformats.org/officeDocument/2006/relationships/hyperlink" Target="https://matryx.ai" TargetMode="External"/><Relationship Id="rId7" Type="http://schemas.openxmlformats.org/officeDocument/2006/relationships/hyperlink" Target="https://matryx.ai" TargetMode="External"/><Relationship Id="rId8" Type="http://schemas.openxmlformats.org/officeDocument/2006/relationships/hyperlink" Target="http://matryx.ai/?utm_campaign=pr&amp;utm_source=wire&amp;utm_medium=press" TargetMode="External"/></Relationships>
</file>