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Clinical Data Explorer</w:t>
      </w:r>
    </w:p>
    <w:p>
      <w:r>
        <w:rPr>
          <w:i/>
        </w:rPr>
        <w:t>A Domino App for exploring, filtering, and visualizing clinical and general datasets.</w:t>
      </w:r>
    </w:p>
    <w:p>
      <w:pPr>
        <w:pStyle w:val="Heading1"/>
      </w:pPr>
      <w:r>
        <w:t>Overview</w:t>
      </w:r>
    </w:p>
    <w:p>
      <w:r>
        <w:t xml:space="preserve">Clinical Data Explorer is an AI-powered dataset analysis application that runs as a Domino App. It lets users browse, filter, and visualize tabular data through an intuitive web interface, and ask questions about their data in plain English. It reads data files directly from a Domino project’s </w:t>
      </w:r>
      <w:r>
        <w:rPr>
          <w:rFonts w:ascii="Consolas" w:hAnsi="Consolas"/>
          <w:color w:val="B03060"/>
          <w:sz w:val="20"/>
        </w:rPr>
        <w:t>datasets</w:t>
      </w:r>
      <w:r>
        <w:t xml:space="preserve"> folder and supports CSV, Parquet, SAS (</w:t>
      </w:r>
      <w:r>
        <w:rPr>
          <w:rFonts w:ascii="Consolas" w:hAnsi="Consolas"/>
          <w:color w:val="B03060"/>
          <w:sz w:val="20"/>
        </w:rPr>
        <w:t>.sas7bdat</w:t>
      </w:r>
      <w:r>
        <w:t>), SAS Transport (</w:t>
      </w:r>
      <w:r>
        <w:rPr>
          <w:rFonts w:ascii="Consolas" w:hAnsi="Consolas"/>
          <w:color w:val="B03060"/>
          <w:sz w:val="20"/>
        </w:rPr>
        <w:t>.xpt</w:t>
      </w:r>
      <w:r>
        <w:t>), and CDISC Dataset-JSON formats.</w:t>
      </w:r>
    </w:p>
    <w:p>
      <w:pPr>
        <w:pStyle w:val="Heading2"/>
      </w:pPr>
      <w:r>
        <w:t>Who it’s for</w:t>
      </w:r>
    </w:p>
    <w:p>
      <w:r>
        <w:t>It is aimed at clinical data scientists, statistical programmers, data managers, and reviewers who work with clinical trial data (including CDISC/ADaM datasets), as well as anyone who needs a quick, no-code way to explore tabular data on Domino. Because it understands cryptic clinical variable names, it is especially useful for life-sciences teams, but it works equally well for general datasets.</w:t>
      </w:r>
    </w:p>
    <w:p>
      <w:pPr>
        <w:pStyle w:val="Heading1"/>
      </w:pPr>
      <w:r>
        <w:t>Key Features</w:t>
      </w:r>
    </w:p>
    <w:p>
      <w:pPr>
        <w:pStyle w:val="ListBullet"/>
      </w:pPr>
      <w:r>
        <w:rPr>
          <w:b/>
        </w:rPr>
        <w:t>Table View</w:t>
      </w:r>
      <w:r>
        <w:t xml:space="preserve"> – Browse and filter datasets in an interactive table, with built-in missing-values analysis, summary statistics, and distinct-value counts.</w:t>
      </w:r>
    </w:p>
    <w:p>
      <w:pPr>
        <w:pStyle w:val="ListBullet"/>
      </w:pPr>
      <w:r>
        <w:rPr>
          <w:b/>
        </w:rPr>
        <w:t>Explore</w:t>
      </w:r>
      <w:r>
        <w:t xml:space="preserve"> – Build visualizations, including histograms, X-Y plots, and category bar charts.</w:t>
      </w:r>
    </w:p>
    <w:p>
      <w:pPr>
        <w:pStyle w:val="ListBullet"/>
      </w:pPr>
      <w:r>
        <w:rPr>
          <w:b/>
        </w:rPr>
        <w:t>Chat</w:t>
      </w:r>
      <w:r>
        <w:t xml:space="preserve"> – Ask questions about your data in natural language (requires an LLM provider to be configured).</w:t>
      </w:r>
    </w:p>
    <w:p>
      <w:pPr>
        <w:pStyle w:val="ListBullet"/>
      </w:pPr>
      <w:r>
        <w:rPr>
          <w:b/>
        </w:rPr>
        <w:t>Governance</w:t>
      </w:r>
      <w:r>
        <w:t xml:space="preserve"> – Create findings against governed datasets that are attached to a Domino governance bundle.</w:t>
      </w:r>
    </w:p>
    <w:p>
      <w:pPr>
        <w:pStyle w:val="ListBullet"/>
      </w:pPr>
      <w:r>
        <w:rPr>
          <w:b/>
        </w:rPr>
        <w:t>Friendly Names</w:t>
      </w:r>
      <w:r>
        <w:t xml:space="preserve"> – Toggle human-readable labels in place of raw column names (e.g., for ADaM variables).</w:t>
      </w:r>
    </w:p>
    <w:p>
      <w:pPr>
        <w:pStyle w:val="ListBullet"/>
      </w:pPr>
      <w:r>
        <w:rPr>
          <w:b/>
        </w:rPr>
        <w:t>Shareable views</w:t>
      </w:r>
      <w:r>
        <w:t xml:space="preserve"> – Copy a link that preserves your current filters so colleagues see the exact same view.</w:t>
      </w:r>
    </w:p>
    <w:p>
      <w:pPr>
        <w:pStyle w:val="Heading1"/>
      </w:pPr>
      <w:r>
        <w:t>How to Use It</w:t>
      </w:r>
    </w:p>
    <w:p>
      <w:pPr>
        <w:pStyle w:val="ListNumber"/>
      </w:pPr>
      <w:r>
        <w:rPr>
          <w:b/>
        </w:rPr>
        <w:t xml:space="preserve">Load a dataset. </w:t>
      </w:r>
      <w:r>
        <w:t xml:space="preserve">Choose a file from the dataset picker and click </w:t>
      </w:r>
      <w:r>
        <w:rPr>
          <w:b/>
        </w:rPr>
        <w:t>Load</w:t>
      </w:r>
      <w:r>
        <w:t xml:space="preserve">. Files come from the project’s </w:t>
      </w:r>
      <w:r>
        <w:rPr>
          <w:rFonts w:ascii="Consolas" w:hAnsi="Consolas"/>
          <w:color w:val="B03060"/>
          <w:sz w:val="20"/>
        </w:rPr>
        <w:t>datasets</w:t>
      </w:r>
      <w:r>
        <w:t xml:space="preserve"> folder.</w:t>
      </w:r>
    </w:p>
    <w:p>
      <w:pPr>
        <w:pStyle w:val="ListNumber"/>
      </w:pPr>
      <w:r>
        <w:rPr>
          <w:b/>
        </w:rPr>
        <w:t xml:space="preserve">Filter the data. </w:t>
      </w:r>
      <w:r>
        <w:t xml:space="preserve">Use </w:t>
      </w:r>
      <w:r>
        <w:rPr>
          <w:b/>
        </w:rPr>
        <w:t>+ Add Filter</w:t>
      </w:r>
      <w:r>
        <w:t xml:space="preserve"> to build column/operator/value filters, or use </w:t>
      </w:r>
      <w:r>
        <w:rPr>
          <w:b/>
        </w:rPr>
        <w:t>Expression</w:t>
      </w:r>
      <w:r>
        <w:t xml:space="preserve"> filters written in SAS WHERE, R dplyr, or Python pandas syntax. Click </w:t>
      </w:r>
      <w:r>
        <w:rPr>
          <w:b/>
        </w:rPr>
        <w:t>Copy Link</w:t>
      </w:r>
      <w:r>
        <w:t xml:space="preserve"> to share a filtered view.</w:t>
      </w:r>
    </w:p>
    <w:p>
      <w:pPr>
        <w:pStyle w:val="ListNumber"/>
      </w:pPr>
      <w:r>
        <w:rPr>
          <w:b/>
        </w:rPr>
        <w:t xml:space="preserve">Explore visually. </w:t>
      </w:r>
      <w:r>
        <w:t xml:space="preserve">Switch to the </w:t>
      </w:r>
      <w:r>
        <w:rPr>
          <w:b/>
        </w:rPr>
        <w:t>Explore</w:t>
      </w:r>
      <w:r>
        <w:t xml:space="preserve"> tab and pick a column for a histogram, or choose X and Y axes for an X-Y plot. Optionally group by a category.</w:t>
      </w:r>
    </w:p>
    <w:p>
      <w:pPr>
        <w:pStyle w:val="ListNumber"/>
      </w:pPr>
      <w:r>
        <w:rPr>
          <w:b/>
        </w:rPr>
        <w:t xml:space="preserve">Ask questions. </w:t>
      </w:r>
      <w:r>
        <w:t xml:space="preserve">If chat is configured, use the </w:t>
      </w:r>
      <w:r>
        <w:rPr>
          <w:b/>
        </w:rPr>
        <w:t>Chat</w:t>
      </w:r>
      <w:r>
        <w:t xml:space="preserve"> tab to ask things like “What columns are in this dataset?” or “Show me the distribution of AGE.”</w:t>
      </w:r>
    </w:p>
    <w:p>
      <w:r>
        <w:rPr>
          <w:b/>
        </w:rPr>
        <w:t>Table View</w:t>
      </w:r>
      <w:r>
        <w:t xml:space="preserve"> with a loaded dataset and missing-values analysis:</w:t>
      </w:r>
    </w:p>
    <w:p>
      <w:pPr>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02-table-view.png"/>
                    <pic:cNvPicPr/>
                  </pic:nvPicPr>
                  <pic:blipFill>
                    <a:blip r:embed="rId9"/>
                    <a:stretch>
                      <a:fillRect/>
                    </a:stretch>
                  </pic:blipFill>
                  <pic:spPr>
                    <a:xfrm>
                      <a:off x="0" y="0"/>
                      <a:ext cx="5760720" cy="3240405"/>
                    </a:xfrm>
                    <a:prstGeom prst="rect"/>
                  </pic:spPr>
                </pic:pic>
              </a:graphicData>
            </a:graphic>
          </wp:inline>
        </w:drawing>
      </w:r>
    </w:p>
    <w:p>
      <w:r>
        <w:rPr>
          <w:b/>
        </w:rPr>
        <w:t>Explore</w:t>
      </w:r>
      <w:r>
        <w:t xml:space="preserve"> tab showing a histogram alongside a category bar chart:</w:t>
      </w:r>
    </w:p>
    <w:p>
      <w:pPr>
        <w:jc w:val="center"/>
      </w:pPr>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06-explore-bar-chart.png"/>
                    <pic:cNvPicPr/>
                  </pic:nvPicPr>
                  <pic:blipFill>
                    <a:blip r:embed="rId10"/>
                    <a:stretch>
                      <a:fillRect/>
                    </a:stretch>
                  </pic:blipFill>
                  <pic:spPr>
                    <a:xfrm>
                      <a:off x="0" y="0"/>
                      <a:ext cx="5760720" cy="3240405"/>
                    </a:xfrm>
                    <a:prstGeom prst="rect"/>
                  </pic:spPr>
                </pic:pic>
              </a:graphicData>
            </a:graphic>
          </wp:inline>
        </w:drawing>
      </w:r>
    </w:p>
    <w:p>
      <w:r>
        <w:rPr>
          <w:b/>
        </w:rPr>
        <w:t>Create Finding</w:t>
      </w:r>
      <w:r>
        <w:t xml:space="preserve"> for a governed dataset, with the current filtered view captured as a permalink:</w:t>
      </w:r>
    </w:p>
    <w:p>
      <w:pPr>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10-create-finding-modal.png"/>
                    <pic:cNvPicPr/>
                  </pic:nvPicPr>
                  <pic:blipFill>
                    <a:blip r:embed="rId11"/>
                    <a:stretch>
                      <a:fillRect/>
                    </a:stretch>
                  </pic:blipFill>
                  <pic:spPr>
                    <a:xfrm>
                      <a:off x="0" y="0"/>
                      <a:ext cx="4389120" cy="2468880"/>
                    </a:xfrm>
                    <a:prstGeom prst="rect"/>
                  </pic:spPr>
                </pic:pic>
              </a:graphicData>
            </a:graphic>
          </wp:inline>
        </w:drawing>
      </w:r>
    </w:p>
    <w:p>
      <w:pPr>
        <w:pStyle w:val="Heading1"/>
      </w:pPr>
      <w:r>
        <w:t>Installation &amp; Setup</w:t>
      </w:r>
    </w:p>
    <w:p>
      <w:r>
        <w:t>Clinical Data Explorer is installed by deploying it as a Domino App and promoting that App to a Domino Extension. The steps below cover a manual production install.</w:t>
      </w:r>
    </w:p>
    <w:p>
      <w:pPr>
        <w:pStyle w:val="Heading2"/>
      </w:pPr>
      <w:r>
        <w:t>1. Enable Central Config</w:t>
      </w:r>
    </w:p>
    <w:p>
      <w:r>
        <w:t>Enable Extended Identity Propagation so the viewing user’s identity is attached to the requests they send when interacting with the app. Set this Central Config value:</w:t>
      </w:r>
    </w:p>
    <w:p>
      <w:r>
        <w:rPr>
          <w:rFonts w:ascii="Consolas" w:hAnsi="Consolas"/>
          <w:color w:val="B03060"/>
          <w:sz w:val="20"/>
        </w:rPr>
        <w:t>com.cerebro.domino.apps.extendedIdentityPropagationToAppsEnabled=true</w:t>
      </w:r>
    </w:p>
    <w:p>
      <w:pPr>
        <w:pStyle w:val="Heading2"/>
      </w:pPr>
      <w:r>
        <w:t>2. Create the Domino Environment</w:t>
      </w:r>
    </w:p>
    <w:p>
      <w:pPr>
        <w:pStyle w:val="ListBullet"/>
      </w:pPr>
      <w:r>
        <w:t xml:space="preserve">Create a Domino Environment named </w:t>
      </w:r>
      <w:r>
        <w:rPr>
          <w:b/>
        </w:rPr>
        <w:t>Clinical Data Explorer</w:t>
      </w:r>
      <w:r>
        <w:t xml:space="preserve"> using the repository’s </w:t>
      </w:r>
      <w:r>
        <w:rPr>
          <w:rFonts w:ascii="Consolas" w:hAnsi="Consolas"/>
          <w:color w:val="B03060"/>
          <w:sz w:val="20"/>
        </w:rPr>
        <w:t>Dockerfile</w:t>
      </w:r>
      <w:r>
        <w:t>.</w:t>
      </w:r>
    </w:p>
    <w:p>
      <w:pPr>
        <w:pStyle w:val="ListBullet"/>
      </w:pPr>
      <w:r>
        <w:rPr>
          <w:b/>
        </w:rPr>
        <w:t>Uncheck</w:t>
      </w:r>
      <w:r>
        <w:t xml:space="preserve"> “Automatically make compatible with Domino.”</w:t>
      </w:r>
    </w:p>
    <w:p>
      <w:pPr>
        <w:pStyle w:val="ListBullet"/>
      </w:pPr>
      <w:r>
        <w:t>Use the “Required Domino Environment Base Image” from the comment at the top of the Dockerfile as the base image.</w:t>
      </w:r>
    </w:p>
    <w:p>
      <w:pPr>
        <w:pStyle w:val="ListBullet"/>
      </w:pPr>
      <w:r>
        <w:t xml:space="preserve">Set the </w:t>
      </w:r>
      <w:r>
        <w:rPr>
          <w:rFonts w:ascii="Consolas" w:hAnsi="Consolas"/>
          <w:color w:val="B03060"/>
          <w:sz w:val="20"/>
        </w:rPr>
        <w:t>ARG EXTENSION_VERSION</w:t>
      </w:r>
      <w:r>
        <w:t xml:space="preserve"> to your desired version, then wait for the environment to finish building.</w:t>
      </w:r>
    </w:p>
    <w:p>
      <w:pPr>
        <w:pStyle w:val="Heading2"/>
      </w:pPr>
      <w:r>
        <w:t>3. Create the Extension Project</w:t>
      </w:r>
    </w:p>
    <w:p>
      <w:r>
        <w:t xml:space="preserve">Create a Git-backed Project using the public </w:t>
      </w:r>
      <w:r>
        <w:rPr>
          <w:rFonts w:ascii="Consolas" w:hAnsi="Consolas"/>
          <w:color w:val="B03060"/>
          <w:sz w:val="20"/>
        </w:rPr>
        <w:t>dominodatalab/clinical-data-explorer</w:t>
      </w:r>
      <w:r>
        <w:t xml:space="preserve"> GitHub repository: https://github.com/dominodatalab/clinical-data-explorer. No credentials are required.</w:t>
      </w:r>
    </w:p>
    <w:p>
      <w:pPr>
        <w:pStyle w:val="Heading2"/>
      </w:pPr>
      <w:r>
        <w:t>4. Configure Project Environment Variables</w:t>
      </w:r>
    </w:p>
    <w:p>
      <w:pPr>
        <w:pStyle w:val="ListBullet"/>
      </w:pPr>
      <w:r>
        <w:t xml:space="preserve">To enable the </w:t>
      </w:r>
      <w:r>
        <w:rPr>
          <w:b/>
        </w:rPr>
        <w:t>Chat</w:t>
      </w:r>
      <w:r>
        <w:t xml:space="preserve"> feature, set the LLM provider variables: </w:t>
      </w:r>
      <w:r>
        <w:rPr>
          <w:rFonts w:ascii="Consolas" w:hAnsi="Consolas"/>
          <w:color w:val="B03060"/>
          <w:sz w:val="20"/>
        </w:rPr>
        <w:t>LLM_API_KEY</w:t>
      </w:r>
      <w:r>
        <w:t xml:space="preserve">, </w:t>
      </w:r>
      <w:r>
        <w:rPr>
          <w:rFonts w:ascii="Consolas" w:hAnsi="Consolas"/>
          <w:color w:val="B03060"/>
          <w:sz w:val="20"/>
        </w:rPr>
        <w:t>LLM_BASE_URL</w:t>
      </w:r>
      <w:r>
        <w:t xml:space="preserve">, and </w:t>
      </w:r>
      <w:r>
        <w:rPr>
          <w:rFonts w:ascii="Consolas" w:hAnsi="Consolas"/>
          <w:color w:val="B03060"/>
          <w:sz w:val="20"/>
        </w:rPr>
        <w:t>LLM_MODEL</w:t>
      </w:r>
      <w:r>
        <w:t>. Chat uses OpenAI by default.</w:t>
      </w:r>
    </w:p>
    <w:p>
      <w:pPr>
        <w:pStyle w:val="ListBullet"/>
      </w:pPr>
      <w:r>
        <w:t xml:space="preserve">For governance, set </w:t>
      </w:r>
      <w:r>
        <w:rPr>
          <w:rFonts w:ascii="Consolas" w:hAnsi="Consolas"/>
          <w:color w:val="B03060"/>
          <w:sz w:val="20"/>
        </w:rPr>
        <w:t>DOMINO_API_HOST_OVERD</w:t>
      </w:r>
      <w:r>
        <w:t xml:space="preserve"> to your Domino deployment URL.</w:t>
      </w:r>
    </w:p>
    <w:p>
      <w:pPr>
        <w:pStyle w:val="ListBullet"/>
      </w:pPr>
      <w:r>
        <w:t xml:space="preserve">Cache, session, and dataset-size variables all have defaults. For higher concurrency or larger files, tune values such as </w:t>
      </w:r>
      <w:r>
        <w:rPr>
          <w:rFonts w:ascii="Consolas" w:hAnsi="Consolas"/>
          <w:color w:val="B03060"/>
          <w:sz w:val="20"/>
        </w:rPr>
        <w:t>MCP_SERVER_DATAFRAME_CACHE_SIZE_B</w:t>
      </w:r>
      <w:r>
        <w:t xml:space="preserve">, </w:t>
      </w:r>
      <w:r>
        <w:rPr>
          <w:rFonts w:ascii="Consolas" w:hAnsi="Consolas"/>
          <w:color w:val="B03060"/>
          <w:sz w:val="20"/>
        </w:rPr>
        <w:t>DATA_FILE_SIZE_LIMIT_B</w:t>
      </w:r>
      <w:r>
        <w:t xml:space="preserve">, and </w:t>
      </w:r>
      <w:r>
        <w:rPr>
          <w:rFonts w:ascii="Consolas" w:hAnsi="Consolas"/>
          <w:color w:val="B03060"/>
          <w:sz w:val="20"/>
        </w:rPr>
        <w:t>DATASET_LOAD_REQUEST_QUEUE_MAX_LENGTH</w:t>
      </w:r>
      <w:r>
        <w:t>.</w:t>
      </w:r>
    </w:p>
    <w:p>
      <w:pPr>
        <w:pStyle w:val="ListBullet"/>
      </w:pPr>
      <w:r>
        <w:t xml:space="preserve">For additional configuration options, see the </w:t>
      </w:r>
      <w:r>
        <w:rPr>
          <w:b/>
        </w:rPr>
        <w:t>Advanced Settings</w:t>
      </w:r>
      <w:r>
        <w:t xml:space="preserve"> section below.</w:t>
      </w:r>
    </w:p>
    <w:p>
      <w:pPr>
        <w:pStyle w:val="Heading2"/>
      </w:pPr>
      <w:r>
        <w:t>5. Deploy the App</w:t>
      </w:r>
    </w:p>
    <w:p>
      <w:r>
        <w:t xml:space="preserve">Open the </w:t>
      </w:r>
      <w:r>
        <w:rPr>
          <w:b/>
        </w:rPr>
        <w:t>Publish</w:t>
      </w:r>
      <w:r>
        <w:t xml:space="preserve"> modal and complete the wizard:</w:t>
      </w:r>
    </w:p>
    <w:p>
      <w:pPr>
        <w:pStyle w:val="ListBullet"/>
      </w:pPr>
      <w:r>
        <w:rPr>
          <w:b/>
        </w:rPr>
        <w:t xml:space="preserve">Details: </w:t>
      </w:r>
      <w:r>
        <w:t xml:space="preserve">Name the app </w:t>
      </w:r>
      <w:r>
        <w:rPr>
          <w:b/>
        </w:rPr>
        <w:t>Clinical Data Explorer</w:t>
      </w:r>
      <w:r>
        <w:t xml:space="preserve"> and check </w:t>
      </w:r>
      <w:r>
        <w:rPr>
          <w:b/>
        </w:rPr>
        <w:t>Enable deep linking and query parameters</w:t>
      </w:r>
      <w:r>
        <w:t xml:space="preserve"> (required for shareable filter links).</w:t>
      </w:r>
    </w:p>
    <w:p>
      <w:pPr>
        <w:pStyle w:val="ListBullet"/>
      </w:pPr>
      <w:r>
        <w:rPr>
          <w:b/>
        </w:rPr>
        <w:t xml:space="preserve">Code: </w:t>
      </w:r>
      <w:r>
        <w:t xml:space="preserve">Select the Git reference matching the </w:t>
      </w:r>
      <w:r>
        <w:rPr>
          <w:rFonts w:ascii="Consolas" w:hAnsi="Consolas"/>
          <w:color w:val="B03060"/>
          <w:sz w:val="20"/>
        </w:rPr>
        <w:t>EXTENSION_VERSION</w:t>
      </w:r>
      <w:r>
        <w:t xml:space="preserve"> you set, and set the App file to </w:t>
      </w:r>
      <w:r>
        <w:rPr>
          <w:rFonts w:ascii="Consolas" w:hAnsi="Consolas"/>
          <w:color w:val="B03060"/>
          <w:sz w:val="20"/>
        </w:rPr>
        <w:t>./start_servers_prod.sh</w:t>
      </w:r>
      <w:r>
        <w:t>.</w:t>
      </w:r>
    </w:p>
    <w:p>
      <w:pPr>
        <w:pStyle w:val="ListBullet"/>
      </w:pPr>
      <w:r>
        <w:rPr>
          <w:b/>
        </w:rPr>
        <w:t xml:space="preserve">Deployment: </w:t>
      </w:r>
      <w:r>
        <w:t xml:space="preserve">Select the </w:t>
      </w:r>
      <w:r>
        <w:rPr>
          <w:b/>
        </w:rPr>
        <w:t>Clinical Data Explorer</w:t>
      </w:r>
      <w:r>
        <w:t xml:space="preserve"> environment and a hardware tier with 50-100% more memory than </w:t>
      </w:r>
      <w:r>
        <w:rPr>
          <w:rFonts w:ascii="Consolas" w:hAnsi="Consolas"/>
          <w:color w:val="B03060"/>
          <w:sz w:val="20"/>
        </w:rPr>
        <w:t>MCP_SERVER_DATAFRAME_CACHE_SIZE_B</w:t>
      </w:r>
      <w:r>
        <w:t xml:space="preserve"> (the </w:t>
      </w:r>
      <w:r>
        <w:rPr>
          <w:b/>
        </w:rPr>
        <w:t>Medium</w:t>
      </w:r>
      <w:r>
        <w:t xml:space="preserve"> tier works with default cache settings). Turn on autoscaling for concurrent use.</w:t>
      </w:r>
    </w:p>
    <w:p>
      <w:pPr>
        <w:pStyle w:val="ListBullet"/>
      </w:pPr>
      <w:r>
        <w:rPr>
          <w:b/>
        </w:rPr>
        <w:t xml:space="preserve">Data: </w:t>
      </w:r>
      <w:r>
        <w:t xml:space="preserve">Set </w:t>
      </w:r>
      <w:r>
        <w:rPr>
          <w:b/>
        </w:rPr>
        <w:t>Who can View</w:t>
      </w:r>
      <w:r>
        <w:t xml:space="preserve"> to </w:t>
      </w:r>
      <w:r>
        <w:rPr>
          <w:b/>
        </w:rPr>
        <w:t>Anyone in Domino</w:t>
      </w:r>
      <w:r>
        <w:t xml:space="preserve"> and check </w:t>
      </w:r>
      <w:r>
        <w:rPr>
          <w:b/>
        </w:rPr>
        <w:t>Allow App to act for viewers in Domino</w:t>
      </w:r>
      <w:r>
        <w:t>.</w:t>
      </w:r>
    </w:p>
    <w:p>
      <w:r>
        <w:t xml:space="preserve">Submit the modal and wait for the App to reach the </w:t>
      </w:r>
      <w:r>
        <w:rPr>
          <w:b/>
        </w:rPr>
        <w:t>Running</w:t>
      </w:r>
      <w:r>
        <w:t xml:space="preserve"> state.</w:t>
      </w:r>
    </w:p>
    <w:p>
      <w:pPr>
        <w:pStyle w:val="Heading2"/>
      </w:pPr>
      <w:r>
        <w:t>6. Enable the Extension</w:t>
      </w:r>
    </w:p>
    <w:p>
      <w:r>
        <w:t xml:space="preserve">Open the action menu in the </w:t>
      </w:r>
      <w:r>
        <w:rPr>
          <w:b/>
        </w:rPr>
        <w:t>Apps &amp; Agents</w:t>
      </w:r>
      <w:r>
        <w:t xml:space="preserve"> table and click </w:t>
      </w:r>
      <w:r>
        <w:rPr>
          <w:b/>
        </w:rPr>
        <w:t>Create Extension</w:t>
      </w:r>
      <w:r>
        <w:t xml:space="preserve">. The extension then appears in the project side bar under the </w:t>
      </w:r>
      <w:r>
        <w:rPr>
          <w:b/>
        </w:rPr>
        <w:t>Extensions</w:t>
      </w:r>
      <w:r>
        <w:t xml:space="preserve"> section.</w:t>
      </w:r>
    </w:p>
    <w:p>
      <w:pPr>
        <w:pStyle w:val="Heading1"/>
      </w:pPr>
      <w:r>
        <w:t>Troubleshooting</w:t>
      </w:r>
    </w:p>
    <w:p>
      <w:pPr>
        <w:pStyle w:val="ListBullet"/>
      </w:pPr>
      <w:r>
        <w:rPr>
          <w:b/>
        </w:rPr>
        <w:t xml:space="preserve">"No datasets found" </w:t>
      </w:r>
      <w:r>
        <w:t xml:space="preserve">- Confirm files exist in the </w:t>
      </w:r>
      <w:r>
        <w:rPr>
          <w:rFonts w:ascii="Consolas" w:hAnsi="Consolas"/>
          <w:color w:val="B03060"/>
          <w:sz w:val="20"/>
        </w:rPr>
        <w:t>datasets</w:t>
      </w:r>
      <w:r>
        <w:t xml:space="preserve"> folder and use a supported extension.</w:t>
      </w:r>
    </w:p>
    <w:p>
      <w:pPr>
        <w:pStyle w:val="ListBullet"/>
      </w:pPr>
      <w:r>
        <w:rPr>
          <w:b/>
        </w:rPr>
        <w:t xml:space="preserve">Chat shows "Not Configured" </w:t>
      </w:r>
      <w:r>
        <w:t xml:space="preserve">- Set the LLM environment variables; for cloud providers verify </w:t>
      </w:r>
      <w:r>
        <w:rPr>
          <w:rFonts w:ascii="Consolas" w:hAnsi="Consolas"/>
          <w:color w:val="B03060"/>
          <w:sz w:val="20"/>
        </w:rPr>
        <w:t>LLM_API_KEY</w:t>
      </w:r>
      <w:r>
        <w:t>.</w:t>
      </w:r>
    </w:p>
    <w:p>
      <w:pPr>
        <w:pStyle w:val="ListBullet"/>
      </w:pPr>
      <w:r>
        <w:rPr>
          <w:b/>
        </w:rPr>
        <w:t xml:space="preserve">Governance features unavailable </w:t>
      </w:r>
      <w:r>
        <w:t xml:space="preserve">- Set </w:t>
      </w:r>
      <w:r>
        <w:rPr>
          <w:rFonts w:ascii="Consolas" w:hAnsi="Consolas"/>
          <w:color w:val="B03060"/>
          <w:sz w:val="20"/>
        </w:rPr>
        <w:t>DOMINO_API_HOST_OVERD</w:t>
      </w:r>
      <w:r>
        <w:t xml:space="preserve"> and confirm the dataset is attached to an active governance bundle.</w:t>
      </w:r>
    </w:p>
    <w:p>
      <w:pPr>
        <w:pStyle w:val="ListBullet"/>
      </w:pPr>
      <w:r>
        <w:rPr>
          <w:b/>
        </w:rPr>
        <w:t xml:space="preserve">Filters not persisting in links </w:t>
      </w:r>
      <w:r>
        <w:t>- Ensure "Deep linking and query parameters" is enabled in the Domino App settings.</w:t>
      </w:r>
    </w:p>
    <w:p>
      <w:pPr>
        <w:pStyle w:val="Heading1"/>
      </w:pPr>
      <w:r>
        <w:t>Advanced Settings</w:t>
      </w:r>
    </w:p>
    <w:p>
      <w:r>
        <w:t>Most installs work with the defaults. Use these settings when you need to support larger datasets, higher concurrency, governance workflows, or a specific LLM provider.</w:t>
      </w:r>
    </w:p>
    <w:p>
      <w:pPr>
        <w:pStyle w:val="Heading2"/>
      </w:pPr>
      <w:r>
        <w:t>LLM and Chat Configuration</w:t>
      </w:r>
    </w:p>
    <w:p>
      <w:r>
        <w:t>The Chat tab uses an OpenAI-compatible API. By default, the app assumes OpenAI, but it can also point at other providers by changing the base URL and model.</w:t>
      </w:r>
    </w:p>
    <w:p>
      <w:pPr>
        <w:pStyle w:val="ListBullet"/>
      </w:pPr>
      <w:r>
        <w:rPr>
          <w:b/>
        </w:rPr>
        <w:t xml:space="preserve">OpenAI: </w:t>
      </w:r>
      <w:r>
        <w:t xml:space="preserve">Set </w:t>
      </w:r>
      <w:r>
        <w:rPr>
          <w:rFonts w:ascii="Consolas" w:hAnsi="Consolas"/>
          <w:color w:val="B03060"/>
          <w:sz w:val="20"/>
        </w:rPr>
        <w:t>LLM_API_KEY</w:t>
      </w:r>
      <w:r>
        <w:t xml:space="preserve"> and optionally set </w:t>
      </w:r>
      <w:r>
        <w:rPr>
          <w:rFonts w:ascii="Consolas" w:hAnsi="Consolas"/>
          <w:color w:val="B03060"/>
          <w:sz w:val="20"/>
        </w:rPr>
        <w:t>LLM_MODEL</w:t>
      </w:r>
      <w:r>
        <w:t xml:space="preserve"> (for example, </w:t>
      </w:r>
      <w:r>
        <w:rPr>
          <w:rFonts w:ascii="Consolas" w:hAnsi="Consolas"/>
          <w:color w:val="B03060"/>
          <w:sz w:val="20"/>
        </w:rPr>
        <w:t>gpt-4o</w:t>
      </w:r>
      <w:r>
        <w:t xml:space="preserve">). If </w:t>
      </w:r>
      <w:r>
        <w:rPr>
          <w:rFonts w:ascii="Consolas" w:hAnsi="Consolas"/>
          <w:color w:val="B03060"/>
          <w:sz w:val="20"/>
        </w:rPr>
        <w:t>LLM_BASE_URL</w:t>
      </w:r>
      <w:r>
        <w:t xml:space="preserve"> is not set, the app uses OpenAI's default API URL.</w:t>
      </w:r>
    </w:p>
    <w:p>
      <w:pPr>
        <w:pStyle w:val="ListBullet"/>
      </w:pPr>
      <w:r>
        <w:rPr>
          <w:b/>
        </w:rPr>
        <w:t xml:space="preserve">Domino LLM Gateway: </w:t>
      </w:r>
      <w:r>
        <w:t xml:space="preserve">For customer accounts with Domino's installable LLM Gateway module, point </w:t>
      </w:r>
      <w:r>
        <w:rPr>
          <w:rFonts w:ascii="Consolas" w:hAnsi="Consolas"/>
          <w:color w:val="B03060"/>
          <w:sz w:val="20"/>
        </w:rPr>
        <w:t>LLM_BASE_URL</w:t>
      </w:r>
      <w:r>
        <w:t xml:space="preserve"> at the gateway's OpenAI-compatible endpoint, set </w:t>
      </w:r>
      <w:r>
        <w:rPr>
          <w:rFonts w:ascii="Consolas" w:hAnsi="Consolas"/>
          <w:color w:val="B03060"/>
          <w:sz w:val="20"/>
        </w:rPr>
        <w:t>LLM_MODEL</w:t>
      </w:r>
      <w:r>
        <w:t xml:space="preserve"> to the gateway model/deployment name, and provide </w:t>
      </w:r>
      <w:r>
        <w:rPr>
          <w:rFonts w:ascii="Consolas" w:hAnsi="Consolas"/>
          <w:color w:val="B03060"/>
          <w:sz w:val="20"/>
        </w:rPr>
        <w:t>LLM_API_KEY</w:t>
      </w:r>
      <w:r>
        <w:t xml:space="preserve"> if the gateway requires one. This lets the app use centrally governed models without changing app code.</w:t>
      </w:r>
    </w:p>
    <w:p>
      <w:pPr>
        <w:pStyle w:val="ListBullet"/>
      </w:pPr>
      <w:r>
        <w:rPr>
          <w:b/>
        </w:rPr>
        <w:t xml:space="preserve">Azure OpenAI or other hosted gateways: </w:t>
      </w:r>
      <w:r>
        <w:t xml:space="preserve">Set </w:t>
      </w:r>
      <w:r>
        <w:rPr>
          <w:rFonts w:ascii="Consolas" w:hAnsi="Consolas"/>
          <w:color w:val="B03060"/>
          <w:sz w:val="20"/>
        </w:rPr>
        <w:t>LLM_BASE_URL</w:t>
      </w:r>
      <w:r>
        <w:t xml:space="preserve"> to the provider's OpenAI-compatible endpoint, then set </w:t>
      </w:r>
      <w:r>
        <w:rPr>
          <w:rFonts w:ascii="Consolas" w:hAnsi="Consolas"/>
          <w:color w:val="B03060"/>
          <w:sz w:val="20"/>
        </w:rPr>
        <w:t>LLM_API_KEY</w:t>
      </w:r>
      <w:r>
        <w:t xml:space="preserve"> and </w:t>
      </w:r>
      <w:r>
        <w:rPr>
          <w:rFonts w:ascii="Consolas" w:hAnsi="Consolas"/>
          <w:color w:val="B03060"/>
          <w:sz w:val="20"/>
        </w:rPr>
        <w:t>LLM_MODEL</w:t>
      </w:r>
      <w:r>
        <w:t xml:space="preserve"> as required by that provider.</w:t>
      </w:r>
    </w:p>
    <w:p>
      <w:pPr>
        <w:pStyle w:val="ListBullet"/>
      </w:pPr>
      <w:r>
        <w:rPr>
          <w:b/>
        </w:rPr>
        <w:t xml:space="preserve">Local Ollama: </w:t>
      </w:r>
      <w:r>
        <w:t xml:space="preserve">Set </w:t>
      </w:r>
      <w:r>
        <w:rPr>
          <w:rFonts w:ascii="Consolas" w:hAnsi="Consolas"/>
          <w:color w:val="B03060"/>
          <w:sz w:val="20"/>
        </w:rPr>
        <w:t>LLM_BASE_URL</w:t>
      </w:r>
      <w:r>
        <w:t xml:space="preserve"> to an OpenAI-compatible local endpoint such as </w:t>
      </w:r>
      <w:r>
        <w:rPr>
          <w:rFonts w:ascii="Consolas" w:hAnsi="Consolas"/>
          <w:color w:val="B03060"/>
          <w:sz w:val="20"/>
        </w:rPr>
        <w:t>http://localhost:11434/v1</w:t>
      </w:r>
      <w:r>
        <w:t xml:space="preserve"> and set </w:t>
      </w:r>
      <w:r>
        <w:rPr>
          <w:rFonts w:ascii="Consolas" w:hAnsi="Consolas"/>
          <w:color w:val="B03060"/>
          <w:sz w:val="20"/>
        </w:rPr>
        <w:t>LLM_MODEL</w:t>
      </w:r>
      <w:r>
        <w:t>. An API key is not required for local Ollama.</w:t>
      </w:r>
    </w:p>
    <w:p>
      <w:pPr>
        <w:pStyle w:val="ListBullet"/>
      </w:pPr>
      <w:r>
        <w:rPr>
          <w:b/>
        </w:rPr>
        <w:t xml:space="preserve">Chat history: </w:t>
      </w:r>
      <w:r>
        <w:t xml:space="preserve">Use </w:t>
      </w:r>
      <w:r>
        <w:rPr>
          <w:rFonts w:ascii="Consolas" w:hAnsi="Consolas"/>
          <w:color w:val="B03060"/>
          <w:sz w:val="20"/>
        </w:rPr>
        <w:t>CHAT_AGENT_MESSAGE_HISTORY_CACHE_SIZE_B</w:t>
      </w:r>
      <w:r>
        <w:t xml:space="preserve"> to control the in-memory chat history cache size, and </w:t>
      </w:r>
      <w:r>
        <w:rPr>
          <w:rFonts w:ascii="Consolas" w:hAnsi="Consolas"/>
          <w:color w:val="B03060"/>
          <w:sz w:val="20"/>
        </w:rPr>
        <w:t>CHAT_AGENT_MESSAGE_HISTORY_CAP</w:t>
      </w:r>
      <w:r>
        <w:t xml:space="preserve"> to cap how many messages are retained per chat session.</w:t>
      </w:r>
    </w:p>
    <w:p>
      <w:pPr>
        <w:pStyle w:val="Heading2"/>
      </w:pPr>
      <w:r>
        <w:t>Dataset Size, Caching, and Concurrency</w:t>
      </w:r>
    </w:p>
    <w:p>
      <w:pPr>
        <w:pStyle w:val="ListBullet"/>
      </w:pPr>
      <w:r>
        <w:rPr>
          <w:rFonts w:ascii="Consolas" w:hAnsi="Consolas"/>
          <w:color w:val="B03060"/>
          <w:sz w:val="20"/>
        </w:rPr>
        <w:t>DATA_FILE_SIZE_LIMIT_B</w:t>
      </w:r>
      <w:r>
        <w:t xml:space="preserve"> sets the maximum size of an individual data file users can load.</w:t>
      </w:r>
    </w:p>
    <w:p>
      <w:pPr>
        <w:pStyle w:val="ListBullet"/>
      </w:pPr>
      <w:r>
        <w:rPr>
          <w:rFonts w:ascii="Consolas" w:hAnsi="Consolas"/>
          <w:color w:val="B03060"/>
          <w:sz w:val="20"/>
        </w:rPr>
        <w:t>MCP_SERVER_DATAFRAME_CACHE_SIZE_B</w:t>
      </w:r>
      <w:r>
        <w:t xml:space="preserve"> controls the in-memory DataFrame cache used after datasets are loaded. For larger datasets, size this to roughly 5x the largest expected file, then multiply by expected active hourly users.</w:t>
      </w:r>
    </w:p>
    <w:p>
      <w:pPr>
        <w:pStyle w:val="ListBullet"/>
      </w:pPr>
      <w:r>
        <w:rPr>
          <w:rFonts w:ascii="Consolas" w:hAnsi="Consolas"/>
          <w:color w:val="B03060"/>
          <w:sz w:val="20"/>
        </w:rPr>
        <w:t>DATASET_LOAD_REQUEST_QUEUE_MAX_LENGTH</w:t>
      </w:r>
      <w:r>
        <w:t xml:space="preserve"> limits how many dataset load requests can be queued at once. Increase it for higher concurrent loading, but make sure the selected hardware tier has enough memory.</w:t>
      </w:r>
    </w:p>
    <w:p>
      <w:pPr>
        <w:pStyle w:val="ListBullet"/>
      </w:pPr>
      <w:r>
        <w:rPr>
          <w:rFonts w:ascii="Consolas" w:hAnsi="Consolas"/>
          <w:color w:val="B03060"/>
          <w:sz w:val="20"/>
        </w:rPr>
        <w:t>DATA_FILE_CACHE_EXPIRATION_SECONDS</w:t>
      </w:r>
      <w:r>
        <w:t xml:space="preserve"> and </w:t>
      </w:r>
      <w:r>
        <w:rPr>
          <w:rFonts w:ascii="Consolas" w:hAnsi="Consolas"/>
          <w:color w:val="B03060"/>
          <w:sz w:val="20"/>
        </w:rPr>
        <w:t>DATA_FILE_CACHE_MAX_ITEM_COUNT</w:t>
      </w:r>
      <w:r>
        <w:t xml:space="preserve"> tune temporary downloaded-file metadata caching. Increase them if creating a DataFrame from selected files takes a long time or many users are active concurrently.</w:t>
      </w:r>
    </w:p>
    <w:p>
      <w:pPr>
        <w:pStyle w:val="ListBullet"/>
      </w:pPr>
      <w:r>
        <w:rPr>
          <w:rFonts w:ascii="Consolas" w:hAnsi="Consolas"/>
          <w:color w:val="B03060"/>
          <w:sz w:val="20"/>
        </w:rPr>
        <w:t>MCP_SESSION_MAX_AGE</w:t>
      </w:r>
      <w:r>
        <w:t xml:space="preserve"> and </w:t>
      </w:r>
      <w:r>
        <w:rPr>
          <w:rFonts w:ascii="Consolas" w:hAnsi="Consolas"/>
          <w:color w:val="B03060"/>
          <w:sz w:val="20"/>
        </w:rPr>
        <w:t>MCP_SESSION_MAX_COUNT</w:t>
      </w:r>
      <w:r>
        <w:t xml:space="preserve"> control how long loaded dataset sessions stay available and how many sessions are retained.</w:t>
      </w:r>
    </w:p>
    <w:p>
      <w:pPr>
        <w:pStyle w:val="Heading2"/>
      </w:pPr>
      <w:r>
        <w:t>Production Server Settings</w:t>
      </w:r>
    </w:p>
    <w:p>
      <w:pPr>
        <w:pStyle w:val="ListBullet"/>
      </w:pPr>
      <w:r>
        <w:rPr>
          <w:rFonts w:ascii="Consolas" w:hAnsi="Consolas"/>
          <w:color w:val="B03060"/>
          <w:sz w:val="20"/>
        </w:rPr>
        <w:t>MAIN_APP_PORT</w:t>
      </w:r>
      <w:r>
        <w:t xml:space="preserve"> and </w:t>
      </w:r>
      <w:r>
        <w:rPr>
          <w:rFonts w:ascii="Consolas" w:hAnsi="Consolas"/>
          <w:color w:val="B03060"/>
          <w:sz w:val="20"/>
        </w:rPr>
        <w:t>FLASK_HOST</w:t>
      </w:r>
      <w:r>
        <w:t xml:space="preserve"> configure the Flask/Gunicorn web app listener.</w:t>
      </w:r>
    </w:p>
    <w:p>
      <w:pPr>
        <w:pStyle w:val="ListBullet"/>
      </w:pPr>
      <w:r>
        <w:rPr>
          <w:rFonts w:ascii="Consolas" w:hAnsi="Consolas"/>
          <w:color w:val="B03060"/>
          <w:sz w:val="20"/>
        </w:rPr>
        <w:t>MCP_PORT</w:t>
      </w:r>
      <w:r>
        <w:t xml:space="preserve"> and </w:t>
      </w:r>
      <w:r>
        <w:rPr>
          <w:rFonts w:ascii="Consolas" w:hAnsi="Consolas"/>
          <w:color w:val="B03060"/>
          <w:sz w:val="20"/>
        </w:rPr>
        <w:t>MCP_HOST</w:t>
      </w:r>
      <w:r>
        <w:t xml:space="preserve"> configure the MCP FastAPI/Uvicorn server listener.</w:t>
      </w:r>
    </w:p>
    <w:p>
      <w:pPr>
        <w:pStyle w:val="ListBullet"/>
      </w:pPr>
      <w:r>
        <w:rPr>
          <w:rFonts w:ascii="Consolas" w:hAnsi="Consolas"/>
          <w:color w:val="B03060"/>
          <w:sz w:val="20"/>
        </w:rPr>
        <w:t>MCP_SERVER_URL</w:t>
      </w:r>
      <w:r>
        <w:t xml:space="preserve"> is the URL the Flask app uses to reach the MCP server. The default assumes both processes run in the same App container.</w:t>
      </w:r>
    </w:p>
    <w:p>
      <w:pPr>
        <w:pStyle w:val="ListBullet"/>
      </w:pPr>
      <w:r>
        <w:rPr>
          <w:rFonts w:ascii="Consolas" w:hAnsi="Consolas"/>
          <w:color w:val="B03060"/>
          <w:sz w:val="20"/>
        </w:rPr>
        <w:t>FLASK_WORKERS</w:t>
      </w:r>
      <w:r>
        <w:t xml:space="preserve"> and </w:t>
      </w:r>
      <w:r>
        <w:rPr>
          <w:rFonts w:ascii="Consolas" w:hAnsi="Consolas"/>
          <w:color w:val="B03060"/>
          <w:sz w:val="20"/>
        </w:rPr>
        <w:t>MCP_WORKERS</w:t>
      </w:r>
      <w:r>
        <w:t xml:space="preserve"> should generally remain at </w:t>
      </w:r>
      <w:r>
        <w:rPr>
          <w:rFonts w:ascii="Consolas" w:hAnsi="Consolas"/>
          <w:color w:val="B03060"/>
          <w:sz w:val="20"/>
        </w:rPr>
        <w:t>1</w:t>
      </w:r>
      <w:r>
        <w:t xml:space="preserve"> because request state, MCP sessions, and loaded DataFrames are process-local.</w:t>
      </w:r>
    </w:p>
    <w:p>
      <w:pPr>
        <w:pStyle w:val="ListBullet"/>
      </w:pPr>
      <w:r>
        <w:rPr>
          <w:rFonts w:ascii="Consolas" w:hAnsi="Consolas"/>
          <w:color w:val="B03060"/>
          <w:sz w:val="20"/>
        </w:rPr>
        <w:t>FLASK_THREADS</w:t>
      </w:r>
      <w:r>
        <w:t xml:space="preserve"> and </w:t>
      </w:r>
      <w:r>
        <w:rPr>
          <w:rFonts w:ascii="Consolas" w:hAnsi="Consolas"/>
          <w:color w:val="B03060"/>
          <w:sz w:val="20"/>
        </w:rPr>
        <w:t>GUNICORN_TIMEOUT</w:t>
      </w:r>
      <w:r>
        <w:t xml:space="preserve"> can be tuned for expected request concurrency and long-running dataset operations.</w:t>
      </w:r>
    </w:p>
    <w:p>
      <w:pPr>
        <w:pStyle w:val="ListBullet"/>
      </w:pPr>
      <w:r>
        <w:rPr>
          <w:rFonts w:ascii="Consolas" w:hAnsi="Consolas"/>
          <w:color w:val="B03060"/>
          <w:sz w:val="20"/>
        </w:rPr>
        <w:t>LOG_LEVEL</w:t>
      </w:r>
      <w:r>
        <w:t xml:space="preserve"> can be set to values like </w:t>
      </w:r>
      <w:r>
        <w:rPr>
          <w:rFonts w:ascii="Consolas" w:hAnsi="Consolas"/>
          <w:color w:val="B03060"/>
          <w:sz w:val="20"/>
        </w:rPr>
        <w:t>DEBUG</w:t>
      </w:r>
      <w:r>
        <w:t xml:space="preserve"> or </w:t>
      </w:r>
      <w:r>
        <w:rPr>
          <w:rFonts w:ascii="Consolas" w:hAnsi="Consolas"/>
          <w:color w:val="B03060"/>
          <w:sz w:val="20"/>
        </w:rPr>
        <w:t>TRACE</w:t>
      </w:r>
      <w:r>
        <w:t xml:space="preserve"> when diagnosing install or runtime issues.</w:t>
      </w:r>
    </w:p>
    <w:p>
      <w:pPr>
        <w:pStyle w:val="Heading2"/>
      </w:pPr>
      <w:r>
        <w:t>Governance Settings</w:t>
      </w:r>
    </w:p>
    <w:p>
      <w:pPr>
        <w:pStyle w:val="ListBullet"/>
      </w:pPr>
      <w:r>
        <w:rPr>
          <w:rFonts w:ascii="Consolas" w:hAnsi="Consolas"/>
          <w:color w:val="B03060"/>
          <w:sz w:val="20"/>
        </w:rPr>
        <w:t>DOMINO_API_HOST_OVERD</w:t>
      </w:r>
      <w:r>
        <w:t xml:space="preserve"> should be set to your Domino deployment URL when governance features are enabled.</w:t>
      </w:r>
    </w:p>
    <w:p>
      <w:pPr>
        <w:pStyle w:val="ListBullet"/>
      </w:pPr>
      <w:r>
        <w:t>Governance findings require the loaded dataset file to be attached to an active governance bundle and the user to have appropriate permissions for creating findings.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