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sample-model-documentation"/>
    <w:p>
      <w:pPr>
        <w:pStyle w:val="Heading1"/>
      </w:pPr>
      <w:r>
        <w:t xml:space="preserve">Sample Model Documentation</w:t>
      </w:r>
    </w:p>
    <w:p>
      <w:pPr>
        <w:pStyle w:val="FirstParagraph"/>
      </w:pPr>
      <w:r>
        <w:rPr>
          <w:iCs/>
          <w:i/>
        </w:rPr>
        <w:t xml:space="preserve">Note: The sample text in this section is taken from</w:t>
      </w:r>
      <w:r>
        <w:rPr>
          <w:iCs/>
          <w:i/>
        </w:rPr>
        <w:t xml:space="preserve"> </w:t>
      </w:r>
      <w:hyperlink r:id="rId20">
        <w:r>
          <w:rPr>
            <w:rStyle w:val="Hyperlink"/>
            <w:iCs/>
            <w:i/>
          </w:rPr>
          <w:t xml:space="preserve">Logistic Regression Credit Scorecard</w:t>
        </w:r>
      </w:hyperlink>
      <w:r>
        <w:rPr>
          <w:iCs/>
          <w:i/>
        </w:rPr>
        <w:t xml:space="preserve">, CC BY-NC-SA 4.0,</w:t>
      </w:r>
      <w:r>
        <w:rPr>
          <w:iCs/>
          <w:i/>
        </w:rPr>
        <w:t xml:space="preserve"> </w:t>
      </w:r>
      <w:hyperlink r:id="rId21">
        <w:r>
          <w:rPr>
            <w:rStyle w:val="Hyperlink"/>
            <w:iCs/>
            <w:i/>
          </w:rPr>
          <w:t xml:space="preserve">openriskmanual.org</w:t>
        </w:r>
      </w:hyperlink>
    </w:p>
    <w:bookmarkStart w:id="22" w:name="definition"/>
    <w:p>
      <w:pPr>
        <w:pStyle w:val="Heading2"/>
      </w:pPr>
      <w:r>
        <w:t xml:space="preserve">Definition</w:t>
      </w:r>
    </w:p>
    <w:p>
      <w:pPr>
        <w:pStyle w:val="FirstParagraph"/>
      </w:pPr>
      <w:r>
        <w:t xml:space="preserve">Credit Scorecards based on Logistic Regression are a type of credit scoring model in widespread use to support Credit Decisioning in various Consumer Finance and SME Lending businesses.</w:t>
      </w:r>
    </w:p>
    <w:p>
      <w:pPr>
        <w:pStyle w:val="BodyText"/>
      </w:pPr>
      <w:r>
        <w:t xml:space="preserve">This entry serves as the Abstract Risk Model specification of a Logistic Regression Scorecard</w:t>
      </w:r>
    </w:p>
    <w:bookmarkEnd w:id="22"/>
    <w:bookmarkStart w:id="23" w:name="model-context"/>
    <w:p>
      <w:pPr>
        <w:pStyle w:val="Heading2"/>
      </w:pPr>
      <w:r>
        <w:t xml:space="preserve">Model Context</w:t>
      </w:r>
    </w:p>
    <w:p>
      <w:pPr>
        <w:pStyle w:val="FirstParagraph"/>
      </w:pPr>
      <w:r>
        <w:t xml:space="preserve">A population of borrowers characterised by individual features (characteristics, attributes) associated with each obligor and assumed to represent credit score factors, that is, indicators of propensity to default. The population is modelled statistically for the likelihood for defaulting (or not) over a defined period of time (the Risk Horizon).</w:t>
      </w:r>
    </w:p>
    <w:bookmarkEnd w:id="23"/>
    <w:bookmarkStart w:id="24" w:name="model-classification"/>
    <w:p>
      <w:pPr>
        <w:pStyle w:val="Heading2"/>
      </w:pPr>
      <w:r>
        <w:t xml:space="preserve">Model Classification</w:t>
      </w:r>
    </w:p>
    <w:p>
      <w:pPr>
        <w:pStyle w:val="FirstParagraph"/>
      </w:pPr>
      <w:r>
        <w:t xml:space="preserve">The model belongs to the following categories</w:t>
      </w:r>
    </w:p>
    <w:p>
      <w:pPr>
        <w:numPr>
          <w:ilvl w:val="0"/>
          <w:numId w:val="1001"/>
        </w:numPr>
        <w:pStyle w:val="Compact"/>
      </w:pPr>
      <w:r>
        <w:t xml:space="preserve">discriminative (the population characteristics are not modelled)</w:t>
      </w:r>
    </w:p>
    <w:p>
      <w:pPr>
        <w:numPr>
          <w:ilvl w:val="0"/>
          <w:numId w:val="1001"/>
        </w:numPr>
        <w:pStyle w:val="Compact"/>
      </w:pPr>
      <w:r>
        <w:t xml:space="preserve">parametric (a set of weights represents the parameters of the model)</w:t>
      </w:r>
    </w:p>
    <w:p>
      <w:pPr>
        <w:numPr>
          <w:ilvl w:val="0"/>
          <w:numId w:val="1001"/>
        </w:numPr>
        <w:pStyle w:val="Compact"/>
      </w:pPr>
      <w:r>
        <w:t xml:space="preserve">exclusively observed variables</w:t>
      </w:r>
    </w:p>
    <w:p>
      <w:pPr>
        <w:numPr>
          <w:ilvl w:val="0"/>
          <w:numId w:val="1001"/>
        </w:numPr>
        <w:pStyle w:val="Compact"/>
      </w:pPr>
      <w:r>
        <w:t xml:space="preserve">non-linear (generalized linear)</w:t>
      </w:r>
    </w:p>
    <w:p>
      <w:pPr>
        <w:numPr>
          <w:ilvl w:val="0"/>
          <w:numId w:val="1001"/>
        </w:numPr>
        <w:pStyle w:val="Compact"/>
      </w:pPr>
      <w:r>
        <w:t xml:space="preserve">supervised (the historical default behaviour represents the label)</w:t>
      </w:r>
    </w:p>
    <w:p>
      <w:pPr>
        <w:numPr>
          <w:ilvl w:val="0"/>
          <w:numId w:val="1001"/>
        </w:numPr>
        <w:pStyle w:val="Compact"/>
      </w:pPr>
      <w:r>
        <w:t xml:space="preserve">elementary algorithm (represented by the logit model class</w:t>
      </w:r>
    </w:p>
    <w:p>
      <w:pPr>
        <w:numPr>
          <w:ilvl w:val="0"/>
          <w:numId w:val="1001"/>
        </w:numPr>
        <w:pStyle w:val="Compact"/>
      </w:pPr>
      <w:r>
        <w:t xml:space="preserve">frequentist approach (most commonly estimated directly on historical datasets)</w:t>
      </w:r>
    </w:p>
    <w:bookmarkEnd w:id="24"/>
    <w:bookmarkStart w:id="30" w:name="model-description"/>
    <w:p>
      <w:pPr>
        <w:pStyle w:val="Heading2"/>
      </w:pPr>
      <w:r>
        <w:t xml:space="preserve">Model Description</w:t>
      </w:r>
    </w:p>
    <w:bookmarkStart w:id="25" w:name="response-variable"/>
    <w:p>
      <w:pPr>
        <w:pStyle w:val="Heading3"/>
      </w:pPr>
      <w:r>
        <w:t xml:space="preserve">Response Variable</w:t>
      </w:r>
    </w:p>
    <w:p>
      <w:pPr>
        <w:pStyle w:val="FirstParagraph"/>
      </w:pPr>
      <w:r>
        <w:t xml:space="preserve">In binary or dichotomous logistic regression the response variable</w:t>
      </w:r>
      <w:r>
        <w:t xml:space="preserve"> </w:t>
      </w:r>
      <m:oMath>
        <m:r>
          <m:t>D</m:t>
        </m:r>
        <m:r>
          <m:rPr>
            <m:sty m:val="p"/>
          </m:rPr>
          <m:t>∈</m:t>
        </m:r>
        <m:r>
          <m:t>0</m:t>
        </m:r>
        <m:r>
          <m:rPr>
            <m:sty m:val="p"/>
          </m:rPr>
          <m:t>,</m:t>
        </m:r>
        <m:r>
          <m:t>1</m:t>
        </m:r>
      </m:oMath>
      <w:r>
        <w:t xml:space="preserve"> </w:t>
      </w:r>
      <w:r>
        <w:t xml:space="preserve">follows a Bernoulli distribution. The response variable D captures the realization or not of a Credit Event involving the i-th borrower</w:t>
      </w:r>
      <w:r>
        <w:t xml:space="preserve"> </w:t>
      </w:r>
      <m:oMath>
        <m:sSub>
          <m:e>
            <m:r>
              <m:t>D</m:t>
            </m:r>
          </m:e>
          <m:sub>
            <m:r>
              <m:t>i</m:t>
            </m:r>
          </m:sub>
        </m:sSub>
      </m:oMath>
      <w:r>
        <w:t xml:space="preserve">:</w:t>
      </w:r>
    </w:p>
    <w:p>
      <w:pPr>
        <w:numPr>
          <w:ilvl w:val="0"/>
          <w:numId w:val="1002"/>
        </w:numPr>
        <w:pStyle w:val="Compact"/>
      </w:pPr>
      <w:r>
        <w:t xml:space="preserve">1, if credit event</w:t>
      </w:r>
    </w:p>
    <w:p>
      <w:pPr>
        <w:numPr>
          <w:ilvl w:val="0"/>
          <w:numId w:val="1002"/>
        </w:numPr>
        <w:pStyle w:val="Compact"/>
      </w:pPr>
      <w:r>
        <w:t xml:space="preserve">0, otherwise</w:t>
      </w:r>
    </w:p>
    <w:bookmarkEnd w:id="25"/>
    <w:bookmarkStart w:id="26" w:name="explanatory-variables"/>
    <w:p>
      <w:pPr>
        <w:pStyle w:val="Heading3"/>
      </w:pPr>
      <w:r>
        <w:t xml:space="preserve">Explanatory Variables</w:t>
      </w:r>
    </w:p>
    <w:p>
      <w:pPr>
        <w:pStyle w:val="FirstParagraph"/>
      </w:pPr>
      <w:r>
        <w:t xml:space="preserve">The Explanatory Variables form an n dimensional vector</w:t>
      </w:r>
      <w:r>
        <w:t xml:space="preserve"> </w:t>
      </w:r>
      <m:oMath>
        <m:r>
          <m:t>x</m:t>
        </m:r>
      </m:oMath>
      <w:r>
        <w:t xml:space="preserve"> </w:t>
      </w:r>
      <w:r>
        <w:t xml:space="preserve">that comprises potentially of both continuous and discrete (categorical) variables</w:t>
      </w:r>
    </w:p>
    <w:bookmarkEnd w:id="26"/>
    <w:bookmarkStart w:id="27" w:name="model-parameters"/>
    <w:p>
      <w:pPr>
        <w:pStyle w:val="Heading3"/>
      </w:pPr>
      <w:r>
        <w:t xml:space="preserve">Model Parameters</w:t>
      </w:r>
    </w:p>
    <w:p>
      <w:pPr>
        <w:pStyle w:val="FirstParagraph"/>
      </w:pPr>
      <w:r>
        <w:t xml:space="preserve">A</w:t>
      </w:r>
      <w:r>
        <w:t xml:space="preserve"> </w:t>
      </w:r>
      <m:oMath>
        <m:r>
          <m:t>n</m:t>
        </m:r>
        <m:r>
          <m:rPr>
            <m:sty m:val="p"/>
          </m:rPr>
          <m:t>+</m:t>
        </m:r>
        <m:r>
          <m:t>1</m:t>
        </m:r>
      </m:oMath>
      <w:r>
        <w:t xml:space="preserve"> </w:t>
      </w:r>
      <w:r>
        <w:t xml:space="preserve">dimensional vector</w:t>
      </w:r>
      <w:r>
        <w:t xml:space="preserve"> </w:t>
      </w:r>
      <m:oMath>
        <m:r>
          <m:t>β</m:t>
        </m:r>
      </m:oMath>
      <w:r>
        <w:t xml:space="preserve"> </w:t>
      </w:r>
      <w:r>
        <w:t xml:space="preserve">(including the offset as the zero-th element) of parameters to be estimated</w:t>
      </w:r>
    </w:p>
    <w:bookmarkEnd w:id="27"/>
    <w:bookmarkStart w:id="28" w:name="the-functional-form"/>
    <w:p>
      <w:pPr>
        <w:pStyle w:val="Heading3"/>
      </w:pPr>
      <w:r>
        <w:t xml:space="preserve">The Functional Form</w:t>
      </w:r>
    </w:p>
    <w:p>
      <w:pPr>
        <w:pStyle w:val="FirstParagraph"/>
      </w:pPr>
      <m:oMathPara>
        <m:oMathParaPr>
          <m:jc m:val="center"/>
        </m:oMathParaPr>
        <m:oMath>
          <m:sSub>
            <m:e>
              <m:r>
                <m:t>p</m:t>
              </m:r>
            </m:e>
            <m:sub>
              <m:r>
                <m:t>i</m:t>
              </m:r>
            </m:sub>
          </m:sSub>
          <m:r>
            <m:rPr>
              <m:sty m:val="p"/>
            </m:rPr>
            <m:t>=</m:t>
          </m:r>
          <m:f>
            <m:fPr>
              <m:type m:val="bar"/>
            </m:fPr>
            <m:num>
              <m:r>
                <m:rPr>
                  <m:nor/>
                  <m:sty m:val="p"/>
                </m:rPr>
                <m:t>exp</m:t>
              </m:r>
              <m:sSup>
                <m:e>
                  <m:r>
                    <m:t>β</m:t>
                  </m:r>
                </m:e>
                <m:sup>
                  <m:r>
                    <m:t>T</m:t>
                  </m:r>
                </m:sup>
              </m:sSup>
              <m:sSub>
                <m:e>
                  <m:r>
                    <m:t>x</m:t>
                  </m:r>
                </m:e>
                <m:sub>
                  <m:r>
                    <m:t>i</m:t>
                  </m:r>
                </m:sub>
              </m:sSub>
            </m:num>
            <m:den>
              <m:r>
                <m:t>1</m:t>
              </m:r>
              <m:r>
                <m:rPr>
                  <m:sty m:val="p"/>
                </m:rPr>
                <m:t>+</m:t>
              </m:r>
              <m:r>
                <m:rPr>
                  <m:nor/>
                  <m:sty m:val="p"/>
                </m:rPr>
                <m:t>exp</m:t>
              </m:r>
              <m:sSup>
                <m:e>
                  <m:r>
                    <m:t>β</m:t>
                  </m:r>
                </m:e>
                <m:sup>
                  <m:r>
                    <m:t>T</m:t>
                  </m:r>
                </m:sup>
              </m:sSup>
              <m:sSub>
                <m:e>
                  <m:r>
                    <m:t>x</m:t>
                  </m:r>
                </m:e>
                <m:sub>
                  <m:r>
                    <m:t>i</m:t>
                  </m:r>
                </m:sub>
              </m:sSub>
            </m:den>
          </m:f>
        </m:oMath>
      </m:oMathPara>
    </w:p>
    <w:bookmarkEnd w:id="28"/>
    <w:bookmarkStart w:id="29" w:name="model-estimation"/>
    <w:p>
      <w:pPr>
        <w:pStyle w:val="Heading3"/>
      </w:pPr>
      <w:r>
        <w:t xml:space="preserve">Model Estimation</w:t>
      </w:r>
    </w:p>
    <w:p>
      <w:pPr>
        <w:pStyle w:val="FirstParagraph"/>
      </w:pPr>
      <w:r>
        <w:t xml:space="preserve">Estimation is via Maximum Likelihood. Given a vector of realized outcomes</w:t>
      </w:r>
      <w:r>
        <w:t xml:space="preserve"> </w:t>
      </w:r>
      <m:oMath>
        <m:sSub>
          <m:e>
            <m:r>
              <m:t>D</m:t>
            </m:r>
          </m:e>
          <m:sub>
            <m:r>
              <m:t>i</m:t>
            </m:r>
          </m:sub>
        </m:sSub>
      </m:oMath>
      <w:r>
        <w:t xml:space="preserve"> </w:t>
      </w:r>
      <w:r>
        <w:t xml:space="preserve">the likelihood function</w:t>
      </w:r>
      <w:r>
        <w:t xml:space="preserve"> </w:t>
      </w:r>
      <m:oMath>
        <m:r>
          <m:t>L</m:t>
        </m:r>
      </m:oMath>
      <w:r>
        <w:t xml:space="preserve"> </w:t>
      </w:r>
      <w:r>
        <w:t xml:space="preserve">is:</w:t>
      </w:r>
    </w:p>
    <w:p>
      <w:pPr>
        <w:pStyle w:val="BodyText"/>
      </w:pPr>
      <m:oMathPara>
        <m:oMathParaPr>
          <m:jc m:val="center"/>
        </m:oMathParaPr>
        <m:oMath>
          <m:r>
            <m:t>L</m:t>
          </m:r>
          <m:d>
            <m:dPr>
              <m:begChr m:val="("/>
              <m:endChr m:val=")"/>
              <m:sepChr m:val=""/>
              <m:grow/>
            </m:dPr>
            <m:e>
              <m:r>
                <m:t>β</m:t>
              </m:r>
            </m:e>
          </m:d>
          <m:r>
            <m:rPr>
              <m:sty m:val="p"/>
            </m:rPr>
            <m:t>=</m:t>
          </m:r>
          <m:nary>
            <m:naryPr>
              <m:chr m:val="∏"/>
              <m:limLoc m:val="undOvr"/>
              <m:subHide m:val="0"/>
              <m:supHide m:val="0"/>
            </m:naryPr>
            <m:sub>
              <m:r>
                <m:t>i</m:t>
              </m:r>
              <m:r>
                <m:rPr>
                  <m:sty m:val="p"/>
                </m:rPr>
                <m:t>=</m:t>
              </m:r>
              <m:r>
                <m:t>1</m:t>
              </m:r>
            </m:sub>
            <m:sup>
              <m:r>
                <m:t>n</m:t>
              </m:r>
            </m:sup>
            <m:e>
              <m:r>
                <m:t>p</m:t>
              </m:r>
            </m:e>
          </m:nary>
          <m:sSup>
            <m:e>
              <m:d>
                <m:dPr>
                  <m:begChr m:val="("/>
                  <m:endChr m:val=")"/>
                  <m:sepChr m:val=""/>
                  <m:grow/>
                </m:dPr>
                <m:e>
                  <m:sSub>
                    <m:e>
                      <m:r>
                        <m:t>x</m:t>
                      </m:r>
                    </m:e>
                    <m:sub>
                      <m:r>
                        <m:t>i</m:t>
                      </m:r>
                    </m:sub>
                  </m:sSub>
                </m:e>
              </m:d>
            </m:e>
            <m:sup>
              <m:sSub>
                <m:e>
                  <m:r>
                    <m:t>D</m:t>
                  </m:r>
                </m:e>
                <m:sub>
                  <m:r>
                    <m:t>i</m:t>
                  </m:r>
                </m:sub>
              </m:sSub>
            </m:sup>
          </m:sSup>
          <m:d>
            <m:dPr>
              <m:begChr m:val="("/>
              <m:endChr m:val=")"/>
              <m:sepChr m:val=""/>
              <m:grow/>
            </m:dPr>
            <m:e>
              <m:r>
                <m:t>1</m:t>
              </m:r>
              <m:r>
                <m:rPr>
                  <m:sty m:val="p"/>
                </m:rPr>
                <m:t>−</m:t>
              </m:r>
              <m:r>
                <m:t>p</m:t>
              </m:r>
              <m:sSup>
                <m:e>
                  <m:d>
                    <m:dPr>
                      <m:begChr m:val="("/>
                      <m:endChr m:val=")"/>
                      <m:sepChr m:val=""/>
                      <m:grow/>
                    </m:dPr>
                    <m:e>
                      <m:sSub>
                        <m:e>
                          <m:r>
                            <m:t>x</m:t>
                          </m:r>
                        </m:e>
                        <m:sub>
                          <m:r>
                            <m:t>i</m:t>
                          </m:r>
                        </m:sub>
                      </m:sSub>
                    </m:e>
                  </m:d>
                </m:e>
                <m:sup>
                  <m:r>
                    <m:t>1</m:t>
                  </m:r>
                  <m:r>
                    <m:rPr>
                      <m:sty m:val="p"/>
                    </m:rPr>
                    <m:t>−</m:t>
                  </m:r>
                  <m:sSub>
                    <m:e>
                      <m:r>
                        <m:t>D</m:t>
                      </m:r>
                    </m:e>
                    <m:sub>
                      <m:r>
                        <m:t>i</m:t>
                      </m:r>
                    </m:sub>
                  </m:sSub>
                </m:sup>
              </m:sSup>
            </m:e>
          </m:d>
        </m:oMath>
      </m:oMathPara>
    </w:p>
    <w:p>
      <w:pPr>
        <w:pStyle w:val="FirstParagraph"/>
      </w:pPr>
      <w:r>
        <w:t xml:space="preserve">The log-likelihood is</w:t>
      </w:r>
    </w:p>
    <w:p>
      <w:pPr>
        <w:pStyle w:val="BodyText"/>
      </w:pPr>
      <m:oMathPara>
        <m:oMathParaPr>
          <m:jc m:val="center"/>
        </m:oMathParaPr>
        <m:oMath>
          <m:r>
            <m:t>l</m:t>
          </m:r>
          <m:d>
            <m:dPr>
              <m:begChr m:val="("/>
              <m:endChr m:val=")"/>
              <m:sepChr m:val=""/>
              <m:grow/>
            </m:dPr>
            <m:e>
              <m:r>
                <m:t>β</m:t>
              </m:r>
            </m:e>
          </m:d>
          <m:r>
            <m:rPr>
              <m:sty m:val="p"/>
            </m:rPr>
            <m:t>=</m:t>
          </m:r>
          <m:nary>
            <m:naryPr>
              <m:chr m:val="∑"/>
              <m:limLoc m:val="undOvr"/>
              <m:subHide m:val="0"/>
              <m:supHide m:val="0"/>
            </m:naryPr>
            <m:sub>
              <m:r>
                <m:t>i</m:t>
              </m:r>
              <m:r>
                <m:rPr>
                  <m:sty m:val="p"/>
                </m:rPr>
                <m:t>=</m:t>
              </m:r>
              <m:r>
                <m:t>1</m:t>
              </m:r>
            </m:sub>
            <m:sup>
              <m:r>
                <m:t>n</m:t>
              </m:r>
            </m:sup>
            <m:e>
              <m:d>
                <m:dPr>
                  <m:begChr m:val="("/>
                  <m:endChr m:val=")"/>
                  <m:sepChr m:val=""/>
                  <m:grow/>
                </m:dPr>
                <m:e>
                  <m:r>
                    <m:rPr>
                      <m:sty m:val="p"/>
                    </m:rPr>
                    <m:t>−</m:t>
                  </m:r>
                  <m:r>
                    <m:rPr>
                      <m:sty m:val="p"/>
                    </m:rPr>
                    <m:t>log</m:t>
                  </m:r>
                  <m:d>
                    <m:dPr>
                      <m:begChr m:val="("/>
                      <m:endChr m:val=")"/>
                      <m:sepChr m:val=""/>
                      <m:grow/>
                    </m:dPr>
                    <m:e>
                      <m:r>
                        <m:t>1</m:t>
                      </m:r>
                    </m:e>
                  </m:d>
                  <m:r>
                    <m:rPr>
                      <m:sty m:val="p"/>
                    </m:rPr>
                    <m:t>+</m:t>
                  </m:r>
                  <m:r>
                    <m:rPr>
                      <m:sty m:val="p"/>
                    </m:rPr>
                    <m:t>exp</m:t>
                  </m:r>
                  <m:r>
                    <m:rPr>
                      <m:sty m:val="p"/>
                    </m:rPr>
                    <m:t>(</m:t>
                  </m:r>
                  <m:sSub>
                    <m:e>
                      <m:r>
                        <m:t>β</m:t>
                      </m:r>
                    </m:e>
                    <m:sub>
                      <m:r>
                        <m:t>0</m:t>
                      </m:r>
                    </m:sub>
                  </m:sSub>
                  <m:r>
                    <m:rPr>
                      <m:sty m:val="p"/>
                    </m:rPr>
                    <m:t>+</m:t>
                  </m:r>
                  <m:sSub>
                    <m:e>
                      <m:r>
                        <m:t>x</m:t>
                      </m:r>
                    </m:e>
                    <m:sub>
                      <m:r>
                        <m:t>i</m:t>
                      </m:r>
                    </m:sub>
                  </m:sSub>
                  <m:r>
                    <m:rPr>
                      <m:sty m:val="p"/>
                    </m:rPr>
                    <m:t>⋅</m:t>
                  </m:r>
                  <m:r>
                    <m:t>β</m:t>
                  </m:r>
                </m:e>
              </m:d>
            </m:e>
          </m:nary>
          <m:r>
            <m:rPr>
              <m:sty m:val="p"/>
            </m:rPr>
            <m:t>+</m:t>
          </m:r>
          <m:sSub>
            <m:e>
              <m:r>
                <m:t>D</m:t>
              </m:r>
            </m:e>
            <m:sub>
              <m:r>
                <m:t>i</m:t>
              </m:r>
            </m:sub>
          </m:sSub>
          <m:d>
            <m:dPr>
              <m:begChr m:val="("/>
              <m:endChr m:val=")"/>
              <m:sepChr m:val=""/>
              <m:grow/>
            </m:dPr>
            <m:e>
              <m:sSub>
                <m:e>
                  <m:r>
                    <m:t>β</m:t>
                  </m:r>
                </m:e>
                <m:sub>
                  <m:r>
                    <m:t>0</m:t>
                  </m:r>
                </m:sub>
              </m:sSub>
              <m:r>
                <m:rPr>
                  <m:sty m:val="p"/>
                </m:rPr>
                <m:t>+</m:t>
              </m:r>
              <m:sSub>
                <m:e>
                  <m:r>
                    <m:t>x</m:t>
                  </m:r>
                </m:e>
                <m:sub>
                  <m:r>
                    <m:t>i</m:t>
                  </m:r>
                </m:sub>
              </m:sSub>
              <m:r>
                <m:rPr>
                  <m:sty m:val="p"/>
                </m:rPr>
                <m:t>⋅</m:t>
              </m:r>
              <m:r>
                <m:t>β</m:t>
              </m:r>
            </m:e>
          </m:d>
          <m:r>
            <m:rPr>
              <m:sty m:val="p"/>
            </m:rPr>
            <m:t>)</m:t>
          </m:r>
        </m:oMath>
      </m:oMathPara>
    </w:p>
    <w:bookmarkEnd w:id="29"/>
    <w:bookmarkEnd w:id="30"/>
    <w:bookmarkStart w:id="31" w:name="stylized-model-assumptions"/>
    <w:p>
      <w:pPr>
        <w:pStyle w:val="Heading2"/>
      </w:pPr>
      <w:r>
        <w:t xml:space="preserve">Stylized Model Assumptions</w:t>
      </w:r>
    </w:p>
    <w:p>
      <w:pPr>
        <w:numPr>
          <w:ilvl w:val="0"/>
          <w:numId w:val="1003"/>
        </w:numPr>
        <w:pStyle w:val="Compact"/>
      </w:pPr>
      <w:r>
        <w:t xml:space="preserve">The observations of the response variable D are independent from each other. This assumption is manifestly not true as it is well established the defaults are correlated (Default Dependency)</w:t>
      </w:r>
    </w:p>
    <w:p>
      <w:pPr>
        <w:numPr>
          <w:ilvl w:val="0"/>
          <w:numId w:val="1003"/>
        </w:numPr>
        <w:pStyle w:val="Compact"/>
      </w:pPr>
      <w:r>
        <w:t xml:space="preserve">The explanatory variables combine in a linear fashion</w:t>
      </w:r>
    </w:p>
    <w:p>
      <w:pPr>
        <w:numPr>
          <w:ilvl w:val="0"/>
          <w:numId w:val="1003"/>
        </w:numPr>
        <w:pStyle w:val="Compact"/>
      </w:pPr>
      <w:r>
        <w:t xml:space="preserve">The specific logistic functional form is ad-hoc and does not have any economic interpretation</w:t>
      </w:r>
    </w:p>
    <w:bookmarkEnd w:id="31"/>
    <w:bookmarkEnd w:id="32"/>
    <w:bookmarkStart w:id="33" w:name="some-python-code-and-tables"/>
    <w:p>
      <w:pPr>
        <w:pStyle w:val="Heading1"/>
      </w:pPr>
      <w:r>
        <w:t xml:space="preserve">Some Python code and tables</w:t>
      </w:r>
    </w:p>
    <w:p>
      <w:pPr>
        <w:pStyle w:val="FirstParagraph"/>
      </w:pPr>
      <w:r>
        <w:t xml:space="preserve">Here is a demonstration of some Python code, included in the model documentation.</w:t>
      </w:r>
    </w:p>
    <w:p>
      <w:pPr>
        <w:pStyle w:val="SourceCode"/>
      </w:pPr>
      <w:r>
        <w:rPr>
          <w:rStyle w:val="ImportTok"/>
        </w:rPr>
        <w:t xml:space="preserve">import</w:t>
      </w:r>
      <w:r>
        <w:rPr>
          <w:rStyle w:val="NormalTok"/>
        </w:rPr>
        <w:t xml:space="preserve"> time</w:t>
      </w:r>
      <w:r>
        <w:br/>
      </w:r>
      <w:r>
        <w:rPr>
          <w:rStyle w:val="CommentTok"/>
        </w:rPr>
        <w:t xml:space="preserve"># Quick, count to ten!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(but not *too* quick)</w:t>
      </w:r>
      <w:r>
        <w:br/>
      </w:r>
      <w:r>
        <w:rPr>
          <w:rStyle w:val="NormalTok"/>
        </w:rPr>
        <w:t xml:space="preserve">    time.sleep(</w:t>
      </w:r>
      <w:r>
        <w:rPr>
          <w:rStyle w:val="FloatTok"/>
        </w:rPr>
        <w:t xml:space="preserve">0.5</w:t>
      </w:r>
      <w:r>
        <w:rPr>
          <w:rStyle w:val="NormalTok"/>
        </w:rPr>
        <w:t xml:space="preserve">)</w:t>
      </w:r>
      <w:r>
        <w:br/>
      </w:r>
      <w:r>
        <w:rPr>
          <w:rStyle w:val="NormalTok"/>
        </w:rPr>
        <w:t xml:space="preserve">    </w:t>
      </w:r>
      <w:r>
        <w:rPr>
          <w:rStyle w:val="BuiltInTok"/>
        </w:rPr>
        <w:t xml:space="preserve">print</w:t>
      </w:r>
      <w:r>
        <w:rPr>
          <w:rStyle w:val="NormalTok"/>
        </w:rPr>
        <w:t xml:space="preserve"> i</w:t>
      </w:r>
    </w:p>
    <w:p>
      <w:pPr>
        <w:pStyle w:val="FirstParagraph"/>
      </w:pPr>
      <w:r>
        <w:t xml:space="preserve">Tables can look like this: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size</w:t>
            </w:r>
          </w:p>
        </w:tc>
        <w:tc>
          <w:tcPr/>
          <w:p>
            <w:pPr>
              <w:pStyle w:val="Compact"/>
              <w:jc w:val="left"/>
            </w:pPr>
            <w:r>
              <w:t xml:space="preserve">material</w:t>
            </w:r>
          </w:p>
        </w:tc>
        <w:tc>
          <w:tcPr/>
          <w:p>
            <w:pPr>
              <w:pStyle w:val="Compact"/>
              <w:jc w:val="left"/>
            </w:pPr>
            <w:r>
              <w:t xml:space="preserve">color</w:t>
            </w:r>
          </w:p>
        </w:tc>
      </w:tr>
      <w:tr>
        <w:tc>
          <w:tcPr/>
          <w:p>
            <w:pPr>
              <w:pStyle w:val="Compact"/>
              <w:jc w:val="left"/>
            </w:pPr>
            <w:r>
              <w:t xml:space="preserve">9</w:t>
            </w:r>
          </w:p>
        </w:tc>
        <w:tc>
          <w:tcPr/>
          <w:p>
            <w:pPr>
              <w:pStyle w:val="Compact"/>
              <w:jc w:val="left"/>
            </w:pPr>
            <w:r>
              <w:t xml:space="preserve">leather</w:t>
            </w:r>
          </w:p>
        </w:tc>
        <w:tc>
          <w:tcPr/>
          <w:p>
            <w:pPr>
              <w:pStyle w:val="Compact"/>
              <w:jc w:val="left"/>
            </w:pPr>
            <w:r>
              <w:t xml:space="preserve">brown</w:t>
            </w:r>
          </w:p>
        </w:tc>
      </w:tr>
      <w:tr>
        <w:tc>
          <w:tcPr/>
          <w:p>
            <w:pPr>
              <w:pStyle w:val="Compact"/>
              <w:jc w:val="left"/>
            </w:pPr>
            <w:r>
              <w:t xml:space="preserve">10</w:t>
            </w:r>
          </w:p>
        </w:tc>
        <w:tc>
          <w:tcPr/>
          <w:p>
            <w:pPr>
              <w:pStyle w:val="Compact"/>
              <w:jc w:val="left"/>
            </w:pPr>
            <w:r>
              <w:t xml:space="preserve">hemp canvas</w:t>
            </w:r>
          </w:p>
        </w:tc>
        <w:tc>
          <w:tcPr/>
          <w:p>
            <w:pPr>
              <w:pStyle w:val="Compact"/>
              <w:jc w:val="left"/>
            </w:pPr>
            <w:r>
              <w:t xml:space="preserve">natural</w:t>
            </w:r>
          </w:p>
        </w:tc>
      </w:tr>
      <w:tr>
        <w:tc>
          <w:tcPr/>
          <w:p>
            <w:pPr>
              <w:pStyle w:val="Compact"/>
              <w:jc w:val="left"/>
            </w:pPr>
            <w:r>
              <w:t xml:space="preserve">11</w:t>
            </w:r>
          </w:p>
        </w:tc>
        <w:tc>
          <w:tcPr/>
          <w:p>
            <w:pPr>
              <w:pStyle w:val="Compact"/>
              <w:jc w:val="left"/>
            </w:pPr>
            <w:r>
              <w:t xml:space="preserve">glass</w:t>
            </w:r>
          </w:p>
        </w:tc>
        <w:tc>
          <w:tcPr/>
          <w:p>
            <w:pPr>
              <w:pStyle w:val="Compact"/>
              <w:jc w:val="left"/>
            </w:pPr>
            <w:r>
              <w:t xml:space="preserve">transparent</w:t>
            </w:r>
          </w:p>
        </w:tc>
      </w:tr>
    </w:tbl>
    <w:bookmarkEnd w:id="33"/>
    <w:sectPr w:rsidR="00A329F3">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F3E5B" w14:textId="5500965C" w:rsidR="004B1CAA" w:rsidRDefault="004B1CAA">
    <w:pPr>
      <w:pStyle w:val="Header"/>
    </w:pPr>
    <w:r>
      <w:rPr>
        <w:noProof/>
      </w:rPr>
      <w:drawing>
        <wp:inline distT="0" distB="0" distL="0" distR="0" wp14:anchorId="12951F2A" wp14:editId="24C1BCF0">
          <wp:extent cx="1879600" cy="6604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79600" cy="6604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696D6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AA167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F039E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72A57A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17CAF5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384BE5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7BC170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142CB5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EFCFD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1460B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AD2E0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7134A"/>
    <w:pPr>
      <w:keepNext/>
      <w:keepLines/>
      <w:spacing w:after="0" w:before="480"/>
      <w:outlineLvl w:val="0"/>
    </w:pPr>
    <w:rPr>
      <w:rFonts w:asciiTheme="majorHAnsi" w:cstheme="majorBidi" w:eastAsiaTheme="majorEastAsia" w:hAnsiTheme="majorHAnsi"/>
      <w:b/>
      <w:bCs/>
      <w:color w:val="C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F5640"/>
    <w:pPr>
      <w:spacing w:after="180" w:before="180"/>
    </w:pPr>
    <w:rPr>
      <w:rFonts w:ascii="Times" w:hAnsi="Times"/>
      <w:sz w:val="26"/>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4F5640"/>
    <w:rPr>
      <w:rFonts w:ascii="Times" w:hAnsi="Times"/>
      <w:sz w:val="26"/>
    </w:rPr>
  </w:style>
  <w:style w:styleId="Header" w:type="paragraph">
    <w:name w:val="header"/>
    <w:basedOn w:val="Normal"/>
    <w:link w:val="HeaderChar"/>
    <w:unhideWhenUsed/>
    <w:rsid w:val="004B1CAA"/>
    <w:pPr>
      <w:tabs>
        <w:tab w:pos="4513" w:val="center"/>
        <w:tab w:pos="9026" w:val="right"/>
      </w:tabs>
      <w:spacing w:after="0"/>
    </w:pPr>
  </w:style>
  <w:style w:customStyle="1" w:styleId="HeaderChar" w:type="character">
    <w:name w:val="Header Char"/>
    <w:basedOn w:val="DefaultParagraphFont"/>
    <w:link w:val="Header"/>
    <w:rsid w:val="004B1CAA"/>
  </w:style>
  <w:style w:styleId="Footer" w:type="paragraph">
    <w:name w:val="footer"/>
    <w:basedOn w:val="Normal"/>
    <w:link w:val="FooterChar"/>
    <w:unhideWhenUsed/>
    <w:rsid w:val="004B1CAA"/>
    <w:pPr>
      <w:tabs>
        <w:tab w:pos="4513" w:val="center"/>
        <w:tab w:pos="9026" w:val="right"/>
      </w:tabs>
      <w:spacing w:after="0"/>
    </w:pPr>
  </w:style>
  <w:style w:customStyle="1" w:styleId="FooterChar" w:type="character">
    <w:name w:val="Footer Char"/>
    <w:basedOn w:val="DefaultParagraphFont"/>
    <w:link w:val="Footer"/>
    <w:rsid w:val="004B1CA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https://www.openriskmanual.org/wiki/Logistic_Regression_Credit_Scorecard" TargetMode="External" /><Relationship Type="http://schemas.openxmlformats.org/officeDocument/2006/relationships/hyperlink" Id="rId21" Target="openriskmanu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riskmanual.org/wiki/Logistic_Regression_Credit_Scorecard" TargetMode="External" /><Relationship Type="http://schemas.openxmlformats.org/officeDocument/2006/relationships/hyperlink" Id="rId21" Target="openriskmanual.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2023-01-13T12:11:22Z</dcterms:created>
  <dcterms:modified xsi:type="dcterms:W3CDTF">2023-01-13T12:11:22Z</dcterms:modified>
</cp:coreProperties>
</file>

<file path=docProps/custom.xml><?xml version="1.0" encoding="utf-8"?>
<Properties xmlns="http://schemas.openxmlformats.org/officeDocument/2006/custom-properties" xmlns:vt="http://schemas.openxmlformats.org/officeDocument/2006/docPropsVTypes"/>
</file>