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can not run multiply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This section of the design document will show what our plans are for the diagrams we may include as well as some high-level design components. We are looking to have informative design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This design document will serve to outline a very high level design. This document will not include a thorough description of all of the lower level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1" name="image05.jpg"/>
            <a:graphic>
              <a:graphicData uri="http://schemas.openxmlformats.org/drawingml/2006/picture">
                <pic:pic>
                  <pic:nvPicPr>
                    <pic:cNvPr id="0" name="image05.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Data that needs to be stored in database for future retrieval.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905125" cy="4495800"/>
            <wp:effectExtent b="0" l="0" r="0" t="0"/>
            <wp:docPr descr="QQ图片20150401095003.jpg" id="3" name="image07.jpg"/>
            <a:graphic>
              <a:graphicData uri="http://schemas.openxmlformats.org/drawingml/2006/picture">
                <pic:pic>
                  <pic:nvPicPr>
                    <pic:cNvPr descr="QQ图片20150401095003.jpg" id="0" name="image07.jpg"/>
                    <pic:cNvPicPr preferRelativeResize="0"/>
                  </pic:nvPicPr>
                  <pic:blipFill>
                    <a:blip r:embed="rId11"/>
                    <a:srcRect b="0" l="0" r="0" t="0"/>
                    <a:stretch>
                      <a:fillRect/>
                    </a:stretch>
                  </pic:blipFill>
                  <pic:spPr>
                    <a:xfrm>
                      <a:off x="0" y="0"/>
                      <a:ext cx="2905125" cy="449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t xml:space="preserve">iPerf-------------A tool that sends traffic to another iPerf entity and evaluates network characteristics such as throughput and latency.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GSM------------Global System for Mobile Communications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WCDMA-------Wideband Code Division Multiple Access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LTE-------------Long Time Evolution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IDE-------------Integrated Development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UI--------------User Interface</w:t>
      </w:r>
    </w:p>
    <w:sectPr>
      <w:footerReference r:id="rId12"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5.jpg"/><Relationship Id="rId4" Type="http://schemas.openxmlformats.org/officeDocument/2006/relationships/styles" Target="styles.xml"/><Relationship Id="rId11" Type="http://schemas.openxmlformats.org/officeDocument/2006/relationships/image" Target="media/image07.jpg"/><Relationship Id="rId3" Type="http://schemas.openxmlformats.org/officeDocument/2006/relationships/numbering" Target="numbering.xml"/><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8.png"/><Relationship Id="rId7" Type="http://schemas.openxmlformats.org/officeDocument/2006/relationships/image" Target="media/image09.png"/></Relationships>
</file>