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i w:val="0"/>
          <w:color w:val="1F4E79"/>
          <w:sz w:val="40"/>
        </w:rPr>
        <w:t>사업계획서 (중소기업용)</w:t>
      </w:r>
    </w:p>
    <w:p>
      <w:r>
        <w:rPr>
          <w:rFonts w:ascii="맑은 고딕" w:hAnsi="맑은 고딕" w:eastAsia="맑은 고딕"/>
          <w:b w:val="0"/>
          <w:i w:val="0"/>
          <w:color w:val="595959"/>
          <w:sz w:val="21"/>
        </w:rPr>
        <w:t>중진공 정책자금 상담 · 기업평가 대비: 기술성 · 사업성 · 미래성장성 · 경영능력 · 계획의 타당성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4CE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19"/>
              </w:rPr>
              <w:t>작성예시 (가상 데이터): 상호·성명·금액은 모두 설명을 위해 만든 가상 값입니다. 본인 사업에 맞게 바꿔 쓰세요.</w:t>
            </w:r>
          </w:p>
        </w:tc>
      </w:tr>
    </w:tbl>
    <w:p/>
    <w:p>
      <w:pPr>
        <w:spacing w:before="200" w:after="60"/>
      </w:pPr>
      <w:r>
        <w:rPr>
          <w:rFonts w:ascii="맑은 고딕" w:hAnsi="맑은 고딕" w:eastAsia="맑은 고딕"/>
          <w:b/>
          <w:i w:val="0"/>
          <w:color w:val="1F4E79"/>
          <w:sz w:val="26"/>
        </w:rPr>
        <w:t>1. 기업 개요</w:t>
      </w:r>
    </w:p>
    <w:p>
      <w:pPr>
        <w:spacing w:after="60"/>
      </w:pPr>
      <w:r>
        <w:rPr>
          <w:rFonts w:ascii="맑은 고딕" w:hAnsi="맑은 고딕" w:eastAsia="맑은 고딕"/>
          <w:b w:val="0"/>
          <w:i/>
          <w:color w:val="595959"/>
          <w:sz w:val="18"/>
        </w:rPr>
        <w:t>작성 안내  업력은 사업개시일부터 신청서 제출일까지 계산합니다(법인 전환은 최초 창업일 기준).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  <w:shd w:val="clear" w:color="auto" w:fill="DCE6F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항목</w:t>
            </w:r>
          </w:p>
        </w:tc>
        <w:tc>
          <w:tcPr>
            <w:tcW w:type="dxa" w:w="7257"/>
            <w:shd w:val="clear" w:color="auto" w:fill="DCE6F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내용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기업명 / 대표자</w:t>
            </w:r>
          </w:p>
        </w:tc>
        <w:tc>
          <w:tcPr>
            <w:tcW w:type="dxa" w:w="725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예시정밀(주) / 김예시 (가상)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설립일 · 업력</w:t>
            </w:r>
          </w:p>
        </w:tc>
        <w:tc>
          <w:tcPr>
            <w:tcW w:type="dxa" w:w="725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2016-05-10 · 10년 5개월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업종 · 주요 제품</w:t>
            </w:r>
          </w:p>
        </w:tc>
        <w:tc>
          <w:tcPr>
            <w:tcW w:type="dxa" w:w="725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금속가공 · 자동차 부품용 정밀 가공품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소재지 · 상시근로자</w:t>
            </w:r>
          </w:p>
        </w:tc>
        <w:tc>
          <w:tcPr>
            <w:tcW w:type="dxa" w:w="725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예시시 산업단지 · 18명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최근 3개년 매출액</w:t>
            </w:r>
          </w:p>
        </w:tc>
        <w:tc>
          <w:tcPr>
            <w:tcW w:type="dxa" w:w="725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2023: 21.0억 / 2024: 24.5억 / 2025: 28.2억원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신청 자금 · 금액 · 용도</w:t>
            </w:r>
          </w:p>
        </w:tc>
        <w:tc>
          <w:tcPr>
            <w:tcW w:type="dxa" w:w="725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혁신성장지원자금(일반) · 5억원 · 시설자금(설비 구입)</w:t>
            </w:r>
          </w:p>
        </w:tc>
      </w:tr>
    </w:tbl>
    <w:p/>
    <w:p>
      <w:pPr>
        <w:spacing w:before="200" w:after="60"/>
      </w:pPr>
      <w:r>
        <w:rPr>
          <w:rFonts w:ascii="맑은 고딕" w:hAnsi="맑은 고딕" w:eastAsia="맑은 고딕"/>
          <w:b/>
          <w:i w:val="0"/>
          <w:color w:val="1F4E79"/>
          <w:sz w:val="26"/>
        </w:rPr>
        <w:t>2. 대표자 및 경영진 (경영능력)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shd w:val="clear" w:color="auto" w:fill="DCE6F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성명·직책</w:t>
            </w:r>
          </w:p>
        </w:tc>
        <w:tc>
          <w:tcPr>
            <w:tcW w:type="dxa" w:w="3969"/>
            <w:shd w:val="clear" w:color="auto" w:fill="DCE6F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주요 경력</w:t>
            </w:r>
          </w:p>
        </w:tc>
        <w:tc>
          <w:tcPr>
            <w:tcW w:type="dxa" w:w="1417"/>
            <w:shd w:val="clear" w:color="auto" w:fill="DCE6F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지분율</w:t>
            </w:r>
          </w:p>
        </w:tc>
        <w:tc>
          <w:tcPr>
            <w:tcW w:type="dxa" w:w="1984"/>
            <w:shd w:val="clear" w:color="auto" w:fill="DCE6F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담당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김예시 · 대표이사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자동차 부품 제조 15년, 기계가공기능장</w:t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70%</w:t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경영 총괄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박예시 · 공장장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정밀가공 12년</w:t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10%</w:t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생산·품질</w:t>
            </w:r>
          </w:p>
        </w:tc>
      </w:tr>
    </w:tbl>
    <w:p/>
    <w:p>
      <w:pPr>
        <w:spacing w:before="200" w:after="60"/>
      </w:pPr>
      <w:r>
        <w:rPr>
          <w:rFonts w:ascii="맑은 고딕" w:hAnsi="맑은 고딕" w:eastAsia="맑은 고딕"/>
          <w:b/>
          <w:i w:val="0"/>
          <w:color w:val="1F4E79"/>
          <w:sz w:val="26"/>
        </w:rPr>
        <w:t>3. 사업 내용과 기술 (기술성)</w:t>
      </w:r>
    </w:p>
    <w:p>
      <w:pPr>
        <w:spacing w:after="60"/>
      </w:pPr>
      <w:r>
        <w:rPr>
          <w:rFonts w:ascii="맑은 고딕" w:hAnsi="맑은 고딕" w:eastAsia="맑은 고딕"/>
          <w:b w:val="0"/>
          <w:i/>
          <w:color w:val="595959"/>
          <w:sz w:val="18"/>
        </w:rPr>
        <w:t>작성 안내  특허·인증·R&amp;D 이력은 번호와 날짜까지 적습니다. 평가자가 확인할 수 있어야 합니다.</w:t>
      </w:r>
    </w:p>
    <w:p>
      <w:r>
        <w:rPr>
          <w:rFonts w:ascii="맑은 고딕" w:hAnsi="맑은 고딕" w:eastAsia="맑은 고딕"/>
          <w:b/>
          <w:i w:val="0"/>
          <w:sz w:val="21"/>
        </w:rPr>
        <w:t>주요 제품·서비스와 경쟁력</w:t>
      </w:r>
    </w:p>
    <w:p>
      <w:r>
        <w:rPr>
          <w:rFonts w:ascii="맑은 고딕" w:hAnsi="맑은 고딕" w:eastAsia="맑은 고딕"/>
          <w:b w:val="0"/>
          <w:i w:val="0"/>
          <w:sz w:val="21"/>
        </w:rPr>
        <w:t>5축 가공 기반 정밀 부품을 공급합니다. 공차 ±0.005mm를 안정적으로 맞추는 공정 노하우가 강점이며, 불량률은 0.4%입니다.</w:t>
      </w:r>
    </w:p>
    <w:p>
      <w:r>
        <w:rPr>
          <w:rFonts w:ascii="맑은 고딕" w:hAnsi="맑은 고딕" w:eastAsia="맑은 고딕"/>
          <w:b/>
          <w:i w:val="0"/>
          <w:sz w:val="21"/>
        </w:rPr>
        <w:t>기술 보유 현황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417"/>
            <w:shd w:val="clear" w:color="auto" w:fill="DCE6F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구분</w:t>
            </w:r>
          </w:p>
        </w:tc>
        <w:tc>
          <w:tcPr>
            <w:tcW w:type="dxa" w:w="3969"/>
            <w:shd w:val="clear" w:color="auto" w:fill="DCE6F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명칭·번호</w:t>
            </w:r>
          </w:p>
        </w:tc>
        <w:tc>
          <w:tcPr>
            <w:tcW w:type="dxa" w:w="1984"/>
            <w:shd w:val="clear" w:color="auto" w:fill="DCE6F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등록·인증일</w:t>
            </w:r>
          </w:p>
        </w:tc>
        <w:tc>
          <w:tcPr>
            <w:tcW w:type="dxa" w:w="2268"/>
            <w:shd w:val="clear" w:color="auto" w:fill="DCE6F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활용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특허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정밀 고정 지그 (제10-0000000호, 가상)</w:t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2022-08-11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주력 제품 공정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인증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ISO 9001 (가상)</w:t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2023-02-03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납품 요건</w:t>
            </w:r>
          </w:p>
        </w:tc>
      </w:tr>
    </w:tbl>
    <w:p/>
    <w:p>
      <w:pPr>
        <w:spacing w:before="200" w:after="60"/>
      </w:pPr>
      <w:r>
        <w:rPr>
          <w:rFonts w:ascii="맑은 고딕" w:hAnsi="맑은 고딕" w:eastAsia="맑은 고딕"/>
          <w:b/>
          <w:i w:val="0"/>
          <w:color w:val="1F4E79"/>
          <w:sz w:val="26"/>
        </w:rPr>
        <w:t>4. 시장과 영업 (사업성)</w:t>
      </w:r>
    </w:p>
    <w:p>
      <w:r>
        <w:rPr>
          <w:rFonts w:ascii="맑은 고딕" w:hAnsi="맑은 고딕" w:eastAsia="맑은 고딕"/>
          <w:b w:val="0"/>
          <w:i w:val="0"/>
          <w:sz w:val="21"/>
        </w:rPr>
        <w:t>주요 거래처 3곳이 매출의 68%를 차지하며 모두 3년 이상 거래 중입니다. 전기차 부품 수주 문의가 늘고 있습니다.</w:t>
      </w:r>
    </w:p>
    <w:p>
      <w:pPr>
        <w:spacing w:before="200" w:after="60"/>
      </w:pPr>
      <w:r>
        <w:rPr>
          <w:rFonts w:ascii="맑은 고딕" w:hAnsi="맑은 고딕" w:eastAsia="맑은 고딕"/>
          <w:b/>
          <w:i w:val="0"/>
          <w:color w:val="1F4E79"/>
          <w:sz w:val="26"/>
        </w:rPr>
        <w:t>5. 투자 계획과 자금 소요 (계획의 타당성)</w:t>
      </w:r>
    </w:p>
    <w:p>
      <w:pPr>
        <w:spacing w:after="60"/>
      </w:pPr>
      <w:r>
        <w:rPr>
          <w:rFonts w:ascii="맑은 고딕" w:hAnsi="맑은 고딕" w:eastAsia="맑은 고딕"/>
          <w:b w:val="0"/>
          <w:i/>
          <w:color w:val="595959"/>
          <w:sz w:val="18"/>
        </w:rPr>
        <w:t>작성 안내  시설자금은 견적서 금액과 일치하게, 운전자금은 사용 항목별로 적습니다.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417"/>
            <w:shd w:val="clear" w:color="auto" w:fill="DCE6F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구분</w:t>
            </w:r>
          </w:p>
        </w:tc>
        <w:tc>
          <w:tcPr>
            <w:tcW w:type="dxa" w:w="3969"/>
            <w:shd w:val="clear" w:color="auto" w:fill="DCE6F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내용</w:t>
            </w:r>
          </w:p>
        </w:tc>
        <w:tc>
          <w:tcPr>
            <w:tcW w:type="dxa" w:w="1701"/>
            <w:shd w:val="clear" w:color="auto" w:fill="DCE6F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소요액(억원)</w:t>
            </w:r>
          </w:p>
        </w:tc>
        <w:tc>
          <w:tcPr>
            <w:tcW w:type="dxa" w:w="2551"/>
            <w:shd w:val="clear" w:color="auto" w:fill="DCE6F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조달 방법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시설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5축 머시닝센터 1대(견적서 기준)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6.0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정책자금 5.0 + 자기자금 1.0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운전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설비 도입 후 초기가동비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자기자금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합계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6.5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</w:tbl>
    <w:p/>
    <w:p>
      <w:pPr>
        <w:spacing w:before="200" w:after="60"/>
      </w:pPr>
      <w:r>
        <w:rPr>
          <w:rFonts w:ascii="맑은 고딕" w:hAnsi="맑은 고딕" w:eastAsia="맑은 고딕"/>
          <w:b/>
          <w:i w:val="0"/>
          <w:color w:val="1F4E79"/>
          <w:sz w:val="26"/>
        </w:rPr>
        <w:t>6. 고용 · 수출 계획 (미래성장성)</w:t>
      </w:r>
    </w:p>
    <w:p>
      <w:pPr>
        <w:spacing w:after="60"/>
      </w:pPr>
      <w:r>
        <w:rPr>
          <w:rFonts w:ascii="맑은 고딕" w:hAnsi="맑은 고딕" w:eastAsia="맑은 고딕"/>
          <w:b w:val="0"/>
          <w:i/>
          <w:color w:val="595959"/>
          <w:sz w:val="18"/>
        </w:rPr>
        <w:t>작성 안내  고용 창출과 수출 실적은 기업평가에 반영됩니다. 최근 1년 증가 인원과 향후 계획을 적습니다.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  <w:shd w:val="clear" w:color="auto" w:fill="DCE6F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항목</w:t>
            </w:r>
          </w:p>
        </w:tc>
        <w:tc>
          <w:tcPr>
            <w:tcW w:type="dxa" w:w="7257"/>
            <w:shd w:val="clear" w:color="auto" w:fill="DCE6F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내용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고용</w:t>
            </w:r>
          </w:p>
        </w:tc>
        <w:tc>
          <w:tcPr>
            <w:tcW w:type="dxa" w:w="725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최근 1년 3명 증가, 설비 도입 후 2명 추가 채용 계획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수출</w:t>
            </w:r>
          </w:p>
        </w:tc>
        <w:tc>
          <w:tcPr>
            <w:tcW w:type="dxa" w:w="725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직접 수출 없음, 협력사 경유 간접 수출 연 0.8억원 추정</w:t>
            </w:r>
          </w:p>
        </w:tc>
      </w:tr>
    </w:tbl>
    <w:p/>
    <w:p>
      <w:pPr>
        <w:spacing w:before="200" w:after="60"/>
      </w:pPr>
      <w:r>
        <w:rPr>
          <w:rFonts w:ascii="맑은 고딕" w:hAnsi="맑은 고딕" w:eastAsia="맑은 고딕"/>
          <w:b/>
          <w:i w:val="0"/>
          <w:color w:val="1F4E79"/>
          <w:sz w:val="26"/>
        </w:rPr>
        <w:t>7. 재무 현황과 전망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814"/>
            <w:shd w:val="clear" w:color="auto" w:fill="DCE6F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구분</w:t>
            </w:r>
          </w:p>
        </w:tc>
        <w:tc>
          <w:tcPr>
            <w:tcW w:type="dxa" w:w="1474"/>
            <w:shd w:val="clear" w:color="auto" w:fill="DCE6F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2023</w:t>
            </w:r>
          </w:p>
        </w:tc>
        <w:tc>
          <w:tcPr>
            <w:tcW w:type="dxa" w:w="1474"/>
            <w:shd w:val="clear" w:color="auto" w:fill="DCE6F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2024</w:t>
            </w:r>
          </w:p>
        </w:tc>
        <w:tc>
          <w:tcPr>
            <w:tcW w:type="dxa" w:w="1474"/>
            <w:shd w:val="clear" w:color="auto" w:fill="DCE6F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2025</w:t>
            </w:r>
          </w:p>
        </w:tc>
        <w:tc>
          <w:tcPr>
            <w:tcW w:type="dxa" w:w="1701"/>
            <w:shd w:val="clear" w:color="auto" w:fill="DCE6F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2026(예상)</w:t>
            </w:r>
          </w:p>
        </w:tc>
        <w:tc>
          <w:tcPr>
            <w:tcW w:type="dxa" w:w="1701"/>
            <w:shd w:val="clear" w:color="auto" w:fill="DCE6F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2027(예상)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매출액(억)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21.0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24.5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28.2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32.0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36.0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영업이익(억)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1.6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2.0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2.5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3.1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3.6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부채비율(%)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145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132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120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128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115</w:t>
            </w:r>
          </w:p>
        </w:tc>
      </w:tr>
    </w:tbl>
    <w:p/>
    <w:p>
      <w:pPr>
        <w:spacing w:before="200" w:after="60"/>
      </w:pPr>
      <w:r>
        <w:rPr>
          <w:rFonts w:ascii="맑은 고딕" w:hAnsi="맑은 고딕" w:eastAsia="맑은 고딕"/>
          <w:b/>
          <w:i w:val="0"/>
          <w:color w:val="1F4E79"/>
          <w:sz w:val="26"/>
        </w:rPr>
        <w:t>8. 상환 계획과 위험 요인</w:t>
      </w:r>
    </w:p>
    <w:p>
      <w:r>
        <w:rPr>
          <w:rFonts w:ascii="맑은 고딕" w:hAnsi="맑은 고딕" w:eastAsia="맑은 고딕"/>
          <w:b w:val="0"/>
          <w:i w:val="0"/>
          <w:sz w:val="21"/>
        </w:rPr>
        <w:t>영업이익과 감가상각비로 연 원리금 약 1.1억원을 상환할 수 있습니다. 주요 거래처 의존도는 신규 거래처 2곳 확보로 낮출 계획입니다.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