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F4E79"/>
          <w:sz w:val="40"/>
        </w:rPr>
        <w:t>융자제한 자가진단표</w:t>
      </w:r>
    </w:p>
    <w:p>
      <w:r>
        <w:rPr>
          <w:rFonts w:ascii="맑은 고딕" w:hAnsi="맑은 고딕" w:eastAsia="맑은 고딕"/>
          <w:b w:val="0"/>
          <w:i w:val="0"/>
          <w:color w:val="595959"/>
          <w:sz w:val="21"/>
        </w:rPr>
        <w:t>신청 전에 해당 항목이 있는지 점검합니다. 하나라도 '예'이면 신청 전에 상담으로 확인하세요.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9"/>
              </w:rPr>
              <w:t>본 문서는 신청 준비용 참고 양식이며 공식 서식이 아닙니다. 실제 신청은 해당 기관의 온라인 시스템에서 입력·제출하세요.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A. 소진공 융자제한 소상공인 (2026년 공고)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No</w:t>
            </w:r>
          </w:p>
        </w:tc>
        <w:tc>
          <w:tcPr>
            <w:tcW w:type="dxa" w:w="70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점검 항목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예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아니오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세금을 체납 중이다 (압류·매각의 유예 등을 받았다면 직접대출에 한해 대상)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한국신용정보원에 '신용도판단정보' 또는 '공공정보'가 등록되어 있다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허위 또는 부정한 방법으로 융자를 신청했거나 대출금을 목적 외로 쓴 적이 있다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임직원의 자금횡령 등 사회적 물의를 일으켰다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휴업 또는 폐업 중이다 (재해로 인한 휴업은 가동 중으로 간주)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주된 업종이 정책자금 융자제외 업종이다 (도박·사치·향락, 금융·보험, 법무·세무 등)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최근 5년 이내 소상공인 정책자금을 3회 이상 지원받았다 (특별경영안정자금은 횟수 제외, 시설자금·직접대출 성실상환자는 1회 추가 가능)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(직접대출) 같은 해 같은 자금을 신청해 부결되었거나 승인 후 전액 포기한 지 6개월이 지나지 않았다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B. 중진공 융자제한 기업 (2026년 공고, 변경공고 반영)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No</w:t>
            </w:r>
          </w:p>
        </w:tc>
        <w:tc>
          <w:tcPr>
            <w:tcW w:type="dxa" w:w="70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점검 항목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예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아니오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상장기업이거나 신용평가등급 BBB 이상, 또는 자본총계 200억원·자산총계 700억원 초과, 중진공 신용위험 최상위 등급(CR1)이다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휴·폐업 중이다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세금을 체납 중이다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연체·대위변제·부도·금융질서문란·회생·파산 등 신용정보가 등록되어 있다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융자제외 업종을 영위한다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최근 3년 이내 정책자금을 허위·부정하게 신청했거나 운전자금을 목적 외로 쓴 적이 있다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중대재해처벌법 위반, 상습체불, 임직원 횡령 등으로 사회적 물의를 일으켰다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중기부 기술개발지원사업에서 최근 3년 이내 제재처분을 받았다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소상공인이다 (제조업, 혁신성장·초격차·신산업 분야 영위 등 예외 있음)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업종별 융자제한 부채비율을 초과한다 (업력 7년 미만 등 예외 있음)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11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업력 5년 초과 기업이 2년 연속 적자 + 자본 전액잠식, 또는 3년 연속 이자보상배율 1.0 미만이다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기업평가 탈락 또는 융자 결정 후 전액 포기한 지 6개월이 지나지 않았다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정부·지자체 정책자금 융자·보증 실적이 최근 5년간 합계 200억원을 초과한다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중진공 정책자금 누적 지원액이 운전자금 기준 25억원을 초과한다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최근 5년 이내 정책자금을 3회 이상 지원받았다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항목마다 예외 규정이 있습니다. 판단이 어려우면 소상공인 통합콜센터 1533-0100(1번), 중진공 정책자금 콜센터 1811-3655, 중소기업 통합콜센터 1357로 문의하세요.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