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</w:pPr>
      <w:bookmarkStart w:colFirst="0" w:colLast="0" w:name="_pom6xq3li8qd" w:id="0"/>
      <w:bookmarkEnd w:id="0"/>
      <w:r w:rsidDel="00000000" w:rsidR="00000000" w:rsidRPr="00000000">
        <w:rPr>
          <w:sz w:val="64"/>
          <w:szCs w:val="64"/>
          <w:rtl w:val="0"/>
        </w:rPr>
        <w:t xml:space="preserve">Несколько полезных паттернов, и что нас ожидает дальше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70x0bswl8oil" w:id="1"/>
      <w:bookmarkEnd w:id="1"/>
      <w:r w:rsidDel="00000000" w:rsidR="00000000" w:rsidRPr="00000000">
        <w:rPr>
          <w:rtl w:val="0"/>
        </w:rPr>
        <w:t xml:space="preserve">Паттерн Builder. Создание собственных исключений. Несколько слов о программе Python 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phjahwk9c5q">
        <w:r w:rsidDel="00000000" w:rsidR="00000000" w:rsidRPr="00000000">
          <w:rPr>
            <w:color w:val="1155cc"/>
            <w:u w:val="single"/>
            <w:rtl w:val="0"/>
          </w:rPr>
          <w:t xml:space="preserve">Несколько полезных паттернов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ozyx6xbxfsf4">
        <w:r w:rsidDel="00000000" w:rsidR="00000000" w:rsidRPr="00000000">
          <w:rPr>
            <w:color w:val="1155cc"/>
            <w:u w:val="single"/>
            <w:rtl w:val="0"/>
          </w:rPr>
          <w:t xml:space="preserve">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wk3jpnlu7hda">
        <w:r w:rsidDel="00000000" w:rsidR="00000000" w:rsidRPr="00000000">
          <w:rPr>
            <w:color w:val="1155cc"/>
            <w:u w:val="single"/>
            <w:rtl w:val="0"/>
          </w:rPr>
          <w:t xml:space="preserve">Делегирование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5p58212vnali">
        <w:r w:rsidDel="00000000" w:rsidR="00000000" w:rsidRPr="00000000">
          <w:rPr>
            <w:color w:val="1155cc"/>
            <w:u w:val="single"/>
            <w:rtl w:val="0"/>
          </w:rPr>
          <w:t xml:space="preserve">Создание собственных исключений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8c93t4m30f3w">
        <w:r w:rsidDel="00000000" w:rsidR="00000000" w:rsidRPr="00000000">
          <w:rPr>
            <w:color w:val="1155cc"/>
            <w:u w:val="single"/>
            <w:rtl w:val="0"/>
          </w:rPr>
          <w:t xml:space="preserve">Несколько слов о следующей части курса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81f2g28ili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s0pceoqro6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xe6i6r9b1p4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2dsbqdayt06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ijwe3mtlmk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gphjahwk9c5q" w:id="5"/>
      <w:bookmarkEnd w:id="5"/>
      <w:r w:rsidDel="00000000" w:rsidR="00000000" w:rsidRPr="00000000">
        <w:rPr>
          <w:sz w:val="44"/>
          <w:szCs w:val="44"/>
          <w:rtl w:val="0"/>
        </w:rPr>
        <w:t xml:space="preserve">Несколько полезных паттернов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Шаблон проектирования или </w:t>
      </w:r>
      <w:r w:rsidDel="00000000" w:rsidR="00000000" w:rsidRPr="00000000">
        <w:rPr>
          <w:b w:val="1"/>
          <w:color w:val="000000"/>
          <w:rtl w:val="0"/>
        </w:rPr>
        <w:t xml:space="preserve">паттерн </w:t>
      </w:r>
      <w:r w:rsidDel="00000000" w:rsidR="00000000" w:rsidRPr="00000000">
        <w:rPr>
          <w:rtl w:val="0"/>
        </w:rPr>
        <w:t xml:space="preserve">(англ. design pattern) в разработке программного обеспечения —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ozyx6xbxfsf4" w:id="6"/>
      <w:bookmarkEnd w:id="6"/>
      <w:r w:rsidDel="00000000" w:rsidR="00000000" w:rsidRPr="00000000">
        <w:rPr>
          <w:rtl w:val="0"/>
        </w:rPr>
        <w:t xml:space="preserve">Builder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000000"/>
          <w:rtl w:val="0"/>
        </w:rPr>
        <w:t xml:space="preserve">Строитель </w:t>
      </w:r>
      <w:r w:rsidDel="00000000" w:rsidR="00000000" w:rsidRPr="00000000">
        <w:rPr>
          <w:rtl w:val="0"/>
        </w:rPr>
        <w:t xml:space="preserve">(англ. Builder) — порождающий шаблон проектирования предоставляет способ создания составного объекта.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уже работали с JSON-форматом  в одном из предыдущих уроков. Предположим, у нас стоит такая задача: загрузить данные о работниках из json-файла и выполнять различные операции с рабочими.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Различные операции с данными было бы удобнее выполнять, работая не словарем, который мы получим загрузив данные из JSON-формата, а с объектом. Напишем простой класс, который на вход будет принимать словарь, а </w:t>
      </w:r>
      <w:r w:rsidDel="00000000" w:rsidR="00000000" w:rsidRPr="00000000">
        <w:rPr>
          <w:rtl w:val="0"/>
        </w:rPr>
        <w:t xml:space="preserve">возвращать объект рабочего,</w:t>
      </w:r>
      <w:r w:rsidDel="00000000" w:rsidR="00000000" w:rsidRPr="00000000">
        <w:rPr>
          <w:rtl w:val="0"/>
        </w:rPr>
        <w:t xml:space="preserve"> автоматически добавляя атрибуты в соответствии с ключами словаря.</w:t>
      </w:r>
    </w:p>
    <w:tbl>
      <w:tblPr>
        <w:tblStyle w:val="Table1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WorkerBuilder: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items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setattr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worker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WorkerBuilder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"Петр"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"surname"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"Алексеев"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name)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surname)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Функция setattr() - добавляет объекту указанный атрибут.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Очень удобно реализовать класс-строитель, принимающий исходные данные любого типа и возвращающий готовый python-объект.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wk3jpnlu7hda" w:id="7"/>
      <w:bookmarkEnd w:id="7"/>
      <w:r w:rsidDel="00000000" w:rsidR="00000000" w:rsidRPr="00000000">
        <w:rPr>
          <w:rtl w:val="0"/>
        </w:rPr>
        <w:t xml:space="preserve">Делегирование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ООП также часто используется термин делегирование, под которым обычно подразумевается наличие объекта-контроллера,  куда  встраиваются  другие  объекты,  получающие  запросы на выполнение операций. Контроллеры могут решать административные задачи, такие как слежение за попытками доступа и так далее. В языке Python делегирование часто реализуется с помощью метода __getattr__, потому что он перехватывает попытки доступа к несуществующим атрибутам. Класс-обертка (иногда называется прокси-классом) может использовать метод __getattr__ для перенаправления обращений к обернутому объекту. Класс-обертка повторяет интерфейс обернутого объекта и может добавлять дополнительные операции.</w:t>
      </w:r>
    </w:p>
    <w:tbl>
      <w:tblPr>
        <w:tblStyle w:val="Table2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Wrapper: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wrapped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Сохранить объект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__getattr__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attrname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'Trace:'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attrname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Отметить факт извлечения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getattr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wrapped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attrname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Делегировать извлечение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Метод __getattr__ получает имя атрибута в виде строки. В этом примере для извлечения из обернутого объекта атрибута, имя которого представлено в виде строки, используется встроенная функция getattr –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Вызов getattr(X, N) аналогичен выражению X.N за исключением того, что N – это выражение, которое во время выполнения представлено строкой, а не именем переменной. Фактически вызов getattr(X, N) по его действию можно сравнить с выражением X.__dict__[N], только в первом случае дополнительно выполняется поиск в дереве наследования, как в выражении X.N, а во втором – нет. Такой приём, реализованный в этом классе-обёртке, можно использовать для управления  доступом  к  любому  объекту  с  атрибутами  –  спискам,  словарям и  даже  к  классам  и  экземплярам.</w:t>
      </w:r>
    </w:p>
    <w:tbl>
      <w:tblPr>
        <w:tblStyle w:val="Table3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Wrapper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Обернуть список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append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Делегировать операцию методу списка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wrapped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Вывести обернутый объект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Wrapper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({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Обернуть словарь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     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Делегировать операцию методу словаря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Получим вывод: </w:t>
      </w:r>
    </w:p>
    <w:tbl>
      <w:tblPr>
        <w:tblStyle w:val="Table4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both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append</w:t>
              <w:br w:type="textWrapping"/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Trace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keys</w:t>
              <w:br w:type="textWrapping"/>
              <w:t xml:space="preserve">dict_keys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5p58212vnali" w:id="8"/>
      <w:bookmarkEnd w:id="8"/>
      <w:r w:rsidDel="00000000" w:rsidR="00000000" w:rsidRPr="00000000">
        <w:rPr>
          <w:rtl w:val="0"/>
        </w:rPr>
        <w:t xml:space="preserve">Создание собственных исключений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Исключение – это своего рода «супер-goto». Обработчик исключений (инструкция try) ставит метку и выполняет некоторый программный код. Если затем где-нибудь  в  программе  возникает  исключение,  интерпретатор  немедленно возвращается к метке, отменяя все активные вызовы функций, которые были произведены  после  установки метки.  Такой  подход  позволяет  соответствующим способом реагировать на необычные события. Кроме того, переход к обработчику исключения выполняется немедленно, поэтому обычно нет никакой необходимости проверять коды возврата каждой вызванной функции, которая могла потерпеть неудачу.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 обработкой исключений мы уже сталкивались, можно, а часто и нужно создавать исключения отличающиеся от стандартных типов. Любое исключение - это экземпляр класса, который должен наследоваться от Exception.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ShortInputError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"""Пользовательский класс исключения."""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atleast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Exception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__init__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Добавляем два доп.атрибута, дл вывода более информативного сообщения  об ошибке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length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length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atleast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atleast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Переопределяем, чтобы вывести сообщение, которое нам нужно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__str__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'ShortInputException: Длина введённой строки -- {0}; '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\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'ожидалось, как минимум, {1}'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self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atleast)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TestError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ShortInputError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max_char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Вы</w:t>
            </w:r>
            <w:r w:rsidDel="00000000" w:rsidR="00000000" w:rsidRPr="00000000">
              <w:rPr>
                <w:color w:val="880000"/>
                <w:rtl w:val="0"/>
              </w:rPr>
              <w:t xml:space="preserve">з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ываем исключение с помощью оператора raise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raise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ShortInputError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Перехватываем и обрабатываем свое исключение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max_char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except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ShortInputError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as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ex: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ex)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else: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'Не было исключений.')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finally: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 Блок finally приведен просто для примера полной структуры перехвата и обработки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both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Чтобы  явно  возбудить  исключение,  можно  использовать  инструкцию  raise. В общем виде она имеет очень простую форму записи – инструкция raise состоит из слова raise, за которым может следовать имя класса или экземпляр возбуждаемого исключения: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raise &lt;instance&gt; - возбуждает экземпляр класса-исключения;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raise &lt;class&gt; -  создает и возбуждает экземпляр класса-исключения;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raise - повторно возбуждает самое последнее исключение.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Как уже упоминалось ранее, исключение  в Python –  это  всегда  экземпляр класса. Следовательно, первая форма инструкции raise является наиболее типичной – ей непосредственно передаётся экземпляр класса, который создаётся перед вызовом инструкции raise или внутри неё. Если инструкции передаётся класс, интерпретатор вызовет конструктор класса без аргументов, а полученный экземпляр передаст инструкции raise, если после имени класса добавить круглые скобки, мы получим эквивалентную форму. Третья форма инструкции raise повторно возбуждает текущее исключение – это удобно, когда возникает необходимость передать перехваченное исключение другому обработчику.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Независимо от того, какие исключения будут использованы, они всегда идентифицируются обычными объектами, и только одно исключение может быть активным  в  каждый  конкретный  момент  времени.  Как  только  исключение перехватывается предложением except, находящемся в любом месте программы, исключение деактивируется (то есть оно не будет передано другой инструкции try), если не будет повторно возбуждено при помощи инструкции raise или в результате ошибки.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8c93t4m30f3w" w:id="9"/>
      <w:bookmarkEnd w:id="9"/>
      <w:r w:rsidDel="00000000" w:rsidR="00000000" w:rsidRPr="00000000">
        <w:rPr>
          <w:sz w:val="44"/>
          <w:szCs w:val="44"/>
          <w:rtl w:val="0"/>
        </w:rPr>
        <w:t xml:space="preserve">Несколько слов о следующей части курса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этом мы заканчиваем первую часть курса по python. Мы познакомились с основными инструментами и конструкциями языка, но python содержит ещё много полезных подходов и возможностей.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Во второй части познакомимся с: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генераторами;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декораторами;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множественным наследованием;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созданием многопоточных приложений;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более сложным созданием системных скриптов - незаменимым помощником системных администраторов;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 работой с базами данных на питоне (на примерах)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многими другими вещами...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 окончанию двух частей вы сможете с уверенностью считать себя продвинутым python-программистом.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Также, на протяжении последующих вебинаров, будем создавать полноценное приложение, которое можно будет с гордостью прикрепить к своему резюме.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q81f2g28ili5" w:id="10"/>
      <w:bookmarkEnd w:id="10"/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омашнее задание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Домашние задания для данного урока вы найдете в папке home_work в папке с номером текущего урока, скачав проект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Большинство заданий делятся на три категории easy, normal и hard.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easy - простенькие задачи, на понимание основ;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 - если вы делаете эти задачи, то вы хорошо усвоили урок;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hard - наиболее хитрые задачи, часто с подвохами, для продвинутых слушателей.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не можете сделать normal задачи - это повод пересмотреть урок, перечитать методичку и обратиться к преподавателю за помощью.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не можете сделать hard - не переживайте, со временем научитесь.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Решение большинства задач будем разбирать в начале каждого вебинара.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ms0pceoqro6" w:id="11"/>
      <w:bookmarkEnd w:id="1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Дополнительные примеры с подробными комментариями находятся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both"/>
      </w:pPr>
      <w:r w:rsidDel="00000000" w:rsidR="00000000" w:rsidRPr="00000000">
        <w:rPr>
          <w:rtl w:val="0"/>
        </w:rPr>
        <w:t xml:space="preserve">Всё то, о чем сказано здесь, но подробнее: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Пользовательские исключения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Паттерны проектирования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p5sv2p8co60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uvp6qax5r1ok" w:id="13"/>
      <w:bookmarkEnd w:id="1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качественно(habr)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Книга Лутц М. “Изучаем Python” (4-е издание)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1876500" cy="50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8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66675</wp:posOffset>
              </wp:positionH>
              <wp:positionV relativeFrom="paragraph">
                <wp:posOffset>1123950</wp:posOffset>
              </wp:positionV>
              <wp:extent cx="2314575" cy="647700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14575" cy="647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48050" y="2228850"/>
                        <a:ext cx="1353413" cy="1353413"/>
                        <a:chOff x="3448050" y="2228850"/>
                        <a:chExt cx="2857500" cy="2857500"/>
                      </a:xfrm>
                    </wpg:grpSpPr>
                    <pic:pic>
                      <pic:nvPicPr>
                        <pic:cNvPr descr="Python.png" id="5" name="Shape 5"/>
                        <pic:cNvPicPr preferRelativeResize="0"/>
                      </pic:nvPicPr>
                      <pic:blipFill/>
                      <pic:spPr>
                        <a:xfrm>
                          <a:off x="3448050" y="2228850"/>
                          <a:ext cx="28575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4857750</wp:posOffset>
              </wp:positionH>
              <wp:positionV relativeFrom="paragraph">
                <wp:posOffset>400050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9613" cy="1189002"/>
                        <a:chOff x="0" y="0"/>
                        <a:chExt cx="9753600" cy="1516199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0" y="0"/>
                          <a:ext cx="9753600" cy="1516199"/>
                        </a:xfrm>
                        <a:prstGeom prst="rect">
                          <a:avLst/>
                        </a:prstGeom>
                        <a:solidFill>
                          <a:srgbClr val="6586F2">
                            <a:alpha val="4269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  <wps:wsp>
                      <wps:cNvSpPr txBox="1"/>
                      <wps:cNvPr id="3" name="Shape 3"/>
                      <wps:spPr>
                        <a:xfrm>
                          <a:off x="1133475" y="381000"/>
                          <a:ext cx="2057400" cy="6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Python </w:t>
                            </w:r>
                          </w:p>
                        </w:txbxContent>
                      </wps:txbx>
                      <wps:bodyPr anchorCtr="0" anchor="t" bIns="91425" lIns="91425" rIns="91425" tIns="91425"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-771524</wp:posOffset>
              </wp:positionH>
              <wp:positionV relativeFrom="paragraph">
                <wp:posOffset>-66674</wp:posOffset>
              </wp:positionV>
              <wp:extent cx="7609613" cy="1189002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9613" cy="11890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hashkovs.ru/_prog/Lutc_M._-_Izuchaem_Python_(4-e_izdanie)-_2011.pdf" TargetMode="External"/><Relationship Id="rId10" Type="http://schemas.openxmlformats.org/officeDocument/2006/relationships/hyperlink" Target="http://pythonworld.ru/samouchitel-python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habrahabr.ru/post/150302/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hyperlink" Target="https://github.com/NADiP-Examples/Python_lessons_basic" TargetMode="External"/><Relationship Id="rId6" Type="http://schemas.openxmlformats.org/officeDocument/2006/relationships/hyperlink" Target="https://github.com/NADiP-Examples/Python_lessons_basic" TargetMode="External"/><Relationship Id="rId7" Type="http://schemas.openxmlformats.org/officeDocument/2006/relationships/hyperlink" Target="http://pythoner.name/documentation/tutorial/exceptions/user-defined" TargetMode="External"/><Relationship Id="rId8" Type="http://schemas.openxmlformats.org/officeDocument/2006/relationships/hyperlink" Target="http://toly.github.io/blog/2014/03/05/advanced-design-patterns-in-python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Relationship Id="rId2" Type="http://schemas.openxmlformats.org/officeDocument/2006/relationships/image" Target="media/image05.png"/><Relationship Id="rId3" Type="http://schemas.openxmlformats.org/officeDocument/2006/relationships/image" Target="media/image01.png"/></Relationships>
</file>