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34579736" w:displacedByCustomXml="next"/>
    <w:sdt>
      <w:sdtPr>
        <w:rPr>
          <w:rFonts w:ascii="Times New Roman" w:hAnsi="Times New Roman" w:cs="Times New Roman"/>
          <w:lang w:val="hr-HR"/>
        </w:rPr>
        <w:id w:val="1560755444"/>
        <w:docPartObj>
          <w:docPartGallery w:val="Cover Pages"/>
          <w:docPartUnique/>
        </w:docPartObj>
      </w:sdtPr>
      <w:sdtEndPr>
        <w:rPr>
          <w:b/>
          <w:sz w:val="24"/>
          <w:szCs w:val="24"/>
        </w:rPr>
      </w:sdtEndPr>
      <w:sdtContent>
        <w:p w14:paraId="17DC595C" w14:textId="77777777" w:rsidR="00683C94" w:rsidRPr="00A609CA" w:rsidRDefault="00683C94" w:rsidP="00683C94">
          <w:pPr>
            <w:spacing w:line="240" w:lineRule="auto"/>
            <w:ind w:left="17"/>
            <w:jc w:val="center"/>
            <w:rPr>
              <w:rFonts w:ascii="Times New Roman" w:eastAsia="Times New Roman" w:hAnsi="Times New Roman" w:cs="Times New Roman"/>
              <w:b/>
              <w:bCs/>
              <w:iCs/>
              <w:sz w:val="24"/>
              <w:szCs w:val="24"/>
              <w:lang w:val="hr-HR" w:eastAsia="en-GB"/>
            </w:rPr>
          </w:pPr>
          <w:r>
            <w:rPr>
              <w:rFonts w:ascii="Times New Roman" w:eastAsia="Times New Roman" w:hAnsi="Times New Roman" w:cs="Times New Roman"/>
              <w:b/>
              <w:bCs/>
              <w:iCs/>
              <w:sz w:val="24"/>
              <w:szCs w:val="24"/>
              <w:lang w:val="hr-HR" w:eastAsia="en-GB"/>
            </w:rPr>
            <w:t>MINISTARSTVO PRAVOSUĐA, UPRAVE I DIGITALNE TRANSFORMACIJE</w:t>
          </w:r>
        </w:p>
        <w:p w14:paraId="7B5CCB87" w14:textId="77777777" w:rsidR="00683C94" w:rsidRPr="00A609CA" w:rsidRDefault="00683C94" w:rsidP="00683C94">
          <w:pPr>
            <w:spacing w:line="240" w:lineRule="auto"/>
            <w:jc w:val="both"/>
            <w:rPr>
              <w:rFonts w:ascii="Times New Roman" w:eastAsia="Calibri" w:hAnsi="Times New Roman" w:cs="Times New Roman"/>
              <w:b/>
              <w:bCs/>
              <w:iCs/>
              <w:caps/>
              <w:sz w:val="24"/>
              <w:szCs w:val="24"/>
              <w:lang w:val="hr-HR"/>
            </w:rPr>
          </w:pPr>
          <w:r>
            <w:rPr>
              <w:rFonts w:ascii="Times New Roman" w:eastAsia="Times New Roman" w:hAnsi="Times New Roman" w:cs="Times New Roman"/>
              <w:b/>
              <w:bCs/>
              <w:sz w:val="24"/>
              <w:szCs w:val="24"/>
              <w:lang w:val="hr-HR" w:eastAsia="en-GB"/>
            </w:rPr>
            <w:t>___________________________________________________________________________________</w:t>
          </w:r>
        </w:p>
        <w:p w14:paraId="31F8E138" w14:textId="77777777" w:rsidR="00683C94" w:rsidRPr="00A609CA" w:rsidRDefault="00683C94" w:rsidP="00683C94">
          <w:pPr>
            <w:spacing w:line="240" w:lineRule="auto"/>
            <w:jc w:val="center"/>
            <w:rPr>
              <w:rFonts w:ascii="Times New Roman" w:eastAsia="Calibri" w:hAnsi="Times New Roman" w:cs="Times New Roman"/>
              <w:b/>
              <w:bCs/>
              <w:iCs/>
              <w:caps/>
              <w:sz w:val="24"/>
              <w:szCs w:val="24"/>
              <w:lang w:val="hr-HR"/>
            </w:rPr>
          </w:pPr>
        </w:p>
        <w:p w14:paraId="33E4FFD4" w14:textId="77777777" w:rsidR="00683C94" w:rsidRPr="00A609CA" w:rsidRDefault="00683C94" w:rsidP="00683C94">
          <w:pPr>
            <w:spacing w:line="240" w:lineRule="auto"/>
            <w:jc w:val="right"/>
            <w:rPr>
              <w:rFonts w:ascii="Times New Roman" w:eastAsia="Calibri" w:hAnsi="Times New Roman" w:cs="Times New Roman"/>
              <w:b/>
              <w:bCs/>
              <w:iCs/>
              <w:sz w:val="24"/>
              <w:szCs w:val="24"/>
              <w:lang w:val="hr-HR"/>
            </w:rPr>
          </w:pPr>
          <w:r>
            <w:rPr>
              <w:rFonts w:ascii="Times New Roman" w:eastAsia="Calibri" w:hAnsi="Times New Roman" w:cs="Times New Roman"/>
              <w:b/>
              <w:bCs/>
              <w:iCs/>
              <w:caps/>
              <w:sz w:val="24"/>
              <w:szCs w:val="24"/>
              <w:lang w:val="hr-HR"/>
            </w:rPr>
            <w:t>PRIJEDLOG</w:t>
          </w:r>
        </w:p>
        <w:bookmarkEnd w:id="0"/>
        <w:p w14:paraId="733743BA" w14:textId="77777777" w:rsidR="00683C94" w:rsidRPr="00A609CA" w:rsidRDefault="00683C94" w:rsidP="00683C94">
          <w:pPr>
            <w:spacing w:line="240" w:lineRule="auto"/>
            <w:jc w:val="center"/>
            <w:rPr>
              <w:rFonts w:ascii="Times New Roman" w:eastAsia="Calibri" w:hAnsi="Times New Roman" w:cs="Times New Roman"/>
              <w:b/>
              <w:bCs/>
              <w:iCs/>
              <w:sz w:val="24"/>
              <w:szCs w:val="24"/>
              <w:lang w:val="hr-HR"/>
            </w:rPr>
          </w:pPr>
        </w:p>
        <w:p w14:paraId="2A2E1D00" w14:textId="77777777" w:rsidR="00683C94" w:rsidRPr="00A609CA" w:rsidRDefault="00683C94" w:rsidP="00683C94">
          <w:pPr>
            <w:spacing w:line="240" w:lineRule="auto"/>
            <w:rPr>
              <w:rFonts w:ascii="Times New Roman" w:eastAsia="Calibri" w:hAnsi="Times New Roman" w:cs="Times New Roman"/>
              <w:b/>
              <w:bCs/>
              <w:iCs/>
              <w:sz w:val="24"/>
              <w:szCs w:val="24"/>
              <w:lang w:val="hr-HR"/>
            </w:rPr>
          </w:pPr>
        </w:p>
        <w:p w14:paraId="461B482A" w14:textId="77777777" w:rsidR="00683C94" w:rsidRPr="00A609CA" w:rsidRDefault="00683C94" w:rsidP="00683C94">
          <w:pPr>
            <w:spacing w:line="240" w:lineRule="auto"/>
            <w:jc w:val="center"/>
            <w:rPr>
              <w:rFonts w:ascii="Times New Roman" w:eastAsia="Calibri" w:hAnsi="Times New Roman" w:cs="Times New Roman"/>
              <w:b/>
              <w:bCs/>
              <w:iCs/>
              <w:sz w:val="28"/>
              <w:szCs w:val="28"/>
              <w:lang w:val="hr-HR"/>
            </w:rPr>
          </w:pPr>
        </w:p>
        <w:p w14:paraId="1FAC51D2" w14:textId="77777777" w:rsidR="00683C94" w:rsidRPr="00A609CA" w:rsidRDefault="00683C94" w:rsidP="00683C94">
          <w:pPr>
            <w:spacing w:line="360" w:lineRule="auto"/>
            <w:ind w:left="17"/>
            <w:jc w:val="center"/>
            <w:rPr>
              <w:rFonts w:ascii="Times New Roman" w:eastAsia="Calibri" w:hAnsi="Times New Roman" w:cs="Times New Roman"/>
              <w:b/>
              <w:bCs/>
              <w:caps/>
              <w:sz w:val="28"/>
              <w:szCs w:val="28"/>
              <w:lang w:val="hr-HR"/>
            </w:rPr>
          </w:pPr>
        </w:p>
        <w:p w14:paraId="30CBA19C" w14:textId="77777777" w:rsidR="00683C94" w:rsidRPr="00A609CA" w:rsidRDefault="00683C94" w:rsidP="00683C94">
          <w:pPr>
            <w:spacing w:line="360" w:lineRule="auto"/>
            <w:ind w:left="17"/>
            <w:jc w:val="center"/>
            <w:rPr>
              <w:rFonts w:ascii="Times New Roman" w:eastAsia="Calibri" w:hAnsi="Times New Roman" w:cs="Times New Roman"/>
              <w:b/>
              <w:bCs/>
              <w:caps/>
              <w:sz w:val="28"/>
              <w:szCs w:val="28"/>
              <w:lang w:val="hr-HR"/>
            </w:rPr>
          </w:pPr>
        </w:p>
        <w:p w14:paraId="182901DE" w14:textId="2EE3598B" w:rsidR="00683C94" w:rsidRPr="003D103B" w:rsidRDefault="00683C94" w:rsidP="003D103B">
          <w:pPr>
            <w:spacing w:line="360" w:lineRule="auto"/>
            <w:ind w:left="17"/>
            <w:jc w:val="center"/>
            <w:rPr>
              <w:rFonts w:ascii="Times New Roman" w:eastAsia="Calibri" w:hAnsi="Times New Roman" w:cs="Times New Roman"/>
              <w:b/>
              <w:bCs/>
              <w:caps/>
              <w:sz w:val="28"/>
              <w:szCs w:val="28"/>
              <w:lang w:val="hr-HR"/>
            </w:rPr>
          </w:pPr>
          <w:r>
            <w:rPr>
              <w:rFonts w:ascii="Times New Roman" w:eastAsia="Calibri" w:hAnsi="Times New Roman" w:cs="Times New Roman"/>
              <w:b/>
              <w:bCs/>
              <w:caps/>
              <w:sz w:val="28"/>
              <w:szCs w:val="28"/>
              <w:lang w:val="hr-HR"/>
            </w:rPr>
            <w:t xml:space="preserve">NACIONALNI PLAN </w:t>
          </w:r>
          <w:r w:rsidR="00074B47">
            <w:rPr>
              <w:rFonts w:ascii="Times New Roman" w:eastAsia="Calibri" w:hAnsi="Times New Roman" w:cs="Times New Roman"/>
              <w:b/>
              <w:bCs/>
              <w:caps/>
              <w:sz w:val="28"/>
              <w:szCs w:val="28"/>
              <w:lang w:val="hr-HR"/>
            </w:rPr>
            <w:t xml:space="preserve">ZA </w:t>
          </w:r>
          <w:r>
            <w:rPr>
              <w:rFonts w:ascii="Times New Roman" w:eastAsia="Calibri" w:hAnsi="Times New Roman" w:cs="Times New Roman"/>
              <w:b/>
              <w:bCs/>
              <w:caps/>
              <w:sz w:val="28"/>
              <w:szCs w:val="28"/>
              <w:lang w:val="hr-HR"/>
            </w:rPr>
            <w:t>razvoj umjetne inteligencije</w:t>
          </w:r>
          <w:r w:rsidR="00537053">
            <w:rPr>
              <w:rFonts w:ascii="Times New Roman" w:eastAsia="Calibri" w:hAnsi="Times New Roman" w:cs="Times New Roman"/>
              <w:b/>
              <w:bCs/>
              <w:caps/>
              <w:sz w:val="28"/>
              <w:szCs w:val="28"/>
              <w:lang w:val="hr-HR"/>
            </w:rPr>
            <w:t xml:space="preserve"> </w:t>
          </w:r>
          <w:r>
            <w:rPr>
              <w:rFonts w:ascii="Times New Roman" w:eastAsia="Calibri" w:hAnsi="Times New Roman" w:cs="Times New Roman"/>
              <w:b/>
              <w:bCs/>
              <w:caps/>
              <w:sz w:val="28"/>
              <w:szCs w:val="28"/>
              <w:lang w:val="hr-HR"/>
            </w:rPr>
            <w:t>za razdoblje do 2032. godine</w:t>
          </w:r>
        </w:p>
        <w:p w14:paraId="49A62841" w14:textId="77777777" w:rsidR="00683C94" w:rsidRPr="00A609CA" w:rsidRDefault="00683C94" w:rsidP="00683C94">
          <w:pPr>
            <w:rPr>
              <w:rFonts w:ascii="Times New Roman" w:hAnsi="Times New Roman" w:cs="Times New Roman"/>
              <w:sz w:val="24"/>
              <w:szCs w:val="24"/>
              <w:lang w:val="hr-HR"/>
            </w:rPr>
          </w:pPr>
        </w:p>
        <w:p w14:paraId="0663297F" w14:textId="77777777" w:rsidR="00683C94" w:rsidRPr="00A609CA" w:rsidRDefault="00683C94" w:rsidP="00683C94">
          <w:pPr>
            <w:rPr>
              <w:rFonts w:ascii="Times New Roman" w:hAnsi="Times New Roman" w:cs="Times New Roman"/>
              <w:sz w:val="24"/>
              <w:szCs w:val="24"/>
              <w:lang w:val="hr-HR"/>
            </w:rPr>
          </w:pPr>
        </w:p>
        <w:p w14:paraId="253BA57C" w14:textId="77777777" w:rsidR="00683C94" w:rsidRPr="00A609CA" w:rsidRDefault="00683C94" w:rsidP="00683C94">
          <w:pPr>
            <w:rPr>
              <w:rFonts w:ascii="Times New Roman" w:hAnsi="Times New Roman" w:cs="Times New Roman"/>
              <w:sz w:val="24"/>
              <w:szCs w:val="24"/>
              <w:lang w:val="hr-HR"/>
            </w:rPr>
          </w:pPr>
        </w:p>
        <w:p w14:paraId="7C48504C" w14:textId="77777777" w:rsidR="00683C94" w:rsidRPr="00A609CA" w:rsidRDefault="00683C94" w:rsidP="00683C94">
          <w:pPr>
            <w:rPr>
              <w:rFonts w:ascii="Times New Roman" w:hAnsi="Times New Roman" w:cs="Times New Roman"/>
              <w:sz w:val="24"/>
              <w:szCs w:val="24"/>
              <w:lang w:val="hr-HR"/>
            </w:rPr>
          </w:pPr>
        </w:p>
        <w:p w14:paraId="7D3D7408" w14:textId="77777777" w:rsidR="00683C94" w:rsidRPr="00A609CA" w:rsidRDefault="00683C94" w:rsidP="00683C94">
          <w:pPr>
            <w:rPr>
              <w:rFonts w:ascii="Times New Roman" w:hAnsi="Times New Roman" w:cs="Times New Roman"/>
              <w:sz w:val="24"/>
              <w:szCs w:val="24"/>
              <w:lang w:val="hr-HR"/>
            </w:rPr>
          </w:pPr>
        </w:p>
        <w:p w14:paraId="399963FF" w14:textId="77777777" w:rsidR="00683C94" w:rsidRPr="00A609CA" w:rsidRDefault="00683C94" w:rsidP="00683C94">
          <w:pPr>
            <w:rPr>
              <w:rFonts w:ascii="Times New Roman" w:hAnsi="Times New Roman" w:cs="Times New Roman"/>
              <w:sz w:val="24"/>
              <w:szCs w:val="24"/>
              <w:lang w:val="hr-HR"/>
            </w:rPr>
          </w:pPr>
        </w:p>
        <w:p w14:paraId="4C9E08AD" w14:textId="77777777" w:rsidR="00683C94" w:rsidRPr="00A609CA" w:rsidRDefault="00683C94" w:rsidP="00683C94">
          <w:pPr>
            <w:rPr>
              <w:rFonts w:ascii="Times New Roman" w:hAnsi="Times New Roman" w:cs="Times New Roman"/>
              <w:sz w:val="24"/>
              <w:szCs w:val="24"/>
              <w:lang w:val="hr-HR"/>
            </w:rPr>
          </w:pPr>
        </w:p>
        <w:p w14:paraId="616DB43A" w14:textId="77777777" w:rsidR="00683C94" w:rsidRPr="00A609CA" w:rsidRDefault="00683C94" w:rsidP="00683C94">
          <w:pPr>
            <w:rPr>
              <w:rFonts w:ascii="Times New Roman" w:hAnsi="Times New Roman" w:cs="Times New Roman"/>
              <w:sz w:val="24"/>
              <w:szCs w:val="24"/>
              <w:lang w:val="hr-HR"/>
            </w:rPr>
          </w:pPr>
        </w:p>
        <w:p w14:paraId="48A7F534" w14:textId="77777777" w:rsidR="00683C94" w:rsidRPr="00A609CA" w:rsidRDefault="00683C94" w:rsidP="00683C94">
          <w:pPr>
            <w:rPr>
              <w:rFonts w:ascii="Times New Roman" w:hAnsi="Times New Roman" w:cs="Times New Roman"/>
              <w:sz w:val="24"/>
              <w:szCs w:val="24"/>
              <w:lang w:val="hr-HR"/>
            </w:rPr>
          </w:pPr>
        </w:p>
        <w:p w14:paraId="6E76A773" w14:textId="1DF04064" w:rsidR="00683C94" w:rsidRPr="00A609CA" w:rsidRDefault="00E51A27" w:rsidP="00683C94">
          <w:pPr>
            <w:jc w:val="center"/>
            <w:rPr>
              <w:rFonts w:ascii="Times New Roman" w:hAnsi="Times New Roman" w:cs="Times New Roman"/>
              <w:b/>
              <w:sz w:val="24"/>
              <w:szCs w:val="24"/>
              <w:lang w:val="hr-HR"/>
            </w:rPr>
          </w:pPr>
          <w:r>
            <w:rPr>
              <w:rFonts w:ascii="Times New Roman" w:hAnsi="Times New Roman" w:cs="Times New Roman"/>
              <w:sz w:val="24"/>
              <w:szCs w:val="24"/>
              <w:lang w:val="hr-HR"/>
            </w:rPr>
            <w:t>Listopad</w:t>
          </w:r>
          <w:r w:rsidR="00A50640">
            <w:rPr>
              <w:rFonts w:ascii="Times New Roman" w:hAnsi="Times New Roman" w:cs="Times New Roman"/>
              <w:sz w:val="24"/>
              <w:szCs w:val="24"/>
              <w:lang w:val="hr-HR"/>
            </w:rPr>
            <w:t xml:space="preserve"> </w:t>
          </w:r>
          <w:r w:rsidR="00683C94">
            <w:rPr>
              <w:rFonts w:ascii="Times New Roman" w:hAnsi="Times New Roman" w:cs="Times New Roman"/>
              <w:sz w:val="24"/>
              <w:szCs w:val="24"/>
              <w:lang w:val="hr-HR"/>
            </w:rPr>
            <w:t>2026.</w:t>
          </w:r>
        </w:p>
      </w:sdtContent>
    </w:sdt>
    <w:p w14:paraId="5902E5A1" w14:textId="77777777" w:rsidR="00683C94" w:rsidRPr="00A609CA" w:rsidRDefault="00683C94" w:rsidP="00683C94">
      <w:pPr>
        <w:pStyle w:val="TOCNaslov"/>
        <w:rPr>
          <w:rFonts w:ascii="Times New Roman" w:eastAsia="Arial" w:hAnsi="Times New Roman" w:cs="Times New Roman"/>
          <w:b w:val="0"/>
          <w:bCs w:val="0"/>
          <w:color w:val="auto"/>
          <w:sz w:val="20"/>
          <w:szCs w:val="22"/>
          <w:lang w:val="hr-HR"/>
        </w:rPr>
        <w:sectPr w:rsidR="00683C94" w:rsidRPr="00A609CA" w:rsidSect="00683C94">
          <w:footerReference w:type="default" r:id="rId8"/>
          <w:pgSz w:w="12240" w:h="15840"/>
          <w:pgMar w:top="1134" w:right="1134" w:bottom="1134" w:left="1134" w:header="720" w:footer="720" w:gutter="0"/>
          <w:pgNumType w:start="0"/>
          <w:cols w:space="720"/>
          <w:titlePg/>
          <w:docGrid w:linePitch="360"/>
        </w:sectPr>
      </w:pPr>
    </w:p>
    <w:bookmarkStart w:id="1" w:name="_TOC_250074" w:displacedByCustomXml="next"/>
    <w:sdt>
      <w:sdtPr>
        <w:rPr>
          <w:rFonts w:ascii="Times New Roman" w:eastAsia="Arial" w:hAnsi="Times New Roman" w:cs="Times New Roman"/>
          <w:b w:val="0"/>
          <w:bCs w:val="0"/>
          <w:color w:val="auto"/>
          <w:sz w:val="20"/>
          <w:szCs w:val="22"/>
          <w:lang w:val="hr-HR"/>
        </w:rPr>
        <w:id w:val="-1521550544"/>
        <w:docPartObj>
          <w:docPartGallery w:val="Table of Contents"/>
          <w:docPartUnique/>
        </w:docPartObj>
      </w:sdtPr>
      <w:sdtEndPr>
        <w:rPr>
          <w:sz w:val="24"/>
          <w:szCs w:val="24"/>
        </w:rPr>
      </w:sdtEndPr>
      <w:sdtContent>
        <w:p w14:paraId="039F21F4" w14:textId="2219CBAD" w:rsidR="00F2475B" w:rsidRPr="007E2992" w:rsidRDefault="00F2475B">
          <w:pPr>
            <w:pStyle w:val="TOCNaslov"/>
            <w:rPr>
              <w:rFonts w:ascii="Times New Roman" w:hAnsi="Times New Roman"/>
              <w:color w:val="auto"/>
              <w:sz w:val="24"/>
              <w:szCs w:val="24"/>
              <w:lang w:val="hr-HR"/>
            </w:rPr>
          </w:pPr>
          <w:r w:rsidRPr="007E2992">
            <w:rPr>
              <w:rFonts w:ascii="Times New Roman" w:hAnsi="Times New Roman" w:cs="Times New Roman"/>
              <w:color w:val="auto"/>
              <w:sz w:val="24"/>
              <w:szCs w:val="24"/>
              <w:lang w:val="hr-HR"/>
            </w:rPr>
            <w:t>Sadržaj</w:t>
          </w:r>
        </w:p>
        <w:p w14:paraId="31F4E79D" w14:textId="2A6EDD3F" w:rsidR="00EB1721" w:rsidRPr="00EB1721" w:rsidRDefault="00F2475B">
          <w:pPr>
            <w:pStyle w:val="Sadraj2"/>
            <w:tabs>
              <w:tab w:val="right" w:leader="dot" w:pos="9062"/>
            </w:tabs>
            <w:rPr>
              <w:rFonts w:ascii="Times New Roman" w:eastAsiaTheme="minorEastAsia" w:hAnsi="Times New Roman" w:cs="Times New Roman"/>
              <w:noProof/>
              <w:kern w:val="2"/>
              <w:sz w:val="28"/>
              <w:szCs w:val="28"/>
              <w:lang w:val="hr-HR" w:eastAsia="hr-HR"/>
              <w14:ligatures w14:val="standardContextual"/>
            </w:rPr>
          </w:pPr>
          <w:r w:rsidRPr="007E2992">
            <w:rPr>
              <w:rFonts w:ascii="Times New Roman" w:hAnsi="Times New Roman" w:cs="Times New Roman"/>
              <w:sz w:val="24"/>
              <w:szCs w:val="24"/>
              <w:lang w:val="hr-HR"/>
            </w:rPr>
            <w:fldChar w:fldCharType="begin"/>
          </w:r>
          <w:r w:rsidRPr="007E2992">
            <w:rPr>
              <w:rFonts w:ascii="Times New Roman" w:hAnsi="Times New Roman" w:cs="Times New Roman"/>
              <w:sz w:val="24"/>
              <w:szCs w:val="24"/>
              <w:lang w:val="hr-HR"/>
            </w:rPr>
            <w:instrText xml:space="preserve"> TOC \o "1-3" \h \z \u </w:instrText>
          </w:r>
          <w:r w:rsidRPr="007E2992">
            <w:rPr>
              <w:rFonts w:ascii="Times New Roman" w:hAnsi="Times New Roman" w:cs="Times New Roman"/>
              <w:sz w:val="24"/>
              <w:szCs w:val="24"/>
              <w:lang w:val="hr-HR"/>
            </w:rPr>
            <w:fldChar w:fldCharType="separate"/>
          </w:r>
          <w:hyperlink w:anchor="_Toc242947250" w:history="1">
            <w:r w:rsidR="00EB1721" w:rsidRPr="00EB1721">
              <w:rPr>
                <w:rStyle w:val="Hiperveza"/>
                <w:rFonts w:ascii="Times New Roman" w:eastAsia="Times New Roman" w:hAnsi="Times New Roman" w:cs="Times New Roman"/>
                <w:noProof/>
                <w:sz w:val="24"/>
                <w:szCs w:val="28"/>
                <w:lang w:val="hr-HR"/>
              </w:rPr>
              <w:t>Popis kratica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_Toc242947250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3</w:t>
            </w:r>
            <w:r w:rsidR="00EB1721" w:rsidRPr="00EB1721">
              <w:rPr>
                <w:rFonts w:ascii="Times New Roman" w:hAnsi="Times New Roman" w:cs="Times New Roman"/>
                <w:noProof/>
                <w:webHidden/>
                <w:sz w:val="24"/>
                <w:szCs w:val="28"/>
              </w:rPr>
              <w:fldChar w:fldCharType="end"/>
            </w:r>
          </w:hyperlink>
        </w:p>
        <w:p w14:paraId="1B66334D" w14:textId="37C92B3E"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1" w:history="1">
            <w:r w:rsidR="00EB1721" w:rsidRPr="00EB1721">
              <w:rPr>
                <w:rStyle w:val="Hiperveza"/>
                <w:rFonts w:ascii="Times New Roman" w:eastAsia="Times New Roman" w:hAnsi="Times New Roman" w:cs="Times New Roman"/>
                <w:noProof/>
                <w:sz w:val="24"/>
                <w:szCs w:val="28"/>
                <w:lang w:val="hr-HR"/>
              </w:rPr>
              <w:t>1.</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Izvršni sažetak</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_Toc242947251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7</w:t>
            </w:r>
            <w:r w:rsidR="00EB1721" w:rsidRPr="00EB1721">
              <w:rPr>
                <w:rFonts w:ascii="Times New Roman" w:hAnsi="Times New Roman" w:cs="Times New Roman"/>
                <w:noProof/>
                <w:webHidden/>
                <w:sz w:val="24"/>
                <w:szCs w:val="28"/>
              </w:rPr>
              <w:fldChar w:fldCharType="end"/>
            </w:r>
          </w:hyperlink>
        </w:p>
        <w:p w14:paraId="3ACACC77" w14:textId="6F988870"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2" w:history="1">
            <w:r w:rsidR="00EB1721" w:rsidRPr="00EB1721">
              <w:rPr>
                <w:rStyle w:val="Hiperveza"/>
                <w:rFonts w:ascii="Times New Roman" w:eastAsia="Times New Roman" w:hAnsi="Times New Roman" w:cs="Times New Roman"/>
                <w:noProof/>
                <w:sz w:val="24"/>
                <w:szCs w:val="28"/>
                <w:lang w:val="hr-HR"/>
              </w:rPr>
              <w:t>2.</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Uvod: strateški kontekst i analiza stanja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_Toc242947252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10</w:t>
            </w:r>
            <w:r w:rsidR="00EB1721" w:rsidRPr="00EB1721">
              <w:rPr>
                <w:rFonts w:ascii="Times New Roman" w:hAnsi="Times New Roman" w:cs="Times New Roman"/>
                <w:noProof/>
                <w:webHidden/>
                <w:sz w:val="24"/>
                <w:szCs w:val="28"/>
              </w:rPr>
              <w:fldChar w:fldCharType="end"/>
            </w:r>
          </w:hyperlink>
        </w:p>
        <w:p w14:paraId="1112D39D" w14:textId="5A5EAF71"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5" w:history="1">
            <w:r w:rsidR="00EB1721" w:rsidRPr="00EB1721">
              <w:rPr>
                <w:rStyle w:val="Hiperveza"/>
                <w:rFonts w:ascii="Times New Roman" w:eastAsia="Times New Roman" w:hAnsi="Times New Roman" w:cs="Times New Roman"/>
                <w:noProof/>
                <w:sz w:val="24"/>
                <w:szCs w:val="28"/>
                <w:lang w:val="hr-HR"/>
              </w:rPr>
              <w:t>2.1.</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Umjetna inteligencija kao razvojna, društvena i sigurnosna prekretnica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_Toc242947255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10</w:t>
            </w:r>
            <w:r w:rsidR="00EB1721" w:rsidRPr="00EB1721">
              <w:rPr>
                <w:rFonts w:ascii="Times New Roman" w:hAnsi="Times New Roman" w:cs="Times New Roman"/>
                <w:noProof/>
                <w:webHidden/>
                <w:sz w:val="24"/>
                <w:szCs w:val="28"/>
              </w:rPr>
              <w:fldChar w:fldCharType="end"/>
            </w:r>
          </w:hyperlink>
        </w:p>
        <w:p w14:paraId="1A4CF478" w14:textId="618D744A"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6" w:history="1">
            <w:r w:rsidR="00EB1721" w:rsidRPr="00EB1721">
              <w:rPr>
                <w:rStyle w:val="Hiperveza"/>
                <w:rFonts w:ascii="Times New Roman" w:eastAsia="Times New Roman" w:hAnsi="Times New Roman" w:cs="Times New Roman"/>
                <w:noProof/>
                <w:sz w:val="24"/>
                <w:szCs w:val="28"/>
                <w:lang w:val="hr-HR"/>
              </w:rPr>
              <w:t>2.2.</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Pravni i politički okvir Europske unije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_Toc242947256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10</w:t>
            </w:r>
            <w:r w:rsidR="00EB1721" w:rsidRPr="00EB1721">
              <w:rPr>
                <w:rFonts w:ascii="Times New Roman" w:hAnsi="Times New Roman" w:cs="Times New Roman"/>
                <w:noProof/>
                <w:webHidden/>
                <w:sz w:val="24"/>
                <w:szCs w:val="28"/>
              </w:rPr>
              <w:fldChar w:fldCharType="end"/>
            </w:r>
          </w:hyperlink>
        </w:p>
        <w:p w14:paraId="154B6F8C" w14:textId="2082FD22"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7" w:history="1">
            <w:r w:rsidR="00EB1721" w:rsidRPr="00EB1721">
              <w:rPr>
                <w:rStyle w:val="Hiperveza"/>
                <w:rFonts w:ascii="Times New Roman" w:eastAsia="Times New Roman" w:hAnsi="Times New Roman" w:cs="Times New Roman"/>
                <w:noProof/>
                <w:sz w:val="24"/>
                <w:szCs w:val="28"/>
                <w:lang w:val="hr-HR"/>
              </w:rPr>
              <w:t>2.3.</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Međunarodni okvir i suradnja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_Toc242947257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12</w:t>
            </w:r>
            <w:r w:rsidR="00EB1721" w:rsidRPr="00EB1721">
              <w:rPr>
                <w:rFonts w:ascii="Times New Roman" w:hAnsi="Times New Roman" w:cs="Times New Roman"/>
                <w:noProof/>
                <w:webHidden/>
                <w:sz w:val="24"/>
                <w:szCs w:val="28"/>
              </w:rPr>
              <w:fldChar w:fldCharType="end"/>
            </w:r>
          </w:hyperlink>
        </w:p>
        <w:p w14:paraId="0A02FA12" w14:textId="7E78BC33"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8" w:history="1">
            <w:r w:rsidR="00EB1721" w:rsidRPr="00EB1721">
              <w:rPr>
                <w:rStyle w:val="Hiperveza"/>
                <w:rFonts w:ascii="Times New Roman" w:eastAsia="Times New Roman" w:hAnsi="Times New Roman" w:cs="Times New Roman"/>
                <w:noProof/>
                <w:sz w:val="24"/>
                <w:szCs w:val="28"/>
                <w:lang w:val="hr-HR"/>
              </w:rPr>
              <w:t>2.4.</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Usklađenost sa strateškim okvirom Republike Hrvatske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_Toc242947258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13</w:t>
            </w:r>
            <w:r w:rsidR="00EB1721" w:rsidRPr="00EB1721">
              <w:rPr>
                <w:rFonts w:ascii="Times New Roman" w:hAnsi="Times New Roman" w:cs="Times New Roman"/>
                <w:noProof/>
                <w:webHidden/>
                <w:sz w:val="24"/>
                <w:szCs w:val="28"/>
              </w:rPr>
              <w:fldChar w:fldCharType="end"/>
            </w:r>
          </w:hyperlink>
        </w:p>
        <w:p w14:paraId="2F403E76" w14:textId="24C5F618"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59" w:history="1">
            <w:r w:rsidR="00EB1721" w:rsidRPr="00EB1721">
              <w:rPr>
                <w:rStyle w:val="Hiperveza"/>
                <w:rFonts w:ascii="Times New Roman" w:eastAsia="Times New Roman" w:hAnsi="Times New Roman" w:cs="Times New Roman"/>
                <w:noProof/>
                <w:sz w:val="24"/>
                <w:szCs w:val="28"/>
                <w:lang w:val="hr-HR"/>
              </w:rPr>
              <w:t>2.5.</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Polazište Republike Hrvatske: upravljanje i razina usvajanja UI-ja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_Toc242947259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14</w:t>
            </w:r>
            <w:r w:rsidR="00EB1721" w:rsidRPr="00EB1721">
              <w:rPr>
                <w:rFonts w:ascii="Times New Roman" w:hAnsi="Times New Roman" w:cs="Times New Roman"/>
                <w:noProof/>
                <w:webHidden/>
                <w:sz w:val="24"/>
                <w:szCs w:val="28"/>
              </w:rPr>
              <w:fldChar w:fldCharType="end"/>
            </w:r>
          </w:hyperlink>
        </w:p>
        <w:p w14:paraId="4EA8F801" w14:textId="067D7F94"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0" w:history="1">
            <w:r w:rsidR="00EB1721" w:rsidRPr="00EB1721">
              <w:rPr>
                <w:rStyle w:val="Hiperveza"/>
                <w:rFonts w:ascii="Times New Roman" w:eastAsia="Times New Roman" w:hAnsi="Times New Roman" w:cs="Times New Roman"/>
                <w:noProof/>
                <w:sz w:val="24"/>
                <w:szCs w:val="28"/>
                <w:lang w:val="hr-HR"/>
              </w:rPr>
              <w:t>2.6.</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UI u javnom sektoru: postojeći temelji i prostor za širenje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_Toc242947260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15</w:t>
            </w:r>
            <w:r w:rsidR="00EB1721" w:rsidRPr="00EB1721">
              <w:rPr>
                <w:rFonts w:ascii="Times New Roman" w:hAnsi="Times New Roman" w:cs="Times New Roman"/>
                <w:noProof/>
                <w:webHidden/>
                <w:sz w:val="24"/>
                <w:szCs w:val="28"/>
              </w:rPr>
              <w:fldChar w:fldCharType="end"/>
            </w:r>
          </w:hyperlink>
        </w:p>
        <w:p w14:paraId="433F0E9D" w14:textId="3BECA79C"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1" w:history="1">
            <w:r w:rsidR="00EB1721" w:rsidRPr="00EB1721">
              <w:rPr>
                <w:rStyle w:val="Hiperveza"/>
                <w:rFonts w:ascii="Times New Roman" w:eastAsia="Times New Roman" w:hAnsi="Times New Roman" w:cs="Times New Roman"/>
                <w:noProof/>
                <w:sz w:val="24"/>
                <w:szCs w:val="28"/>
                <w:lang w:val="hr-HR"/>
              </w:rPr>
              <w:t>2.7.</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Ključni razvojni preduvjeti: ljudi, podaci, infrastruktura i hrvatski jezik</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_Toc242947261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17</w:t>
            </w:r>
            <w:r w:rsidR="00EB1721" w:rsidRPr="00EB1721">
              <w:rPr>
                <w:rFonts w:ascii="Times New Roman" w:hAnsi="Times New Roman" w:cs="Times New Roman"/>
                <w:noProof/>
                <w:webHidden/>
                <w:sz w:val="24"/>
                <w:szCs w:val="28"/>
              </w:rPr>
              <w:fldChar w:fldCharType="end"/>
            </w:r>
          </w:hyperlink>
        </w:p>
        <w:p w14:paraId="6520651D" w14:textId="4CC3EAFD"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2" w:history="1">
            <w:r w:rsidR="00EB1721" w:rsidRPr="00EB1721">
              <w:rPr>
                <w:rStyle w:val="Hiperveza"/>
                <w:rFonts w:ascii="Times New Roman" w:eastAsia="Times New Roman" w:hAnsi="Times New Roman" w:cs="Times New Roman"/>
                <w:noProof/>
                <w:sz w:val="24"/>
                <w:szCs w:val="28"/>
                <w:lang w:val="hr-HR"/>
              </w:rPr>
              <w:t>2.8.</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Tržište rada, povjerenje, temeljna prava i sigurnost</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_Toc242947262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19</w:t>
            </w:r>
            <w:r w:rsidR="00EB1721" w:rsidRPr="00EB1721">
              <w:rPr>
                <w:rFonts w:ascii="Times New Roman" w:hAnsi="Times New Roman" w:cs="Times New Roman"/>
                <w:noProof/>
                <w:webHidden/>
                <w:sz w:val="24"/>
                <w:szCs w:val="28"/>
              </w:rPr>
              <w:fldChar w:fldCharType="end"/>
            </w:r>
          </w:hyperlink>
        </w:p>
        <w:p w14:paraId="26D3FFB3" w14:textId="50A8320C" w:rsidR="00EB1721" w:rsidRPr="00EB1721" w:rsidRDefault="004E7DE2">
          <w:pPr>
            <w:pStyle w:val="Sadraj3"/>
            <w:tabs>
              <w:tab w:val="left" w:pos="110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3" w:history="1">
            <w:r w:rsidR="00EB1721" w:rsidRPr="00EB1721">
              <w:rPr>
                <w:rStyle w:val="Hiperveza"/>
                <w:rFonts w:ascii="Times New Roman" w:eastAsia="Times New Roman" w:hAnsi="Times New Roman" w:cs="Times New Roman"/>
                <w:noProof/>
                <w:sz w:val="24"/>
                <w:szCs w:val="28"/>
                <w:lang w:val="hr-HR"/>
              </w:rPr>
              <w:t>2.9.</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Strateška dijagnoza i sažeta SWOT analiza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_Toc242947263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21</w:t>
            </w:r>
            <w:r w:rsidR="00EB1721" w:rsidRPr="00EB1721">
              <w:rPr>
                <w:rFonts w:ascii="Times New Roman" w:hAnsi="Times New Roman" w:cs="Times New Roman"/>
                <w:noProof/>
                <w:webHidden/>
                <w:sz w:val="24"/>
                <w:szCs w:val="28"/>
              </w:rPr>
              <w:fldChar w:fldCharType="end"/>
            </w:r>
          </w:hyperlink>
        </w:p>
        <w:p w14:paraId="2E053AAA" w14:textId="6940D255"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4" w:history="1">
            <w:r w:rsidR="00EB1721" w:rsidRPr="00EB1721">
              <w:rPr>
                <w:rStyle w:val="Hiperveza"/>
                <w:rFonts w:ascii="Times New Roman" w:eastAsia="Times New Roman" w:hAnsi="Times New Roman" w:cs="Times New Roman"/>
                <w:noProof/>
                <w:sz w:val="24"/>
                <w:szCs w:val="28"/>
                <w:lang w:val="hr-HR"/>
              </w:rPr>
              <w:t>3.</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Vizija, ciljevi i pokazatelji ishoda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_Toc242947264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23</w:t>
            </w:r>
            <w:r w:rsidR="00EB1721" w:rsidRPr="00EB1721">
              <w:rPr>
                <w:rFonts w:ascii="Times New Roman" w:hAnsi="Times New Roman" w:cs="Times New Roman"/>
                <w:noProof/>
                <w:webHidden/>
                <w:sz w:val="24"/>
                <w:szCs w:val="28"/>
              </w:rPr>
              <w:fldChar w:fldCharType="end"/>
            </w:r>
          </w:hyperlink>
        </w:p>
        <w:p w14:paraId="19A84DEC" w14:textId="51EE0893"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5" w:history="1">
            <w:r w:rsidR="00EB1721" w:rsidRPr="00EB1721">
              <w:rPr>
                <w:rStyle w:val="Hiperveza"/>
                <w:rFonts w:ascii="Times New Roman" w:eastAsia="Times New Roman" w:hAnsi="Times New Roman" w:cs="Times New Roman"/>
                <w:noProof/>
                <w:sz w:val="24"/>
                <w:szCs w:val="28"/>
                <w:lang w:val="hr-HR"/>
              </w:rPr>
              <w:t>3.1. Vizija i strateško usmjerenje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_Toc242947265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23</w:t>
            </w:r>
            <w:r w:rsidR="00EB1721" w:rsidRPr="00EB1721">
              <w:rPr>
                <w:rFonts w:ascii="Times New Roman" w:hAnsi="Times New Roman" w:cs="Times New Roman"/>
                <w:noProof/>
                <w:webHidden/>
                <w:sz w:val="24"/>
                <w:szCs w:val="28"/>
              </w:rPr>
              <w:fldChar w:fldCharType="end"/>
            </w:r>
          </w:hyperlink>
        </w:p>
        <w:p w14:paraId="68C2191E" w14:textId="49F5A85D"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6" w:history="1">
            <w:r w:rsidR="00EB1721" w:rsidRPr="00EB1721">
              <w:rPr>
                <w:rStyle w:val="Hiperveza"/>
                <w:rFonts w:ascii="Times New Roman" w:eastAsia="Times New Roman" w:hAnsi="Times New Roman" w:cs="Times New Roman"/>
                <w:noProof/>
                <w:sz w:val="24"/>
                <w:szCs w:val="28"/>
                <w:lang w:val="hr-HR"/>
              </w:rPr>
              <w:t>3.2. Intervencijska logika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_Toc242947266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24</w:t>
            </w:r>
            <w:r w:rsidR="00EB1721" w:rsidRPr="00EB1721">
              <w:rPr>
                <w:rFonts w:ascii="Times New Roman" w:hAnsi="Times New Roman" w:cs="Times New Roman"/>
                <w:noProof/>
                <w:webHidden/>
                <w:sz w:val="24"/>
                <w:szCs w:val="28"/>
              </w:rPr>
              <w:fldChar w:fldCharType="end"/>
            </w:r>
          </w:hyperlink>
        </w:p>
        <w:p w14:paraId="794A918D" w14:textId="73CE9194"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7" w:history="1">
            <w:r w:rsidR="00EB1721" w:rsidRPr="00EB1721">
              <w:rPr>
                <w:rStyle w:val="Hiperveza"/>
                <w:rFonts w:ascii="Times New Roman" w:eastAsia="Times New Roman" w:hAnsi="Times New Roman" w:cs="Times New Roman"/>
                <w:noProof/>
                <w:sz w:val="24"/>
                <w:szCs w:val="28"/>
                <w:lang w:val="hr-HR"/>
              </w:rPr>
              <w:t>3.3. Posebni cilj 1. Osnažiti ljudske potencijale za razvoj i primjenu UI-ja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_Toc242947267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26</w:t>
            </w:r>
            <w:r w:rsidR="00EB1721" w:rsidRPr="00EB1721">
              <w:rPr>
                <w:rFonts w:ascii="Times New Roman" w:hAnsi="Times New Roman" w:cs="Times New Roman"/>
                <w:noProof/>
                <w:webHidden/>
                <w:sz w:val="24"/>
                <w:szCs w:val="28"/>
              </w:rPr>
              <w:fldChar w:fldCharType="end"/>
            </w:r>
          </w:hyperlink>
        </w:p>
        <w:p w14:paraId="3CBEBF84" w14:textId="27AFC232"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8" w:history="1">
            <w:r w:rsidR="00EB1721" w:rsidRPr="00EB1721">
              <w:rPr>
                <w:rStyle w:val="Hiperveza"/>
                <w:rFonts w:ascii="Times New Roman" w:eastAsia="Times New Roman" w:hAnsi="Times New Roman" w:cs="Times New Roman"/>
                <w:noProof/>
                <w:sz w:val="24"/>
                <w:szCs w:val="28"/>
                <w:lang w:val="hr-HR"/>
              </w:rPr>
              <w:t>3.4. Posebni cilj 2. Osigurati suverenu, sigurnu i otpornu računalnu infrastrukturu i podatke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_Toc242947268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30</w:t>
            </w:r>
            <w:r w:rsidR="00EB1721" w:rsidRPr="00EB1721">
              <w:rPr>
                <w:rFonts w:ascii="Times New Roman" w:hAnsi="Times New Roman" w:cs="Times New Roman"/>
                <w:noProof/>
                <w:webHidden/>
                <w:sz w:val="24"/>
                <w:szCs w:val="28"/>
              </w:rPr>
              <w:fldChar w:fldCharType="end"/>
            </w:r>
          </w:hyperlink>
        </w:p>
        <w:p w14:paraId="7CC5F701" w14:textId="5B43C3F0"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69" w:history="1">
            <w:r w:rsidR="00EB1721" w:rsidRPr="00EB1721">
              <w:rPr>
                <w:rStyle w:val="Hiperveza"/>
                <w:rFonts w:ascii="Times New Roman" w:eastAsia="Times New Roman" w:hAnsi="Times New Roman" w:cs="Times New Roman"/>
                <w:noProof/>
                <w:sz w:val="24"/>
                <w:szCs w:val="28"/>
                <w:lang w:val="hr-HR"/>
              </w:rPr>
              <w:t>3.5. Posebni cilj 3. Uspostaviti sustav etične i zakonite primjene UI-ja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_Toc242947269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34</w:t>
            </w:r>
            <w:r w:rsidR="00EB1721" w:rsidRPr="00EB1721">
              <w:rPr>
                <w:rFonts w:ascii="Times New Roman" w:hAnsi="Times New Roman" w:cs="Times New Roman"/>
                <w:noProof/>
                <w:webHidden/>
                <w:sz w:val="24"/>
                <w:szCs w:val="28"/>
              </w:rPr>
              <w:fldChar w:fldCharType="end"/>
            </w:r>
          </w:hyperlink>
        </w:p>
        <w:p w14:paraId="51A1C937" w14:textId="6D4E44BC"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0" w:history="1">
            <w:r w:rsidR="00EB1721" w:rsidRPr="00EB1721">
              <w:rPr>
                <w:rStyle w:val="Hiperveza"/>
                <w:rFonts w:ascii="Times New Roman" w:eastAsia="Times New Roman" w:hAnsi="Times New Roman" w:cs="Times New Roman"/>
                <w:noProof/>
                <w:sz w:val="24"/>
                <w:szCs w:val="28"/>
                <w:lang w:val="hr-HR"/>
              </w:rPr>
              <w:t>3.6. Posebni cilj 4. Poticati istraživanje, inovacije, razvoj i primjenu UI-ja u gospodarstvu</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_Toc242947270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38</w:t>
            </w:r>
            <w:r w:rsidR="00EB1721" w:rsidRPr="00EB1721">
              <w:rPr>
                <w:rFonts w:ascii="Times New Roman" w:hAnsi="Times New Roman" w:cs="Times New Roman"/>
                <w:noProof/>
                <w:webHidden/>
                <w:sz w:val="24"/>
                <w:szCs w:val="28"/>
              </w:rPr>
              <w:fldChar w:fldCharType="end"/>
            </w:r>
          </w:hyperlink>
        </w:p>
        <w:p w14:paraId="46B11387" w14:textId="0E91A111"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1" w:history="1">
            <w:r w:rsidR="00EB1721" w:rsidRPr="00EB1721">
              <w:rPr>
                <w:rStyle w:val="Hiperveza"/>
                <w:rFonts w:ascii="Times New Roman" w:eastAsia="Times New Roman" w:hAnsi="Times New Roman" w:cs="Times New Roman"/>
                <w:noProof/>
                <w:sz w:val="24"/>
                <w:szCs w:val="28"/>
                <w:lang w:val="hr-HR"/>
              </w:rPr>
              <w:t>4.</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Ključna područja primjene UI-ja u Republici Hrvatskoj</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_Toc242947271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42</w:t>
            </w:r>
            <w:r w:rsidR="00EB1721" w:rsidRPr="00EB1721">
              <w:rPr>
                <w:rFonts w:ascii="Times New Roman" w:hAnsi="Times New Roman" w:cs="Times New Roman"/>
                <w:noProof/>
                <w:webHidden/>
                <w:sz w:val="24"/>
                <w:szCs w:val="28"/>
              </w:rPr>
              <w:fldChar w:fldCharType="end"/>
            </w:r>
          </w:hyperlink>
        </w:p>
        <w:p w14:paraId="12470600" w14:textId="6674508C"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2" w:history="1">
            <w:r w:rsidR="00EB1721" w:rsidRPr="00EB1721">
              <w:rPr>
                <w:rStyle w:val="Hiperveza"/>
                <w:rFonts w:ascii="Times New Roman" w:eastAsia="Times New Roman" w:hAnsi="Times New Roman" w:cs="Times New Roman"/>
                <w:noProof/>
                <w:sz w:val="24"/>
                <w:szCs w:val="28"/>
                <w:lang w:val="hr-HR"/>
              </w:rPr>
              <w:t>4.1. Od horizontalnih preduvjeta prema primjeni UI-ja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_Toc242947272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42</w:t>
            </w:r>
            <w:r w:rsidR="00EB1721" w:rsidRPr="00EB1721">
              <w:rPr>
                <w:rFonts w:ascii="Times New Roman" w:hAnsi="Times New Roman" w:cs="Times New Roman"/>
                <w:noProof/>
                <w:webHidden/>
                <w:sz w:val="24"/>
                <w:szCs w:val="28"/>
              </w:rPr>
              <w:fldChar w:fldCharType="end"/>
            </w:r>
          </w:hyperlink>
        </w:p>
        <w:p w14:paraId="49BDED50" w14:textId="0E761F1E"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3" w:history="1">
            <w:r w:rsidR="00EB1721" w:rsidRPr="00EB1721">
              <w:rPr>
                <w:rStyle w:val="Hiperveza"/>
                <w:rFonts w:ascii="Times New Roman" w:eastAsia="Times New Roman" w:hAnsi="Times New Roman" w:cs="Times New Roman"/>
                <w:noProof/>
                <w:sz w:val="24"/>
                <w:szCs w:val="28"/>
                <w:lang w:val="hr-HR"/>
              </w:rPr>
              <w:t>4.2. Povezanost sa Strategijom pametne specijalizacije Republike Hrvatske do 2029. godine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_Toc242947273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43</w:t>
            </w:r>
            <w:r w:rsidR="00EB1721" w:rsidRPr="00EB1721">
              <w:rPr>
                <w:rFonts w:ascii="Times New Roman" w:hAnsi="Times New Roman" w:cs="Times New Roman"/>
                <w:noProof/>
                <w:webHidden/>
                <w:sz w:val="24"/>
                <w:szCs w:val="28"/>
              </w:rPr>
              <w:fldChar w:fldCharType="end"/>
            </w:r>
          </w:hyperlink>
        </w:p>
        <w:p w14:paraId="16460290" w14:textId="243B978A"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4" w:history="1">
            <w:r w:rsidR="00EB1721" w:rsidRPr="00EB1721">
              <w:rPr>
                <w:rStyle w:val="Hiperveza"/>
                <w:rFonts w:ascii="Times New Roman" w:hAnsi="Times New Roman" w:cs="Times New Roman"/>
                <w:noProof/>
                <w:sz w:val="24"/>
                <w:szCs w:val="28"/>
                <w:lang w:val="hr-HR"/>
              </w:rPr>
              <w:t>4.3. Javna uprava, pravosuđe i javne usluge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_Toc242947274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44</w:t>
            </w:r>
            <w:r w:rsidR="00EB1721" w:rsidRPr="00EB1721">
              <w:rPr>
                <w:rFonts w:ascii="Times New Roman" w:hAnsi="Times New Roman" w:cs="Times New Roman"/>
                <w:noProof/>
                <w:webHidden/>
                <w:sz w:val="24"/>
                <w:szCs w:val="28"/>
              </w:rPr>
              <w:fldChar w:fldCharType="end"/>
            </w:r>
          </w:hyperlink>
        </w:p>
        <w:p w14:paraId="16DD0264" w14:textId="78F575B8"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5" w:history="1">
            <w:r w:rsidR="00EB1721" w:rsidRPr="00EB1721">
              <w:rPr>
                <w:rStyle w:val="Hiperveza"/>
                <w:rFonts w:ascii="Times New Roman" w:eastAsia="Times New Roman" w:hAnsi="Times New Roman" w:cs="Times New Roman"/>
                <w:noProof/>
                <w:sz w:val="24"/>
                <w:szCs w:val="28"/>
                <w:lang w:val="hr-HR"/>
              </w:rPr>
              <w:t>4.4. Zdravstvo, medicina i biološke znanosti</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_Toc242947275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46</w:t>
            </w:r>
            <w:r w:rsidR="00EB1721" w:rsidRPr="00EB1721">
              <w:rPr>
                <w:rFonts w:ascii="Times New Roman" w:hAnsi="Times New Roman" w:cs="Times New Roman"/>
                <w:noProof/>
                <w:webHidden/>
                <w:sz w:val="24"/>
                <w:szCs w:val="28"/>
              </w:rPr>
              <w:fldChar w:fldCharType="end"/>
            </w:r>
          </w:hyperlink>
        </w:p>
        <w:p w14:paraId="37B17305" w14:textId="4B9DE0FE"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6" w:history="1">
            <w:r w:rsidR="00EB1721" w:rsidRPr="00EB1721">
              <w:rPr>
                <w:rStyle w:val="Hiperveza"/>
                <w:rFonts w:ascii="Times New Roman" w:eastAsia="Times New Roman" w:hAnsi="Times New Roman" w:cs="Times New Roman"/>
                <w:noProof/>
                <w:sz w:val="24"/>
                <w:szCs w:val="28"/>
                <w:lang w:val="hr-HR"/>
              </w:rPr>
              <w:t>4.5. Industrija, napredna proizvodnja i digitalni proizvodi</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_Toc242947276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48</w:t>
            </w:r>
            <w:r w:rsidR="00EB1721" w:rsidRPr="00EB1721">
              <w:rPr>
                <w:rFonts w:ascii="Times New Roman" w:hAnsi="Times New Roman" w:cs="Times New Roman"/>
                <w:noProof/>
                <w:webHidden/>
                <w:sz w:val="24"/>
                <w:szCs w:val="28"/>
              </w:rPr>
              <w:fldChar w:fldCharType="end"/>
            </w:r>
          </w:hyperlink>
        </w:p>
        <w:p w14:paraId="2D96659A" w14:textId="5F797116"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7" w:history="1">
            <w:r w:rsidR="00EB1721" w:rsidRPr="00EB1721">
              <w:rPr>
                <w:rStyle w:val="Hiperveza"/>
                <w:rFonts w:ascii="Times New Roman" w:eastAsia="Times New Roman" w:hAnsi="Times New Roman" w:cs="Times New Roman"/>
                <w:noProof/>
                <w:sz w:val="24"/>
                <w:szCs w:val="28"/>
                <w:lang w:val="hr-HR"/>
              </w:rPr>
              <w:t>4.6. Sigurnost, kibernetička sigurnost i nacionalna otpornost</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_Toc242947277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49</w:t>
            </w:r>
            <w:r w:rsidR="00EB1721" w:rsidRPr="00EB1721">
              <w:rPr>
                <w:rFonts w:ascii="Times New Roman" w:hAnsi="Times New Roman" w:cs="Times New Roman"/>
                <w:noProof/>
                <w:webHidden/>
                <w:sz w:val="24"/>
                <w:szCs w:val="28"/>
              </w:rPr>
              <w:fldChar w:fldCharType="end"/>
            </w:r>
          </w:hyperlink>
        </w:p>
        <w:p w14:paraId="7DC4962A" w14:textId="448642AF"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8" w:history="1">
            <w:r w:rsidR="00EB1721" w:rsidRPr="00EB1721">
              <w:rPr>
                <w:rStyle w:val="Hiperveza"/>
                <w:rFonts w:ascii="Times New Roman" w:eastAsia="Times New Roman" w:hAnsi="Times New Roman" w:cs="Times New Roman"/>
                <w:noProof/>
                <w:sz w:val="24"/>
                <w:szCs w:val="28"/>
                <w:lang w:val="hr-HR"/>
              </w:rPr>
              <w:t>4.7. Poljoprivreda, hrana, šumarstvo i bioekonomija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_Toc242947278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52</w:t>
            </w:r>
            <w:r w:rsidR="00EB1721" w:rsidRPr="00EB1721">
              <w:rPr>
                <w:rFonts w:ascii="Times New Roman" w:hAnsi="Times New Roman" w:cs="Times New Roman"/>
                <w:noProof/>
                <w:webHidden/>
                <w:sz w:val="24"/>
                <w:szCs w:val="28"/>
              </w:rPr>
              <w:fldChar w:fldCharType="end"/>
            </w:r>
          </w:hyperlink>
        </w:p>
        <w:p w14:paraId="79C1C590" w14:textId="4E6563F2"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79" w:history="1">
            <w:r w:rsidR="00EB1721" w:rsidRPr="00EB1721">
              <w:rPr>
                <w:rStyle w:val="Hiperveza"/>
                <w:rFonts w:ascii="Times New Roman" w:eastAsia="Times New Roman" w:hAnsi="Times New Roman" w:cs="Times New Roman"/>
                <w:noProof/>
                <w:sz w:val="24"/>
                <w:szCs w:val="28"/>
                <w:lang w:val="hr-HR"/>
              </w:rPr>
              <w:t>4.8. Energija, okoliš i klimatska otpornost</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_Toc242947279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54</w:t>
            </w:r>
            <w:r w:rsidR="00EB1721" w:rsidRPr="00EB1721">
              <w:rPr>
                <w:rFonts w:ascii="Times New Roman" w:hAnsi="Times New Roman" w:cs="Times New Roman"/>
                <w:noProof/>
                <w:webHidden/>
                <w:sz w:val="24"/>
                <w:szCs w:val="28"/>
              </w:rPr>
              <w:fldChar w:fldCharType="end"/>
            </w:r>
          </w:hyperlink>
        </w:p>
        <w:p w14:paraId="19C50C57" w14:textId="097B91EA"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0" w:history="1">
            <w:r w:rsidR="00EB1721" w:rsidRPr="00EB1721">
              <w:rPr>
                <w:rStyle w:val="Hiperveza"/>
                <w:rFonts w:ascii="Times New Roman" w:eastAsia="Times New Roman" w:hAnsi="Times New Roman" w:cs="Times New Roman"/>
                <w:noProof/>
                <w:sz w:val="24"/>
                <w:szCs w:val="28"/>
                <w:lang w:val="hr-HR"/>
              </w:rPr>
              <w:t>4.9. Promet, mobilnost i logistika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_Toc242947280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56</w:t>
            </w:r>
            <w:r w:rsidR="00EB1721" w:rsidRPr="00EB1721">
              <w:rPr>
                <w:rFonts w:ascii="Times New Roman" w:hAnsi="Times New Roman" w:cs="Times New Roman"/>
                <w:noProof/>
                <w:webHidden/>
                <w:sz w:val="24"/>
                <w:szCs w:val="28"/>
              </w:rPr>
              <w:fldChar w:fldCharType="end"/>
            </w:r>
          </w:hyperlink>
        </w:p>
        <w:p w14:paraId="37773627" w14:textId="59FB44AF"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1" w:history="1">
            <w:r w:rsidR="00EB1721" w:rsidRPr="00EB1721">
              <w:rPr>
                <w:rStyle w:val="Hiperveza"/>
                <w:rFonts w:ascii="Times New Roman" w:hAnsi="Times New Roman" w:cs="Times New Roman"/>
                <w:noProof/>
                <w:sz w:val="24"/>
                <w:szCs w:val="28"/>
                <w:lang w:val="hr-HR"/>
              </w:rPr>
              <w:t>4.10. Turizam i pametno upravljanje des</w:t>
            </w:r>
            <w:r w:rsidR="00EB1721" w:rsidRPr="00EB1721">
              <w:rPr>
                <w:rStyle w:val="Hiperveza"/>
                <w:rFonts w:ascii="Times New Roman" w:eastAsia="Times New Roman" w:hAnsi="Times New Roman" w:cs="Times New Roman"/>
                <w:noProof/>
                <w:sz w:val="24"/>
                <w:szCs w:val="28"/>
                <w:lang w:val="hr-HR"/>
              </w:rPr>
              <w:t>tinacijama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_Toc242947281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57</w:t>
            </w:r>
            <w:r w:rsidR="00EB1721" w:rsidRPr="00EB1721">
              <w:rPr>
                <w:rFonts w:ascii="Times New Roman" w:hAnsi="Times New Roman" w:cs="Times New Roman"/>
                <w:noProof/>
                <w:webHidden/>
                <w:sz w:val="24"/>
                <w:szCs w:val="28"/>
              </w:rPr>
              <w:fldChar w:fldCharType="end"/>
            </w:r>
          </w:hyperlink>
        </w:p>
        <w:p w14:paraId="73655A1F" w14:textId="1395371E"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2" w:history="1">
            <w:r w:rsidR="00EB1721" w:rsidRPr="00EB1721">
              <w:rPr>
                <w:rStyle w:val="Hiperveza"/>
                <w:rFonts w:ascii="Times New Roman" w:eastAsia="Times New Roman" w:hAnsi="Times New Roman" w:cs="Times New Roman"/>
                <w:noProof/>
                <w:sz w:val="24"/>
                <w:szCs w:val="28"/>
                <w:lang w:val="hr-HR"/>
              </w:rPr>
              <w:t>4.11. Kultura i mediji</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_Toc242947282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58</w:t>
            </w:r>
            <w:r w:rsidR="00EB1721" w:rsidRPr="00EB1721">
              <w:rPr>
                <w:rFonts w:ascii="Times New Roman" w:hAnsi="Times New Roman" w:cs="Times New Roman"/>
                <w:noProof/>
                <w:webHidden/>
                <w:sz w:val="24"/>
                <w:szCs w:val="28"/>
              </w:rPr>
              <w:fldChar w:fldCharType="end"/>
            </w:r>
          </w:hyperlink>
        </w:p>
        <w:p w14:paraId="123F3CF1" w14:textId="2D04C636"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3" w:history="1">
            <w:r w:rsidR="00EB1721" w:rsidRPr="00EB1721">
              <w:rPr>
                <w:rStyle w:val="Hiperveza"/>
                <w:rFonts w:ascii="Times New Roman" w:eastAsia="Times New Roman" w:hAnsi="Times New Roman" w:cs="Times New Roman"/>
                <w:noProof/>
                <w:sz w:val="24"/>
                <w:szCs w:val="28"/>
                <w:lang w:val="hr-HR"/>
              </w:rPr>
              <w:t>4.12. Provedbena dinamika i daljnje razvijanje područja primjene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_Toc242947283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60</w:t>
            </w:r>
            <w:r w:rsidR="00EB1721" w:rsidRPr="00EB1721">
              <w:rPr>
                <w:rFonts w:ascii="Times New Roman" w:hAnsi="Times New Roman" w:cs="Times New Roman"/>
                <w:noProof/>
                <w:webHidden/>
                <w:sz w:val="24"/>
                <w:szCs w:val="28"/>
              </w:rPr>
              <w:fldChar w:fldCharType="end"/>
            </w:r>
          </w:hyperlink>
        </w:p>
        <w:p w14:paraId="1F11AFC3" w14:textId="27425075"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4" w:history="1">
            <w:r w:rsidR="00EB1721" w:rsidRPr="00EB1721">
              <w:rPr>
                <w:rStyle w:val="Hiperveza"/>
                <w:rFonts w:ascii="Times New Roman" w:eastAsia="Times New Roman" w:hAnsi="Times New Roman" w:cs="Times New Roman"/>
                <w:noProof/>
                <w:sz w:val="24"/>
                <w:szCs w:val="28"/>
                <w:lang w:val="hr-HR"/>
              </w:rPr>
              <w:t>5.</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Mjere za provedbu posebnih ciljeva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_Toc242947284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61</w:t>
            </w:r>
            <w:r w:rsidR="00EB1721" w:rsidRPr="00EB1721">
              <w:rPr>
                <w:rFonts w:ascii="Times New Roman" w:hAnsi="Times New Roman" w:cs="Times New Roman"/>
                <w:noProof/>
                <w:webHidden/>
                <w:sz w:val="24"/>
                <w:szCs w:val="28"/>
              </w:rPr>
              <w:fldChar w:fldCharType="end"/>
            </w:r>
          </w:hyperlink>
        </w:p>
        <w:p w14:paraId="049086E3" w14:textId="2A59DD81"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5" w:history="1">
            <w:r w:rsidR="00EB1721" w:rsidRPr="00EB1721">
              <w:rPr>
                <w:rStyle w:val="Hiperveza"/>
                <w:rFonts w:ascii="Times New Roman" w:eastAsia="Times New Roman" w:hAnsi="Times New Roman" w:cs="Times New Roman"/>
                <w:noProof/>
                <w:sz w:val="24"/>
                <w:szCs w:val="28"/>
                <w:lang w:val="hr-HR"/>
              </w:rPr>
              <w:t>6.</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Indikativni financijski plan</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_Toc242947285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64</w:t>
            </w:r>
            <w:r w:rsidR="00EB1721" w:rsidRPr="00EB1721">
              <w:rPr>
                <w:rFonts w:ascii="Times New Roman" w:hAnsi="Times New Roman" w:cs="Times New Roman"/>
                <w:noProof/>
                <w:webHidden/>
                <w:sz w:val="24"/>
                <w:szCs w:val="28"/>
              </w:rPr>
              <w:fldChar w:fldCharType="end"/>
            </w:r>
          </w:hyperlink>
        </w:p>
        <w:p w14:paraId="37936B09" w14:textId="552C7FE1"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6" w:history="1">
            <w:r w:rsidR="00EB1721" w:rsidRPr="00EB1721">
              <w:rPr>
                <w:rStyle w:val="Hiperveza"/>
                <w:rFonts w:ascii="Times New Roman" w:eastAsia="Times New Roman" w:hAnsi="Times New Roman" w:cs="Times New Roman"/>
                <w:noProof/>
                <w:sz w:val="24"/>
                <w:szCs w:val="28"/>
                <w:lang w:val="hr-HR"/>
              </w:rPr>
              <w:t>6.1. Indikativna raspodjela sredstava i izvori financiranja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_Toc242947286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64</w:t>
            </w:r>
            <w:r w:rsidR="00EB1721" w:rsidRPr="00EB1721">
              <w:rPr>
                <w:rFonts w:ascii="Times New Roman" w:hAnsi="Times New Roman" w:cs="Times New Roman"/>
                <w:noProof/>
                <w:webHidden/>
                <w:sz w:val="24"/>
                <w:szCs w:val="28"/>
              </w:rPr>
              <w:fldChar w:fldCharType="end"/>
            </w:r>
          </w:hyperlink>
        </w:p>
        <w:p w14:paraId="2D7E176E" w14:textId="04AA317A"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7" w:history="1">
            <w:r w:rsidR="00EB1721" w:rsidRPr="00EB1721">
              <w:rPr>
                <w:rStyle w:val="Hiperveza"/>
                <w:rFonts w:ascii="Times New Roman" w:eastAsia="Times New Roman" w:hAnsi="Times New Roman" w:cs="Times New Roman"/>
                <w:noProof/>
                <w:sz w:val="24"/>
                <w:szCs w:val="28"/>
                <w:lang w:val="hr-HR"/>
              </w:rPr>
              <w:t>6.2. Financijski okvir Prvog akcijskog plana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_Toc242947287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65</w:t>
            </w:r>
            <w:r w:rsidR="00EB1721" w:rsidRPr="00EB1721">
              <w:rPr>
                <w:rFonts w:ascii="Times New Roman" w:hAnsi="Times New Roman" w:cs="Times New Roman"/>
                <w:noProof/>
                <w:webHidden/>
                <w:sz w:val="24"/>
                <w:szCs w:val="28"/>
              </w:rPr>
              <w:fldChar w:fldCharType="end"/>
            </w:r>
          </w:hyperlink>
        </w:p>
        <w:p w14:paraId="5955A4A9" w14:textId="3CD1E5F5"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8" w:history="1">
            <w:r w:rsidR="00EB1721" w:rsidRPr="00EB1721">
              <w:rPr>
                <w:rStyle w:val="Hiperveza"/>
                <w:rFonts w:ascii="Times New Roman" w:eastAsia="Times New Roman" w:hAnsi="Times New Roman" w:cs="Times New Roman"/>
                <w:noProof/>
                <w:sz w:val="24"/>
                <w:szCs w:val="28"/>
                <w:lang w:val="hr-HR"/>
              </w:rPr>
              <w:t>6.3. Izvori financiranja i prilagodba financijskog okvira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_Toc242947288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65</w:t>
            </w:r>
            <w:r w:rsidR="00EB1721" w:rsidRPr="00EB1721">
              <w:rPr>
                <w:rFonts w:ascii="Times New Roman" w:hAnsi="Times New Roman" w:cs="Times New Roman"/>
                <w:noProof/>
                <w:webHidden/>
                <w:sz w:val="24"/>
                <w:szCs w:val="28"/>
              </w:rPr>
              <w:fldChar w:fldCharType="end"/>
            </w:r>
          </w:hyperlink>
        </w:p>
        <w:p w14:paraId="459ACF18" w14:textId="517224D8" w:rsidR="00EB1721" w:rsidRPr="00EB1721" w:rsidRDefault="004E7DE2">
          <w:pPr>
            <w:pStyle w:val="Sadraj2"/>
            <w:tabs>
              <w:tab w:val="left" w:pos="660"/>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89" w:history="1">
            <w:r w:rsidR="00EB1721" w:rsidRPr="00EB1721">
              <w:rPr>
                <w:rStyle w:val="Hiperveza"/>
                <w:rFonts w:ascii="Times New Roman" w:eastAsia="Times New Roman" w:hAnsi="Times New Roman" w:cs="Times New Roman"/>
                <w:noProof/>
                <w:sz w:val="24"/>
                <w:szCs w:val="28"/>
                <w:lang w:val="hr-HR"/>
              </w:rPr>
              <w:t>7.</w:t>
            </w:r>
            <w:r w:rsidR="00EB1721" w:rsidRPr="00EB1721">
              <w:rPr>
                <w:rFonts w:ascii="Times New Roman" w:eastAsiaTheme="minorEastAsia" w:hAnsi="Times New Roman" w:cs="Times New Roman"/>
                <w:noProof/>
                <w:kern w:val="2"/>
                <w:sz w:val="28"/>
                <w:szCs w:val="28"/>
                <w:lang w:val="hr-HR" w:eastAsia="hr-HR"/>
                <w14:ligatures w14:val="standardContextual"/>
              </w:rPr>
              <w:tab/>
            </w:r>
            <w:r w:rsidR="00EB1721" w:rsidRPr="00EB1721">
              <w:rPr>
                <w:rStyle w:val="Hiperveza"/>
                <w:rFonts w:ascii="Times New Roman" w:eastAsia="Times New Roman" w:hAnsi="Times New Roman" w:cs="Times New Roman"/>
                <w:noProof/>
                <w:sz w:val="24"/>
                <w:szCs w:val="28"/>
                <w:lang w:val="hr-HR"/>
              </w:rPr>
              <w:t>Upravljanje provedbom</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_Toc242947289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67</w:t>
            </w:r>
            <w:r w:rsidR="00EB1721" w:rsidRPr="00EB1721">
              <w:rPr>
                <w:rFonts w:ascii="Times New Roman" w:hAnsi="Times New Roman" w:cs="Times New Roman"/>
                <w:noProof/>
                <w:webHidden/>
                <w:sz w:val="24"/>
                <w:szCs w:val="28"/>
              </w:rPr>
              <w:fldChar w:fldCharType="end"/>
            </w:r>
          </w:hyperlink>
        </w:p>
        <w:p w14:paraId="5F07B48B" w14:textId="78934FBA"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90" w:history="1">
            <w:r w:rsidR="00EB1721" w:rsidRPr="00EB1721">
              <w:rPr>
                <w:rStyle w:val="Hiperveza"/>
                <w:rFonts w:ascii="Times New Roman" w:eastAsia="Times New Roman" w:hAnsi="Times New Roman" w:cs="Times New Roman"/>
                <w:noProof/>
                <w:sz w:val="24"/>
                <w:szCs w:val="28"/>
                <w:lang w:val="hr-HR"/>
              </w:rPr>
              <w:t>7.1. Institucionalni okvir i odgovornosti</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_Toc242947290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67</w:t>
            </w:r>
            <w:r w:rsidR="00EB1721" w:rsidRPr="00EB1721">
              <w:rPr>
                <w:rFonts w:ascii="Times New Roman" w:hAnsi="Times New Roman" w:cs="Times New Roman"/>
                <w:noProof/>
                <w:webHidden/>
                <w:sz w:val="24"/>
                <w:szCs w:val="28"/>
              </w:rPr>
              <w:fldChar w:fldCharType="end"/>
            </w:r>
          </w:hyperlink>
        </w:p>
        <w:p w14:paraId="45A616C2" w14:textId="0FB2584A"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91" w:history="1">
            <w:r w:rsidR="00EB1721" w:rsidRPr="00EB1721">
              <w:rPr>
                <w:rStyle w:val="Hiperveza"/>
                <w:rFonts w:ascii="Times New Roman" w:eastAsia="Times New Roman" w:hAnsi="Times New Roman" w:cs="Times New Roman"/>
                <w:noProof/>
                <w:sz w:val="24"/>
                <w:szCs w:val="28"/>
                <w:lang w:val="hr-HR"/>
              </w:rPr>
              <w:t>7.2. Koordinacija provedbe</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_Toc242947291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67</w:t>
            </w:r>
            <w:r w:rsidR="00EB1721" w:rsidRPr="00EB1721">
              <w:rPr>
                <w:rFonts w:ascii="Times New Roman" w:hAnsi="Times New Roman" w:cs="Times New Roman"/>
                <w:noProof/>
                <w:webHidden/>
                <w:sz w:val="24"/>
                <w:szCs w:val="28"/>
              </w:rPr>
              <w:fldChar w:fldCharType="end"/>
            </w:r>
          </w:hyperlink>
        </w:p>
        <w:p w14:paraId="0FC3D749" w14:textId="197DD68E"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92" w:history="1">
            <w:r w:rsidR="00EB1721" w:rsidRPr="00EB1721">
              <w:rPr>
                <w:rStyle w:val="Hiperveza"/>
                <w:rFonts w:ascii="Times New Roman" w:eastAsia="Times New Roman" w:hAnsi="Times New Roman" w:cs="Times New Roman"/>
                <w:noProof/>
                <w:sz w:val="24"/>
                <w:szCs w:val="28"/>
                <w:lang w:val="hr-HR"/>
              </w:rPr>
              <w:t>7.3. Praćenje, izvještavanje i uključivanje dionika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_Toc242947292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67</w:t>
            </w:r>
            <w:r w:rsidR="00EB1721" w:rsidRPr="00EB1721">
              <w:rPr>
                <w:rFonts w:ascii="Times New Roman" w:hAnsi="Times New Roman" w:cs="Times New Roman"/>
                <w:noProof/>
                <w:webHidden/>
                <w:sz w:val="24"/>
                <w:szCs w:val="28"/>
              </w:rPr>
              <w:fldChar w:fldCharType="end"/>
            </w:r>
          </w:hyperlink>
        </w:p>
        <w:p w14:paraId="6726D7F2" w14:textId="24899697" w:rsidR="00EB1721" w:rsidRPr="00EB1721" w:rsidRDefault="004E7DE2">
          <w:pPr>
            <w:pStyle w:val="Sadraj3"/>
            <w:tabs>
              <w:tab w:val="right" w:leader="dot" w:pos="9062"/>
            </w:tabs>
            <w:rPr>
              <w:rFonts w:ascii="Times New Roman" w:eastAsiaTheme="minorEastAsia" w:hAnsi="Times New Roman" w:cs="Times New Roman"/>
              <w:noProof/>
              <w:kern w:val="2"/>
              <w:sz w:val="28"/>
              <w:szCs w:val="28"/>
              <w:lang w:val="hr-HR" w:eastAsia="hr-HR"/>
              <w14:ligatures w14:val="standardContextual"/>
            </w:rPr>
          </w:pPr>
          <w:hyperlink w:anchor="_Toc242947293" w:history="1">
            <w:r w:rsidR="00EB1721" w:rsidRPr="00EB1721">
              <w:rPr>
                <w:rStyle w:val="Hiperveza"/>
                <w:rFonts w:ascii="Times New Roman" w:eastAsia="Times New Roman" w:hAnsi="Times New Roman" w:cs="Times New Roman"/>
                <w:noProof/>
                <w:sz w:val="24"/>
                <w:szCs w:val="28"/>
                <w:lang w:val="hr-HR"/>
              </w:rPr>
              <w:t>7.4. Vrednovanje i ažuriranje Nacionalnog plana</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_Toc242947293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68</w:t>
            </w:r>
            <w:r w:rsidR="00EB1721" w:rsidRPr="00EB1721">
              <w:rPr>
                <w:rFonts w:ascii="Times New Roman" w:hAnsi="Times New Roman" w:cs="Times New Roman"/>
                <w:noProof/>
                <w:webHidden/>
                <w:sz w:val="24"/>
                <w:szCs w:val="28"/>
              </w:rPr>
              <w:fldChar w:fldCharType="end"/>
            </w:r>
          </w:hyperlink>
        </w:p>
        <w:p w14:paraId="5837433E" w14:textId="43486247" w:rsidR="00EB1721" w:rsidRDefault="004E7DE2">
          <w:pPr>
            <w:pStyle w:val="Sadraj2"/>
            <w:tabs>
              <w:tab w:val="right" w:leader="dot" w:pos="9062"/>
            </w:tabs>
            <w:rPr>
              <w:rFonts w:asciiTheme="minorHAnsi" w:eastAsiaTheme="minorEastAsia" w:hAnsiTheme="minorHAnsi"/>
              <w:noProof/>
              <w:kern w:val="2"/>
              <w:sz w:val="22"/>
              <w:lang w:val="hr-HR" w:eastAsia="hr-HR"/>
              <w14:ligatures w14:val="standardContextual"/>
            </w:rPr>
          </w:pPr>
          <w:hyperlink w:anchor="_Toc242947294" w:history="1">
            <w:r w:rsidR="00EB1721" w:rsidRPr="00EB1721">
              <w:rPr>
                <w:rStyle w:val="Hiperveza"/>
                <w:rFonts w:ascii="Times New Roman" w:eastAsia="Times New Roman" w:hAnsi="Times New Roman" w:cs="Times New Roman"/>
                <w:noProof/>
                <w:sz w:val="24"/>
                <w:szCs w:val="28"/>
                <w:lang w:val="hr-HR"/>
              </w:rPr>
              <w:t>Pojmovnik</w:t>
            </w:r>
            <w:r w:rsidR="00EB1721" w:rsidRPr="00EB1721">
              <w:rPr>
                <w:rFonts w:ascii="Times New Roman" w:hAnsi="Times New Roman" w:cs="Times New Roman"/>
                <w:noProof/>
                <w:webHidden/>
                <w:sz w:val="24"/>
                <w:szCs w:val="28"/>
              </w:rPr>
              <w:tab/>
            </w:r>
            <w:r w:rsidR="00EB1721" w:rsidRPr="00EB1721">
              <w:rPr>
                <w:rFonts w:ascii="Times New Roman" w:hAnsi="Times New Roman" w:cs="Times New Roman"/>
                <w:noProof/>
                <w:webHidden/>
                <w:sz w:val="24"/>
                <w:szCs w:val="28"/>
              </w:rPr>
              <w:fldChar w:fldCharType="begin"/>
            </w:r>
            <w:r w:rsidR="00EB1721" w:rsidRPr="00EB1721">
              <w:rPr>
                <w:rFonts w:ascii="Times New Roman" w:hAnsi="Times New Roman" w:cs="Times New Roman"/>
                <w:noProof/>
                <w:webHidden/>
                <w:sz w:val="24"/>
                <w:szCs w:val="28"/>
              </w:rPr>
              <w:instrText xml:space="preserve"> PAGEREF _Toc242947294 \h </w:instrText>
            </w:r>
            <w:r w:rsidR="00EB1721" w:rsidRPr="00EB1721">
              <w:rPr>
                <w:rFonts w:ascii="Times New Roman" w:hAnsi="Times New Roman" w:cs="Times New Roman"/>
                <w:noProof/>
                <w:webHidden/>
                <w:sz w:val="24"/>
                <w:szCs w:val="28"/>
              </w:rPr>
            </w:r>
            <w:r w:rsidR="00EB1721" w:rsidRPr="00EB1721">
              <w:rPr>
                <w:rFonts w:ascii="Times New Roman" w:hAnsi="Times New Roman" w:cs="Times New Roman"/>
                <w:noProof/>
                <w:webHidden/>
                <w:sz w:val="24"/>
                <w:szCs w:val="28"/>
              </w:rPr>
              <w:fldChar w:fldCharType="separate"/>
            </w:r>
            <w:r w:rsidR="00EB1721" w:rsidRPr="00EB1721">
              <w:rPr>
                <w:rFonts w:ascii="Times New Roman" w:hAnsi="Times New Roman" w:cs="Times New Roman"/>
                <w:noProof/>
                <w:webHidden/>
                <w:sz w:val="24"/>
                <w:szCs w:val="28"/>
              </w:rPr>
              <w:t>69</w:t>
            </w:r>
            <w:r w:rsidR="00EB1721" w:rsidRPr="00EB1721">
              <w:rPr>
                <w:rFonts w:ascii="Times New Roman" w:hAnsi="Times New Roman" w:cs="Times New Roman"/>
                <w:noProof/>
                <w:webHidden/>
                <w:sz w:val="24"/>
                <w:szCs w:val="28"/>
              </w:rPr>
              <w:fldChar w:fldCharType="end"/>
            </w:r>
          </w:hyperlink>
        </w:p>
        <w:p w14:paraId="0AE648B0" w14:textId="5B1B83AE" w:rsidR="00F2475B" w:rsidRPr="007E2992" w:rsidRDefault="00F2475B">
          <w:pPr>
            <w:rPr>
              <w:rFonts w:ascii="Times New Roman" w:hAnsi="Times New Roman" w:cs="Times New Roman"/>
              <w:sz w:val="24"/>
              <w:szCs w:val="24"/>
              <w:lang w:val="hr-HR"/>
            </w:rPr>
          </w:pPr>
          <w:r w:rsidRPr="007E2992">
            <w:rPr>
              <w:rFonts w:ascii="Times New Roman" w:hAnsi="Times New Roman" w:cs="Times New Roman"/>
              <w:b/>
              <w:bCs/>
              <w:sz w:val="24"/>
              <w:szCs w:val="24"/>
              <w:lang w:val="hr-HR"/>
            </w:rPr>
            <w:fldChar w:fldCharType="end"/>
          </w:r>
        </w:p>
      </w:sdtContent>
    </w:sdt>
    <w:p w14:paraId="3CEE3E33" w14:textId="77777777" w:rsidR="007477E7" w:rsidRPr="00A609CA" w:rsidRDefault="007477E7">
      <w:pPr>
        <w:spacing w:after="160" w:line="259" w:lineRule="auto"/>
        <w:rPr>
          <w:rFonts w:ascii="Times New Roman" w:eastAsia="Times New Roman" w:hAnsi="Times New Roman" w:cs="Times New Roman"/>
          <w:b/>
          <w:bCs/>
          <w:sz w:val="24"/>
          <w:szCs w:val="24"/>
          <w:lang w:val="hr-HR"/>
        </w:rPr>
      </w:pPr>
      <w:r>
        <w:rPr>
          <w:rFonts w:ascii="Times New Roman" w:eastAsia="Times New Roman" w:hAnsi="Times New Roman" w:cs="Times New Roman"/>
          <w:b/>
          <w:bCs/>
          <w:sz w:val="24"/>
          <w:szCs w:val="24"/>
          <w:lang w:val="hr-HR"/>
        </w:rPr>
        <w:br w:type="page"/>
      </w:r>
    </w:p>
    <w:p w14:paraId="7F453439" w14:textId="38C01B90" w:rsidR="007477E7" w:rsidRPr="00A609CA" w:rsidRDefault="007477E7" w:rsidP="007477E7">
      <w:pPr>
        <w:pStyle w:val="Naslov2"/>
        <w:keepNext w:val="0"/>
        <w:keepLines w:val="0"/>
        <w:widowControl w:val="0"/>
        <w:tabs>
          <w:tab w:val="left" w:pos="621"/>
        </w:tabs>
        <w:autoSpaceDE w:val="0"/>
        <w:autoSpaceDN w:val="0"/>
        <w:spacing w:before="58" w:line="240" w:lineRule="auto"/>
        <w:rPr>
          <w:rFonts w:ascii="Times New Roman" w:eastAsia="Times New Roman" w:hAnsi="Times New Roman" w:cs="Times New Roman"/>
          <w:b/>
          <w:bCs/>
          <w:color w:val="auto"/>
          <w:sz w:val="24"/>
          <w:szCs w:val="24"/>
          <w:lang w:val="hr-HR"/>
        </w:rPr>
      </w:pPr>
      <w:bookmarkStart w:id="2" w:name="_Toc236064827"/>
      <w:bookmarkStart w:id="3" w:name="_Toc242947250"/>
      <w:r>
        <w:rPr>
          <w:rFonts w:ascii="Times New Roman" w:eastAsia="Times New Roman" w:hAnsi="Times New Roman" w:cs="Times New Roman"/>
          <w:b/>
          <w:bCs/>
          <w:color w:val="auto"/>
          <w:sz w:val="24"/>
          <w:szCs w:val="24"/>
          <w:lang w:val="hr-HR"/>
        </w:rPr>
        <w:lastRenderedPageBreak/>
        <w:t>Popis kratica</w:t>
      </w:r>
      <w:bookmarkEnd w:id="2"/>
      <w:bookmarkEnd w:id="3"/>
    </w:p>
    <w:p w14:paraId="1CF16146" w14:textId="77777777" w:rsidR="007477E7" w:rsidRPr="00A609CA" w:rsidRDefault="007477E7" w:rsidP="007477E7">
      <w:pPr>
        <w:rPr>
          <w:lang w:val="hr-HR"/>
        </w:rPr>
      </w:pPr>
    </w:p>
    <w:p w14:paraId="47A277B4" w14:textId="356D8CA0" w:rsidR="007F7B06" w:rsidRPr="00896667" w:rsidRDefault="007F7B06" w:rsidP="007477E7">
      <w:pPr>
        <w:rPr>
          <w:rFonts w:ascii="Times New Roman" w:hAnsi="Times New Roman" w:cs="Times New Roman"/>
          <w:i/>
          <w:iCs/>
          <w:sz w:val="24"/>
          <w:szCs w:val="24"/>
          <w:lang w:val="hr-HR"/>
        </w:rPr>
      </w:pPr>
      <w:r>
        <w:rPr>
          <w:rFonts w:ascii="Times New Roman" w:hAnsi="Times New Roman" w:cs="Times New Roman"/>
          <w:sz w:val="24"/>
          <w:szCs w:val="24"/>
          <w:lang w:val="hr-HR"/>
        </w:rPr>
        <w:t xml:space="preserve">AI  – umjetna inteligencija </w:t>
      </w:r>
      <w:r w:rsidRPr="00896667">
        <w:rPr>
          <w:rFonts w:ascii="Times New Roman" w:hAnsi="Times New Roman" w:cs="Times New Roman"/>
          <w:i/>
          <w:iCs/>
          <w:sz w:val="24"/>
          <w:szCs w:val="24"/>
          <w:lang w:val="hr-HR"/>
        </w:rPr>
        <w:t xml:space="preserve">(eng. Artificial </w:t>
      </w:r>
      <w:r w:rsidRPr="00F71116">
        <w:rPr>
          <w:rFonts w:ascii="Times New Roman" w:hAnsi="Times New Roman" w:cs="Times New Roman"/>
          <w:i/>
          <w:iCs/>
          <w:sz w:val="24"/>
          <w:szCs w:val="24"/>
          <w:lang w:val="hr-HR"/>
        </w:rPr>
        <w:t>I</w:t>
      </w:r>
      <w:r w:rsidRPr="00896667">
        <w:rPr>
          <w:rFonts w:ascii="Times New Roman" w:hAnsi="Times New Roman" w:cs="Times New Roman"/>
          <w:i/>
          <w:iCs/>
          <w:sz w:val="24"/>
          <w:szCs w:val="24"/>
          <w:lang w:val="hr-HR"/>
        </w:rPr>
        <w:t>ntelligence)</w:t>
      </w:r>
    </w:p>
    <w:p w14:paraId="5F9E00E3" w14:textId="77777777" w:rsidR="00CA113C" w:rsidRPr="00896667" w:rsidRDefault="00CA113C" w:rsidP="007477E7">
      <w:pPr>
        <w:rPr>
          <w:rFonts w:ascii="Times New Roman" w:hAnsi="Times New Roman" w:cs="Times New Roman"/>
          <w:i/>
          <w:iCs/>
          <w:sz w:val="24"/>
          <w:szCs w:val="24"/>
          <w:lang w:val="hr-HR"/>
        </w:rPr>
      </w:pPr>
      <w:r w:rsidRPr="00CA113C">
        <w:rPr>
          <w:rFonts w:ascii="Times New Roman" w:hAnsi="Times New Roman" w:cs="Times New Roman"/>
          <w:sz w:val="24"/>
          <w:szCs w:val="24"/>
          <w:lang w:val="hr-HR"/>
        </w:rPr>
        <w:t xml:space="preserve">AKIS – Sustav znanja i inovacija u poljoprivredi </w:t>
      </w:r>
      <w:r w:rsidRPr="00896667">
        <w:rPr>
          <w:rFonts w:ascii="Times New Roman" w:hAnsi="Times New Roman" w:cs="Times New Roman"/>
          <w:i/>
          <w:iCs/>
          <w:sz w:val="24"/>
          <w:szCs w:val="24"/>
          <w:lang w:val="hr-HR"/>
        </w:rPr>
        <w:t>(eng. Agricultural Knowledge and Innovation System)</w:t>
      </w:r>
    </w:p>
    <w:p w14:paraId="732D89ED" w14:textId="3DBEE683"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AZOO – Agencija za odgoj i obrazovanje</w:t>
      </w:r>
    </w:p>
    <w:p w14:paraId="3249215F" w14:textId="3C7B6E2B" w:rsidR="003E3E2B" w:rsidRDefault="003E3E2B" w:rsidP="007477E7">
      <w:pPr>
        <w:rPr>
          <w:rFonts w:ascii="Times New Roman" w:hAnsi="Times New Roman" w:cs="Times New Roman"/>
          <w:sz w:val="24"/>
          <w:szCs w:val="24"/>
          <w:lang w:val="hr-HR"/>
        </w:rPr>
      </w:pPr>
      <w:r>
        <w:rPr>
          <w:rFonts w:ascii="Times New Roman" w:hAnsi="Times New Roman" w:cs="Times New Roman"/>
          <w:sz w:val="24"/>
          <w:szCs w:val="24"/>
          <w:lang w:val="hr-HR"/>
        </w:rPr>
        <w:t xml:space="preserve">AZOP – </w:t>
      </w:r>
      <w:r w:rsidR="00981DE6" w:rsidRPr="00981DE6">
        <w:rPr>
          <w:rFonts w:ascii="Times New Roman" w:hAnsi="Times New Roman" w:cs="Times New Roman"/>
          <w:sz w:val="24"/>
          <w:szCs w:val="24"/>
          <w:lang w:val="hr-HR"/>
        </w:rPr>
        <w:t>Agencija za zaštitu osobnih podataka</w:t>
      </w:r>
    </w:p>
    <w:p w14:paraId="35113E96" w14:textId="092D84B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BDP – Bruto domaći proizvod</w:t>
      </w:r>
    </w:p>
    <w:p w14:paraId="719AD323"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CARNET – Hrvatska akademska i istraživačka mreža</w:t>
      </w:r>
    </w:p>
    <w:p w14:paraId="5BA2CCF7"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CDU – Centar dijeljenih usluga</w:t>
      </w:r>
    </w:p>
    <w:p w14:paraId="2DAA20A5" w14:textId="77777777" w:rsidR="00774EB5" w:rsidRPr="00896667" w:rsidRDefault="00774EB5" w:rsidP="007477E7">
      <w:pPr>
        <w:rPr>
          <w:rFonts w:ascii="Times New Roman" w:hAnsi="Times New Roman" w:cs="Times New Roman"/>
          <w:i/>
          <w:iCs/>
          <w:sz w:val="24"/>
          <w:szCs w:val="24"/>
          <w:lang w:val="hr-HR"/>
        </w:rPr>
      </w:pPr>
      <w:r w:rsidRPr="00774EB5">
        <w:rPr>
          <w:rFonts w:ascii="Times New Roman" w:hAnsi="Times New Roman" w:cs="Times New Roman"/>
          <w:sz w:val="24"/>
          <w:szCs w:val="24"/>
          <w:lang w:val="hr-HR"/>
        </w:rPr>
        <w:t xml:space="preserve">CETS – Zbirka ugovora Vijeća Europe </w:t>
      </w:r>
      <w:r w:rsidRPr="00896667">
        <w:rPr>
          <w:rFonts w:ascii="Times New Roman" w:hAnsi="Times New Roman" w:cs="Times New Roman"/>
          <w:i/>
          <w:iCs/>
          <w:sz w:val="24"/>
          <w:szCs w:val="24"/>
          <w:lang w:val="hr-HR"/>
        </w:rPr>
        <w:t>(eng. Council of Europe Treaty Series)</w:t>
      </w:r>
    </w:p>
    <w:p w14:paraId="0F9E0543" w14:textId="7A87252D"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CEZIH – Centralni zdravstveni informacijski sustav Republike Hrvatske</w:t>
      </w:r>
    </w:p>
    <w:p w14:paraId="04C83FF9" w14:textId="4338E9FA" w:rsidR="00B63838" w:rsidRDefault="00B63838" w:rsidP="007477E7">
      <w:pPr>
        <w:rPr>
          <w:rFonts w:ascii="Times New Roman" w:hAnsi="Times New Roman" w:cs="Times New Roman"/>
          <w:sz w:val="24"/>
          <w:szCs w:val="24"/>
          <w:lang w:val="hr-HR"/>
        </w:rPr>
      </w:pPr>
      <w:r w:rsidRPr="00B63838">
        <w:rPr>
          <w:rFonts w:ascii="Times New Roman" w:hAnsi="Times New Roman" w:cs="Times New Roman"/>
          <w:sz w:val="24"/>
          <w:szCs w:val="24"/>
          <w:lang w:val="hr-HR"/>
        </w:rPr>
        <w:t>CroAI</w:t>
      </w:r>
      <w:r w:rsidRPr="00B63838">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B63838">
        <w:rPr>
          <w:rFonts w:ascii="Times New Roman" w:hAnsi="Times New Roman" w:cs="Times New Roman"/>
          <w:sz w:val="24"/>
          <w:szCs w:val="24"/>
          <w:lang w:val="hr-HR"/>
        </w:rPr>
        <w:t>Hrvatska udruga za umjetnu inteligenciju</w:t>
      </w:r>
    </w:p>
    <w:p w14:paraId="3C3C9389" w14:textId="4BB54942"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CT – Kompjutorizirana tomografija (</w:t>
      </w:r>
      <w:r>
        <w:rPr>
          <w:rFonts w:ascii="Times New Roman" w:hAnsi="Times New Roman" w:cs="Times New Roman"/>
          <w:i/>
          <w:iCs/>
          <w:sz w:val="24"/>
          <w:szCs w:val="24"/>
          <w:lang w:val="hr-HR"/>
        </w:rPr>
        <w:t>eng. Computed Tomography)</w:t>
      </w:r>
    </w:p>
    <w:p w14:paraId="78C32DA1" w14:textId="07E5D287" w:rsidR="00243B9B" w:rsidRDefault="00BC476F" w:rsidP="007477E7">
      <w:pPr>
        <w:rPr>
          <w:rFonts w:ascii="Times New Roman" w:hAnsi="Times New Roman" w:cs="Times New Roman"/>
          <w:i/>
          <w:iCs/>
          <w:sz w:val="24"/>
          <w:szCs w:val="24"/>
          <w:lang w:val="hr-HR"/>
        </w:rPr>
      </w:pPr>
      <w:r>
        <w:rPr>
          <w:rFonts w:ascii="Times New Roman" w:hAnsi="Times New Roman" w:cs="Times New Roman"/>
          <w:sz w:val="24"/>
          <w:szCs w:val="24"/>
          <w:lang w:val="hr-HR"/>
        </w:rPr>
        <w:t xml:space="preserve">DARB </w:t>
      </w:r>
      <w:r w:rsidR="00243B9B">
        <w:rPr>
          <w:rFonts w:ascii="Times New Roman" w:hAnsi="Times New Roman" w:cs="Times New Roman"/>
          <w:sz w:val="24"/>
          <w:szCs w:val="24"/>
          <w:lang w:val="hr-HR"/>
        </w:rPr>
        <w:t xml:space="preserve"> – </w:t>
      </w:r>
      <w:r w:rsidRPr="00BC476F">
        <w:rPr>
          <w:rFonts w:ascii="Times New Roman" w:hAnsi="Times New Roman" w:cs="Times New Roman"/>
          <w:sz w:val="24"/>
          <w:szCs w:val="24"/>
          <w:lang w:val="hr-HR"/>
        </w:rPr>
        <w:t xml:space="preserve">Odbor za podatke i umjetnu inteligenciju </w:t>
      </w:r>
      <w:r w:rsidRPr="00896667">
        <w:rPr>
          <w:rFonts w:ascii="Times New Roman" w:hAnsi="Times New Roman" w:cs="Times New Roman"/>
          <w:i/>
          <w:iCs/>
          <w:sz w:val="24"/>
          <w:szCs w:val="24"/>
          <w:lang w:val="hr-HR"/>
        </w:rPr>
        <w:t xml:space="preserve">(eng. </w:t>
      </w:r>
      <w:r w:rsidR="00243B9B" w:rsidRPr="00896667">
        <w:rPr>
          <w:rFonts w:ascii="Times New Roman" w:hAnsi="Times New Roman" w:cs="Times New Roman"/>
          <w:i/>
          <w:iCs/>
          <w:sz w:val="24"/>
          <w:szCs w:val="24"/>
          <w:lang w:val="hr-HR"/>
        </w:rPr>
        <w:t>Data and Artificial Intelligence Review Board</w:t>
      </w:r>
      <w:r w:rsidRPr="00896667">
        <w:rPr>
          <w:rFonts w:ascii="Times New Roman" w:hAnsi="Times New Roman" w:cs="Times New Roman"/>
          <w:i/>
          <w:iCs/>
          <w:sz w:val="24"/>
          <w:szCs w:val="24"/>
          <w:lang w:val="hr-HR"/>
        </w:rPr>
        <w:t>)</w:t>
      </w:r>
    </w:p>
    <w:p w14:paraId="32B5C0EB" w14:textId="6C9A4372" w:rsidR="000C61E9" w:rsidRPr="00896667" w:rsidRDefault="000C61E9" w:rsidP="007477E7">
      <w:pPr>
        <w:rPr>
          <w:rFonts w:ascii="Times New Roman" w:hAnsi="Times New Roman" w:cs="Times New Roman"/>
          <w:i/>
          <w:iCs/>
          <w:sz w:val="24"/>
          <w:szCs w:val="24"/>
          <w:lang w:val="hr-HR"/>
        </w:rPr>
      </w:pPr>
      <w:r w:rsidRPr="00896667">
        <w:rPr>
          <w:rFonts w:ascii="Times New Roman" w:hAnsi="Times New Roman" w:cs="Times New Roman"/>
          <w:sz w:val="24"/>
          <w:szCs w:val="24"/>
          <w:lang w:val="hr-HR"/>
        </w:rPr>
        <w:t>DIANA – NATO-ov Akcelerator obrambenih inovacija za sjeverni Atlantik</w:t>
      </w:r>
      <w:r w:rsidRPr="000C61E9">
        <w:rPr>
          <w:rFonts w:ascii="Times New Roman" w:hAnsi="Times New Roman" w:cs="Times New Roman"/>
          <w:i/>
          <w:iCs/>
          <w:sz w:val="24"/>
          <w:szCs w:val="24"/>
          <w:lang w:val="hr-HR"/>
        </w:rPr>
        <w:t xml:space="preserve"> (eng. Defence Innovation Accelerator for the North Atlantic)</w:t>
      </w:r>
    </w:p>
    <w:p w14:paraId="7AF4D172" w14:textId="16CA47A9"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DIH – Digitalni inovacijski centar (</w:t>
      </w:r>
      <w:r>
        <w:rPr>
          <w:rFonts w:ascii="Times New Roman" w:hAnsi="Times New Roman" w:cs="Times New Roman"/>
          <w:i/>
          <w:iCs/>
          <w:sz w:val="24"/>
          <w:szCs w:val="24"/>
          <w:lang w:val="hr-HR"/>
        </w:rPr>
        <w:t>eng. Digital Innovation Hub</w:t>
      </w:r>
      <w:r>
        <w:rPr>
          <w:rFonts w:ascii="Times New Roman" w:hAnsi="Times New Roman" w:cs="Times New Roman"/>
          <w:sz w:val="24"/>
          <w:szCs w:val="24"/>
          <w:lang w:val="hr-HR"/>
        </w:rPr>
        <w:t>)</w:t>
      </w:r>
    </w:p>
    <w:p w14:paraId="7B2DC1D8" w14:textId="70A950FD" w:rsidR="006F1C93" w:rsidRDefault="006F1C93" w:rsidP="007477E7">
      <w:pPr>
        <w:rPr>
          <w:rFonts w:ascii="Times New Roman" w:hAnsi="Times New Roman" w:cs="Times New Roman"/>
          <w:sz w:val="24"/>
          <w:szCs w:val="24"/>
          <w:lang w:val="hr-HR"/>
        </w:rPr>
      </w:pPr>
      <w:r w:rsidRPr="006F1C93">
        <w:rPr>
          <w:rFonts w:ascii="Times New Roman" w:hAnsi="Times New Roman" w:cs="Times New Roman"/>
          <w:sz w:val="24"/>
          <w:szCs w:val="24"/>
          <w:lang w:val="hr-HR"/>
        </w:rPr>
        <w:t>DŠJU</w:t>
      </w:r>
      <w:r>
        <w:rPr>
          <w:rFonts w:ascii="Times New Roman" w:hAnsi="Times New Roman" w:cs="Times New Roman"/>
          <w:sz w:val="24"/>
          <w:szCs w:val="24"/>
          <w:lang w:val="hr-HR"/>
        </w:rPr>
        <w:t xml:space="preserve"> – </w:t>
      </w:r>
      <w:r w:rsidRPr="006F1C93">
        <w:rPr>
          <w:rFonts w:ascii="Times New Roman" w:hAnsi="Times New Roman" w:cs="Times New Roman"/>
          <w:sz w:val="24"/>
          <w:szCs w:val="24"/>
          <w:lang w:val="hr-HR"/>
        </w:rPr>
        <w:t>Državna škola za javnu upravu</w:t>
      </w:r>
    </w:p>
    <w:p w14:paraId="1D140B16" w14:textId="5B9B984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DZS – Državni zavod za statistiku</w:t>
      </w:r>
    </w:p>
    <w:p w14:paraId="5BB79BE9" w14:textId="77777777" w:rsidR="00BE73F1" w:rsidRPr="00A609CA" w:rsidRDefault="00BE73F1" w:rsidP="00BE73F1">
      <w:pPr>
        <w:rPr>
          <w:rFonts w:ascii="Times New Roman" w:hAnsi="Times New Roman" w:cs="Times New Roman"/>
          <w:sz w:val="24"/>
          <w:szCs w:val="24"/>
          <w:lang w:val="hr-HR"/>
        </w:rPr>
      </w:pPr>
      <w:r>
        <w:rPr>
          <w:rFonts w:ascii="Times New Roman" w:hAnsi="Times New Roman" w:cs="Times New Roman"/>
          <w:sz w:val="24"/>
          <w:szCs w:val="24"/>
          <w:lang w:val="hr-HR"/>
        </w:rPr>
        <w:t>EDIH – Europski digitalni inovacijski centar (</w:t>
      </w:r>
      <w:r>
        <w:rPr>
          <w:rFonts w:ascii="Times New Roman" w:hAnsi="Times New Roman" w:cs="Times New Roman"/>
          <w:i/>
          <w:iCs/>
          <w:sz w:val="24"/>
          <w:szCs w:val="24"/>
          <w:lang w:val="hr-HR"/>
        </w:rPr>
        <w:t>eng. European Digital Innovation Hub</w:t>
      </w:r>
      <w:r>
        <w:rPr>
          <w:rFonts w:ascii="Times New Roman" w:hAnsi="Times New Roman" w:cs="Times New Roman"/>
          <w:sz w:val="24"/>
          <w:szCs w:val="24"/>
          <w:lang w:val="hr-HR"/>
        </w:rPr>
        <w:t>)</w:t>
      </w:r>
    </w:p>
    <w:p w14:paraId="50752F86" w14:textId="77777777" w:rsidR="00E00AC8" w:rsidRPr="00896667" w:rsidRDefault="00E00AC8" w:rsidP="007477E7">
      <w:pPr>
        <w:rPr>
          <w:rFonts w:ascii="Times New Roman" w:hAnsi="Times New Roman" w:cs="Times New Roman"/>
          <w:i/>
          <w:iCs/>
          <w:sz w:val="24"/>
          <w:szCs w:val="24"/>
          <w:lang w:val="hr-HR"/>
        </w:rPr>
      </w:pPr>
      <w:r w:rsidRPr="00E00AC8">
        <w:rPr>
          <w:rFonts w:ascii="Times New Roman" w:hAnsi="Times New Roman" w:cs="Times New Roman"/>
          <w:sz w:val="24"/>
          <w:szCs w:val="24"/>
          <w:lang w:val="hr-HR"/>
        </w:rPr>
        <w:t xml:space="preserve">EDIP – Program za europsku obrambenu industriju </w:t>
      </w:r>
      <w:r w:rsidRPr="00896667">
        <w:rPr>
          <w:rFonts w:ascii="Times New Roman" w:hAnsi="Times New Roman" w:cs="Times New Roman"/>
          <w:i/>
          <w:iCs/>
          <w:sz w:val="24"/>
          <w:szCs w:val="24"/>
          <w:lang w:val="hr-HR"/>
        </w:rPr>
        <w:t>(eng. European Defence Industry Programme)</w:t>
      </w:r>
    </w:p>
    <w:p w14:paraId="36AAB3FC" w14:textId="77777777" w:rsidR="00E00AC8" w:rsidRPr="00896667" w:rsidRDefault="00E00AC8" w:rsidP="007477E7">
      <w:pPr>
        <w:rPr>
          <w:rFonts w:ascii="Times New Roman" w:hAnsi="Times New Roman" w:cs="Times New Roman"/>
          <w:i/>
          <w:iCs/>
          <w:sz w:val="24"/>
          <w:szCs w:val="24"/>
          <w:lang w:val="hr-HR"/>
        </w:rPr>
      </w:pPr>
      <w:r w:rsidRPr="00E00AC8">
        <w:rPr>
          <w:rFonts w:ascii="Times New Roman" w:hAnsi="Times New Roman" w:cs="Times New Roman"/>
          <w:sz w:val="24"/>
          <w:szCs w:val="24"/>
          <w:lang w:val="hr-HR"/>
        </w:rPr>
        <w:t xml:space="preserve">EDIS – Strategija za europsku obrambenu industriju </w:t>
      </w:r>
      <w:r w:rsidRPr="00896667">
        <w:rPr>
          <w:rFonts w:ascii="Times New Roman" w:hAnsi="Times New Roman" w:cs="Times New Roman"/>
          <w:i/>
          <w:iCs/>
          <w:sz w:val="24"/>
          <w:szCs w:val="24"/>
          <w:lang w:val="hr-HR"/>
        </w:rPr>
        <w:t>(eng. European Defence Industrial Strategy)</w:t>
      </w:r>
    </w:p>
    <w:p w14:paraId="57F093D5" w14:textId="1113D106" w:rsidR="00A95841" w:rsidRPr="00A609CA" w:rsidRDefault="00A95841" w:rsidP="007477E7">
      <w:pPr>
        <w:rPr>
          <w:rFonts w:ascii="Times New Roman" w:hAnsi="Times New Roman" w:cs="Times New Roman"/>
          <w:sz w:val="24"/>
          <w:szCs w:val="24"/>
          <w:lang w:val="hr-HR"/>
        </w:rPr>
      </w:pPr>
      <w:r>
        <w:rPr>
          <w:rFonts w:ascii="Times New Roman" w:hAnsi="Times New Roman" w:cs="Times New Roman"/>
          <w:sz w:val="24"/>
          <w:szCs w:val="24"/>
          <w:lang w:val="hr-HR"/>
        </w:rPr>
        <w:t>EK – Europska komisija</w:t>
      </w:r>
    </w:p>
    <w:p w14:paraId="276FFE93" w14:textId="241515C3"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EU – Europska unija</w:t>
      </w:r>
    </w:p>
    <w:p w14:paraId="0E861F9A"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EUR – Euro</w:t>
      </w:r>
    </w:p>
    <w:p w14:paraId="5555F1B4" w14:textId="77777777" w:rsidR="007477E7" w:rsidRPr="00A609CA" w:rsidRDefault="007477E7" w:rsidP="007477E7">
      <w:pPr>
        <w:rPr>
          <w:rFonts w:ascii="Times New Roman" w:hAnsi="Times New Roman" w:cs="Times New Roman"/>
          <w:i/>
          <w:iCs/>
          <w:sz w:val="24"/>
          <w:szCs w:val="24"/>
          <w:lang w:val="hr-HR"/>
        </w:rPr>
      </w:pPr>
      <w:r>
        <w:rPr>
          <w:rFonts w:ascii="Times New Roman" w:hAnsi="Times New Roman" w:cs="Times New Roman"/>
          <w:sz w:val="24"/>
          <w:szCs w:val="24"/>
          <w:lang w:val="hr-HR"/>
        </w:rPr>
        <w:lastRenderedPageBreak/>
        <w:t xml:space="preserve">EuroHPC JU – Zajedničko poduzeće za europsko računalstvo visokih performansi </w:t>
      </w:r>
      <w:r w:rsidRPr="00896667">
        <w:rPr>
          <w:rFonts w:ascii="Times New Roman" w:hAnsi="Times New Roman" w:cs="Times New Roman"/>
          <w:i/>
          <w:iCs/>
          <w:sz w:val="24"/>
          <w:szCs w:val="24"/>
          <w:lang w:val="hr-HR"/>
        </w:rPr>
        <w:t xml:space="preserve">(eng. </w:t>
      </w:r>
      <w:r>
        <w:rPr>
          <w:rFonts w:ascii="Times New Roman" w:hAnsi="Times New Roman" w:cs="Times New Roman"/>
          <w:i/>
          <w:iCs/>
          <w:sz w:val="24"/>
          <w:szCs w:val="24"/>
          <w:lang w:val="hr-HR"/>
        </w:rPr>
        <w:t>European High Performance Computing Joint Undertaking)</w:t>
      </w:r>
    </w:p>
    <w:p w14:paraId="16981828" w14:textId="65ED4C1B" w:rsidR="005A75C3" w:rsidRDefault="005A75C3" w:rsidP="007477E7">
      <w:pPr>
        <w:rPr>
          <w:rFonts w:ascii="Times New Roman" w:hAnsi="Times New Roman" w:cs="Times New Roman"/>
          <w:sz w:val="24"/>
          <w:szCs w:val="24"/>
          <w:lang w:val="hr-HR"/>
        </w:rPr>
      </w:pPr>
      <w:r>
        <w:rPr>
          <w:rFonts w:ascii="Times New Roman" w:hAnsi="Times New Roman" w:cs="Times New Roman"/>
          <w:sz w:val="24"/>
          <w:szCs w:val="24"/>
          <w:lang w:val="hr-HR"/>
        </w:rPr>
        <w:t>Eurostat – Glavni statistički ured Europske unije</w:t>
      </w:r>
    </w:p>
    <w:p w14:paraId="7036A77A" w14:textId="7402482F" w:rsidR="00012FC5" w:rsidRDefault="00012FC5" w:rsidP="007477E7">
      <w:pPr>
        <w:rPr>
          <w:rFonts w:ascii="Times New Roman" w:hAnsi="Times New Roman" w:cs="Times New Roman"/>
          <w:sz w:val="24"/>
          <w:szCs w:val="24"/>
          <w:lang w:val="hr-HR"/>
        </w:rPr>
      </w:pPr>
      <w:r w:rsidRPr="00012FC5">
        <w:rPr>
          <w:rFonts w:ascii="Times New Roman" w:hAnsi="Times New Roman" w:cs="Times New Roman"/>
          <w:sz w:val="24"/>
          <w:szCs w:val="24"/>
          <w:lang w:val="hr-HR"/>
        </w:rPr>
        <w:t>FER CAI</w:t>
      </w:r>
      <w:r>
        <w:rPr>
          <w:rFonts w:ascii="Times New Roman" w:hAnsi="Times New Roman" w:cs="Times New Roman"/>
          <w:sz w:val="24"/>
          <w:szCs w:val="24"/>
          <w:lang w:val="hr-HR"/>
        </w:rPr>
        <w:t xml:space="preserve"> –  </w:t>
      </w:r>
      <w:r w:rsidRPr="00012FC5">
        <w:rPr>
          <w:rFonts w:ascii="Times New Roman" w:hAnsi="Times New Roman" w:cs="Times New Roman"/>
          <w:sz w:val="24"/>
          <w:szCs w:val="24"/>
          <w:lang w:val="hr-HR"/>
        </w:rPr>
        <w:t>Centar za umjetnu inteligenciju Fakulteta elektrotehnike i računarstva Sveučilišta u Zagrebu (</w:t>
      </w:r>
      <w:r w:rsidRPr="00012FC5">
        <w:rPr>
          <w:rFonts w:ascii="Times New Roman" w:hAnsi="Times New Roman" w:cs="Times New Roman"/>
          <w:i/>
          <w:iCs/>
          <w:sz w:val="24"/>
          <w:szCs w:val="24"/>
          <w:lang w:val="hr-HR"/>
        </w:rPr>
        <w:t>eng. Centre for Artificial Intelligence</w:t>
      </w:r>
      <w:r w:rsidRPr="00012FC5">
        <w:rPr>
          <w:rFonts w:ascii="Times New Roman" w:hAnsi="Times New Roman" w:cs="Times New Roman"/>
          <w:sz w:val="24"/>
          <w:szCs w:val="24"/>
          <w:lang w:val="hr-HR"/>
        </w:rPr>
        <w:t>)</w:t>
      </w:r>
    </w:p>
    <w:p w14:paraId="6DA6DCF5" w14:textId="2725E971" w:rsidR="00FA0772" w:rsidRDefault="00FA0772" w:rsidP="007477E7">
      <w:pPr>
        <w:rPr>
          <w:rFonts w:ascii="Times New Roman" w:hAnsi="Times New Roman" w:cs="Times New Roman"/>
          <w:sz w:val="24"/>
          <w:szCs w:val="24"/>
          <w:lang w:val="hr-HR"/>
        </w:rPr>
      </w:pPr>
      <w:r w:rsidRPr="00FA0772">
        <w:rPr>
          <w:rFonts w:ascii="Times New Roman" w:hAnsi="Times New Roman" w:cs="Times New Roman"/>
          <w:sz w:val="24"/>
          <w:szCs w:val="24"/>
          <w:lang w:val="hr-HR"/>
        </w:rPr>
        <w:t>FERIT</w:t>
      </w:r>
      <w:r w:rsidRPr="00FA0772">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FA0772">
        <w:rPr>
          <w:rFonts w:ascii="Times New Roman" w:hAnsi="Times New Roman" w:cs="Times New Roman"/>
          <w:sz w:val="24"/>
          <w:szCs w:val="24"/>
          <w:lang w:val="hr-HR"/>
        </w:rPr>
        <w:t>Fakultet elektrotehnike, računarstva i informacijskih tehnologija Osijek Sveučilišta Josipa Jurja Strossmayera u Osijeku</w:t>
      </w:r>
    </w:p>
    <w:p w14:paraId="7266C38D" w14:textId="64BB2AAE" w:rsidR="00292AE2" w:rsidRDefault="00292AE2" w:rsidP="007477E7">
      <w:pPr>
        <w:rPr>
          <w:rFonts w:ascii="Times New Roman" w:hAnsi="Times New Roman" w:cs="Times New Roman"/>
          <w:sz w:val="24"/>
          <w:szCs w:val="24"/>
          <w:lang w:val="hr-HR"/>
        </w:rPr>
      </w:pPr>
      <w:r w:rsidRPr="00292AE2">
        <w:rPr>
          <w:rFonts w:ascii="Times New Roman" w:hAnsi="Times New Roman" w:cs="Times New Roman"/>
          <w:sz w:val="24"/>
          <w:szCs w:val="24"/>
          <w:lang w:val="hr-HR"/>
        </w:rPr>
        <w:t>FESB</w:t>
      </w:r>
      <w:r>
        <w:rPr>
          <w:rFonts w:ascii="Times New Roman" w:hAnsi="Times New Roman" w:cs="Times New Roman"/>
          <w:sz w:val="24"/>
          <w:szCs w:val="24"/>
          <w:lang w:val="hr-HR"/>
        </w:rPr>
        <w:t xml:space="preserve"> – </w:t>
      </w:r>
      <w:r w:rsidRPr="00292AE2">
        <w:rPr>
          <w:rFonts w:ascii="Times New Roman" w:hAnsi="Times New Roman" w:cs="Times New Roman"/>
          <w:sz w:val="24"/>
          <w:szCs w:val="24"/>
          <w:lang w:val="hr-HR"/>
        </w:rPr>
        <w:t>Fakultet elektrotehnike, strojarstva i brodogradnje Sveučilišta u Splitu</w:t>
      </w:r>
    </w:p>
    <w:p w14:paraId="5D267B21" w14:textId="7EF75AE3"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GPU – Grafička procesorska jedinica (</w:t>
      </w:r>
      <w:r>
        <w:rPr>
          <w:rFonts w:ascii="Times New Roman" w:hAnsi="Times New Roman" w:cs="Times New Roman"/>
          <w:i/>
          <w:iCs/>
          <w:sz w:val="24"/>
          <w:szCs w:val="24"/>
          <w:lang w:val="hr-HR"/>
        </w:rPr>
        <w:t>eng. Graphics Processing Unit</w:t>
      </w:r>
      <w:r>
        <w:rPr>
          <w:rFonts w:ascii="Times New Roman" w:hAnsi="Times New Roman" w:cs="Times New Roman"/>
          <w:sz w:val="24"/>
          <w:szCs w:val="24"/>
          <w:lang w:val="hr-HR"/>
        </w:rPr>
        <w:t>)</w:t>
      </w:r>
    </w:p>
    <w:p w14:paraId="4F817B28" w14:textId="69CC550B" w:rsidR="003C15D0" w:rsidRDefault="003C15D0" w:rsidP="007477E7">
      <w:pPr>
        <w:rPr>
          <w:rFonts w:ascii="Times New Roman" w:hAnsi="Times New Roman" w:cs="Times New Roman"/>
          <w:sz w:val="24"/>
          <w:szCs w:val="24"/>
          <w:lang w:val="hr-HR"/>
        </w:rPr>
      </w:pPr>
      <w:r w:rsidRPr="003C15D0">
        <w:rPr>
          <w:rFonts w:ascii="Times New Roman" w:hAnsi="Times New Roman" w:cs="Times New Roman"/>
          <w:sz w:val="24"/>
          <w:szCs w:val="24"/>
          <w:lang w:val="hr-HR"/>
        </w:rPr>
        <w:t>HAKOM</w:t>
      </w:r>
      <w:r>
        <w:rPr>
          <w:rFonts w:ascii="Times New Roman" w:hAnsi="Times New Roman" w:cs="Times New Roman"/>
          <w:sz w:val="24"/>
          <w:szCs w:val="24"/>
          <w:lang w:val="hr-HR"/>
        </w:rPr>
        <w:t xml:space="preserve">  – </w:t>
      </w:r>
      <w:r w:rsidRPr="003C15D0">
        <w:rPr>
          <w:rFonts w:ascii="Times New Roman" w:hAnsi="Times New Roman" w:cs="Times New Roman"/>
          <w:sz w:val="24"/>
          <w:szCs w:val="24"/>
          <w:lang w:val="hr-HR"/>
        </w:rPr>
        <w:t>Hrvatska regulatorna agencija za mrežne djelatnosti</w:t>
      </w:r>
    </w:p>
    <w:p w14:paraId="48BF4337" w14:textId="4F76D94F" w:rsidR="00BB2A43" w:rsidRDefault="00BB2A43" w:rsidP="007477E7">
      <w:pPr>
        <w:rPr>
          <w:rFonts w:ascii="Times New Roman" w:hAnsi="Times New Roman" w:cs="Times New Roman"/>
          <w:sz w:val="24"/>
          <w:szCs w:val="24"/>
          <w:lang w:val="hr-HR"/>
        </w:rPr>
      </w:pPr>
      <w:r w:rsidRPr="00BB2A43">
        <w:rPr>
          <w:rFonts w:ascii="Times New Roman" w:hAnsi="Times New Roman" w:cs="Times New Roman"/>
          <w:sz w:val="24"/>
          <w:szCs w:val="24"/>
          <w:lang w:val="hr-HR"/>
        </w:rPr>
        <w:t>HAMAG-BICRO</w:t>
      </w:r>
      <w:r>
        <w:rPr>
          <w:rFonts w:ascii="Times New Roman" w:hAnsi="Times New Roman" w:cs="Times New Roman"/>
          <w:sz w:val="24"/>
          <w:szCs w:val="24"/>
          <w:lang w:val="hr-HR"/>
        </w:rPr>
        <w:t xml:space="preserve"> – </w:t>
      </w:r>
      <w:r w:rsidRPr="00BB2A43">
        <w:rPr>
          <w:rFonts w:ascii="Times New Roman" w:hAnsi="Times New Roman" w:cs="Times New Roman"/>
          <w:sz w:val="24"/>
          <w:szCs w:val="24"/>
          <w:lang w:val="hr-HR"/>
        </w:rPr>
        <w:t>Hrvatska agencija za malo gospodarstvo, inovacije i investicije</w:t>
      </w:r>
    </w:p>
    <w:p w14:paraId="2A9DB08F" w14:textId="77777777" w:rsidR="00A82274" w:rsidRDefault="00A82274" w:rsidP="00845F09">
      <w:pPr>
        <w:rPr>
          <w:rFonts w:ascii="Times New Roman" w:hAnsi="Times New Roman" w:cs="Times New Roman"/>
          <w:sz w:val="24"/>
          <w:szCs w:val="24"/>
          <w:lang w:val="hr-HR"/>
        </w:rPr>
      </w:pPr>
      <w:r>
        <w:rPr>
          <w:rFonts w:ascii="Times New Roman" w:hAnsi="Times New Roman" w:cs="Times New Roman"/>
          <w:sz w:val="24"/>
          <w:szCs w:val="24"/>
          <w:lang w:val="hr-HR"/>
        </w:rPr>
        <w:t>HBOR – Hrvatska banka za obnovu i razvitak</w:t>
      </w:r>
    </w:p>
    <w:p w14:paraId="5414AF23" w14:textId="234F0C75" w:rsidR="00845F09" w:rsidRPr="00845F09" w:rsidRDefault="00845F09" w:rsidP="00845F09">
      <w:pPr>
        <w:rPr>
          <w:rFonts w:ascii="Times New Roman" w:hAnsi="Times New Roman" w:cs="Times New Roman"/>
          <w:sz w:val="24"/>
          <w:szCs w:val="24"/>
          <w:lang w:val="hr-HR"/>
        </w:rPr>
      </w:pPr>
      <w:r w:rsidRPr="00845F09">
        <w:rPr>
          <w:rFonts w:ascii="Times New Roman" w:hAnsi="Times New Roman" w:cs="Times New Roman"/>
          <w:sz w:val="24"/>
          <w:szCs w:val="24"/>
          <w:lang w:val="hr-HR"/>
        </w:rPr>
        <w:t>HGK</w:t>
      </w:r>
      <w:r>
        <w:rPr>
          <w:rFonts w:ascii="Times New Roman" w:hAnsi="Times New Roman" w:cs="Times New Roman"/>
          <w:sz w:val="24"/>
          <w:szCs w:val="24"/>
          <w:lang w:val="hr-HR"/>
        </w:rPr>
        <w:t xml:space="preserve"> – </w:t>
      </w:r>
      <w:r w:rsidRPr="00845F09">
        <w:rPr>
          <w:rFonts w:ascii="Times New Roman" w:hAnsi="Times New Roman" w:cs="Times New Roman"/>
          <w:sz w:val="24"/>
          <w:szCs w:val="24"/>
          <w:lang w:val="hr-HR"/>
        </w:rPr>
        <w:t>Hrvatska gospodarska komora</w:t>
      </w:r>
    </w:p>
    <w:p w14:paraId="18C8C939" w14:textId="5BBD3FF1" w:rsidR="00845F09" w:rsidRDefault="00845F09" w:rsidP="00845F09">
      <w:pPr>
        <w:rPr>
          <w:rFonts w:ascii="Times New Roman" w:hAnsi="Times New Roman" w:cs="Times New Roman"/>
          <w:sz w:val="24"/>
          <w:szCs w:val="24"/>
          <w:lang w:val="hr-HR"/>
        </w:rPr>
      </w:pPr>
      <w:r w:rsidRPr="00845F09">
        <w:rPr>
          <w:rFonts w:ascii="Times New Roman" w:hAnsi="Times New Roman" w:cs="Times New Roman"/>
          <w:sz w:val="24"/>
          <w:szCs w:val="24"/>
          <w:lang w:val="hr-HR"/>
        </w:rPr>
        <w:t>HNB</w:t>
      </w:r>
      <w:r>
        <w:rPr>
          <w:rFonts w:ascii="Times New Roman" w:hAnsi="Times New Roman" w:cs="Times New Roman"/>
          <w:sz w:val="24"/>
          <w:szCs w:val="24"/>
          <w:lang w:val="hr-HR"/>
        </w:rPr>
        <w:t xml:space="preserve"> – </w:t>
      </w:r>
      <w:r w:rsidRPr="00845F09">
        <w:rPr>
          <w:rFonts w:ascii="Times New Roman" w:hAnsi="Times New Roman" w:cs="Times New Roman"/>
          <w:sz w:val="24"/>
          <w:szCs w:val="24"/>
          <w:lang w:val="hr-HR"/>
        </w:rPr>
        <w:t>Hrvatska narodna banka</w:t>
      </w:r>
    </w:p>
    <w:p w14:paraId="284E7AAE" w14:textId="387FC581" w:rsidR="007477E7" w:rsidRPr="00A609CA" w:rsidRDefault="007477E7" w:rsidP="00845F09">
      <w:pPr>
        <w:rPr>
          <w:rFonts w:ascii="Times New Roman" w:hAnsi="Times New Roman" w:cs="Times New Roman"/>
          <w:sz w:val="24"/>
          <w:szCs w:val="24"/>
          <w:lang w:val="hr-HR"/>
        </w:rPr>
      </w:pPr>
      <w:r>
        <w:rPr>
          <w:rFonts w:ascii="Times New Roman" w:hAnsi="Times New Roman" w:cs="Times New Roman"/>
          <w:sz w:val="24"/>
          <w:szCs w:val="24"/>
          <w:lang w:val="hr-HR"/>
        </w:rPr>
        <w:t>HPC – Računalstvo visokih performansi (</w:t>
      </w:r>
      <w:r>
        <w:rPr>
          <w:rFonts w:ascii="Times New Roman" w:hAnsi="Times New Roman" w:cs="Times New Roman"/>
          <w:i/>
          <w:iCs/>
          <w:sz w:val="24"/>
          <w:szCs w:val="24"/>
          <w:lang w:val="hr-HR"/>
        </w:rPr>
        <w:t>eng. High-Performance Computing</w:t>
      </w:r>
      <w:r>
        <w:rPr>
          <w:rFonts w:ascii="Times New Roman" w:hAnsi="Times New Roman" w:cs="Times New Roman"/>
          <w:sz w:val="24"/>
          <w:szCs w:val="24"/>
          <w:lang w:val="hr-HR"/>
        </w:rPr>
        <w:t>)</w:t>
      </w:r>
    </w:p>
    <w:p w14:paraId="339B2E0A" w14:textId="46E19FCA" w:rsidR="00BC6A7A" w:rsidRDefault="00BC6A7A" w:rsidP="007477E7">
      <w:pPr>
        <w:rPr>
          <w:rFonts w:ascii="Times New Roman" w:hAnsi="Times New Roman" w:cs="Times New Roman"/>
          <w:sz w:val="24"/>
          <w:szCs w:val="24"/>
          <w:lang w:val="hr-HR"/>
        </w:rPr>
      </w:pPr>
      <w:r w:rsidRPr="00BC6A7A">
        <w:rPr>
          <w:rFonts w:ascii="Times New Roman" w:hAnsi="Times New Roman" w:cs="Times New Roman"/>
          <w:sz w:val="24"/>
          <w:szCs w:val="24"/>
          <w:lang w:val="hr-HR"/>
        </w:rPr>
        <w:t>HRDCA</w:t>
      </w:r>
      <w:r>
        <w:rPr>
          <w:rFonts w:ascii="Times New Roman" w:hAnsi="Times New Roman" w:cs="Times New Roman"/>
          <w:sz w:val="24"/>
          <w:szCs w:val="24"/>
          <w:lang w:val="hr-HR"/>
        </w:rPr>
        <w:t xml:space="preserve"> – </w:t>
      </w:r>
      <w:r w:rsidRPr="00BC6A7A">
        <w:rPr>
          <w:rFonts w:ascii="Times New Roman" w:hAnsi="Times New Roman" w:cs="Times New Roman"/>
          <w:sz w:val="24"/>
          <w:szCs w:val="24"/>
          <w:lang w:val="hr-HR"/>
        </w:rPr>
        <w:t>Hrvatska udruga data centara</w:t>
      </w:r>
    </w:p>
    <w:p w14:paraId="1CBB630E" w14:textId="15BDF636" w:rsidR="00307587" w:rsidRPr="00896667" w:rsidRDefault="00307587" w:rsidP="007477E7">
      <w:pPr>
        <w:rPr>
          <w:rFonts w:ascii="Times New Roman" w:hAnsi="Times New Roman" w:cs="Times New Roman"/>
          <w:i/>
          <w:iCs/>
          <w:sz w:val="24"/>
          <w:szCs w:val="24"/>
          <w:lang w:val="hr-HR"/>
        </w:rPr>
      </w:pPr>
      <w:r w:rsidRPr="00307587">
        <w:rPr>
          <w:rFonts w:ascii="Times New Roman" w:hAnsi="Times New Roman" w:cs="Times New Roman"/>
          <w:sz w:val="24"/>
          <w:szCs w:val="24"/>
          <w:lang w:val="hr-HR"/>
        </w:rPr>
        <w:t xml:space="preserve">HUDERIA – metodologija Vijeća Europe za procjenu rizika i učinaka sustava umjetne inteligencije na ljudska prava, demokraciju i vladavinu prava </w:t>
      </w:r>
      <w:r w:rsidRPr="00896667">
        <w:rPr>
          <w:rFonts w:ascii="Times New Roman" w:hAnsi="Times New Roman" w:cs="Times New Roman"/>
          <w:i/>
          <w:iCs/>
          <w:sz w:val="24"/>
          <w:szCs w:val="24"/>
          <w:lang w:val="hr-HR"/>
        </w:rPr>
        <w:t>(eng. Human Rights, Democracy and Rule of Law Impact Assessment)</w:t>
      </w:r>
    </w:p>
    <w:p w14:paraId="05F35582" w14:textId="61F2DB77" w:rsidR="00A92377" w:rsidRDefault="00A92377" w:rsidP="007477E7">
      <w:pPr>
        <w:rPr>
          <w:rFonts w:ascii="Times New Roman" w:hAnsi="Times New Roman" w:cs="Times New Roman"/>
          <w:sz w:val="24"/>
          <w:szCs w:val="24"/>
          <w:lang w:val="hr-HR"/>
        </w:rPr>
      </w:pPr>
      <w:r w:rsidRPr="00A92377">
        <w:rPr>
          <w:rFonts w:ascii="Times New Roman" w:hAnsi="Times New Roman" w:cs="Times New Roman"/>
          <w:sz w:val="24"/>
          <w:szCs w:val="24"/>
          <w:lang w:val="hr-HR"/>
        </w:rPr>
        <w:t>HUP-ICT</w:t>
      </w:r>
      <w:r>
        <w:rPr>
          <w:rFonts w:ascii="Times New Roman" w:hAnsi="Times New Roman" w:cs="Times New Roman"/>
          <w:sz w:val="24"/>
          <w:szCs w:val="24"/>
          <w:lang w:val="hr-HR"/>
        </w:rPr>
        <w:t xml:space="preserve"> </w:t>
      </w:r>
      <w:r w:rsidRPr="00307587">
        <w:rPr>
          <w:rFonts w:ascii="Times New Roman" w:hAnsi="Times New Roman" w:cs="Times New Roman"/>
          <w:sz w:val="24"/>
          <w:szCs w:val="24"/>
          <w:lang w:val="hr-HR"/>
        </w:rPr>
        <w:t>–</w:t>
      </w:r>
      <w:r>
        <w:rPr>
          <w:rFonts w:ascii="Times New Roman" w:hAnsi="Times New Roman" w:cs="Times New Roman"/>
          <w:sz w:val="24"/>
          <w:szCs w:val="24"/>
          <w:lang w:val="hr-HR"/>
        </w:rPr>
        <w:t xml:space="preserve"> </w:t>
      </w:r>
      <w:r w:rsidRPr="00A92377">
        <w:rPr>
          <w:rFonts w:ascii="Times New Roman" w:hAnsi="Times New Roman" w:cs="Times New Roman"/>
          <w:sz w:val="24"/>
          <w:szCs w:val="24"/>
          <w:lang w:val="hr-HR"/>
        </w:rPr>
        <w:t>Udruga informatičke i komunikacijske djelatnosti Hrvatske udruge poslodavaca</w:t>
      </w:r>
    </w:p>
    <w:p w14:paraId="7AADF069" w14:textId="74D4163A" w:rsidR="00C00961" w:rsidRDefault="00C00961" w:rsidP="007477E7">
      <w:pPr>
        <w:rPr>
          <w:rFonts w:ascii="Times New Roman" w:hAnsi="Times New Roman" w:cs="Times New Roman"/>
          <w:sz w:val="24"/>
          <w:szCs w:val="24"/>
          <w:lang w:val="hr-HR"/>
        </w:rPr>
      </w:pPr>
      <w:r w:rsidRPr="00C00961">
        <w:rPr>
          <w:rFonts w:ascii="Times New Roman" w:hAnsi="Times New Roman" w:cs="Times New Roman"/>
          <w:sz w:val="24"/>
          <w:szCs w:val="24"/>
          <w:lang w:val="hr-HR"/>
        </w:rPr>
        <w:t>HZZ</w:t>
      </w:r>
      <w:r>
        <w:rPr>
          <w:rFonts w:ascii="Times New Roman" w:hAnsi="Times New Roman" w:cs="Times New Roman"/>
          <w:sz w:val="24"/>
          <w:szCs w:val="24"/>
          <w:lang w:val="hr-HR"/>
        </w:rPr>
        <w:t xml:space="preserve"> </w:t>
      </w:r>
      <w:r w:rsidRPr="00307587">
        <w:rPr>
          <w:rFonts w:ascii="Times New Roman" w:hAnsi="Times New Roman" w:cs="Times New Roman"/>
          <w:sz w:val="24"/>
          <w:szCs w:val="24"/>
          <w:lang w:val="hr-HR"/>
        </w:rPr>
        <w:t>–</w:t>
      </w:r>
      <w:r>
        <w:rPr>
          <w:rFonts w:ascii="Times New Roman" w:hAnsi="Times New Roman" w:cs="Times New Roman"/>
          <w:sz w:val="24"/>
          <w:szCs w:val="24"/>
          <w:lang w:val="hr-HR"/>
        </w:rPr>
        <w:t xml:space="preserve"> </w:t>
      </w:r>
      <w:r w:rsidRPr="00C00961">
        <w:rPr>
          <w:rFonts w:ascii="Times New Roman" w:hAnsi="Times New Roman" w:cs="Times New Roman"/>
          <w:sz w:val="24"/>
          <w:szCs w:val="24"/>
          <w:lang w:val="hr-HR"/>
        </w:rPr>
        <w:t>Hrvatski zavod za zapošljavanje</w:t>
      </w:r>
    </w:p>
    <w:p w14:paraId="65C528F2" w14:textId="4F408EAA"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IKT – Informacijska i komunikacijska tehnologija</w:t>
      </w:r>
    </w:p>
    <w:p w14:paraId="343BD7EA" w14:textId="77777777" w:rsidR="00035178" w:rsidRPr="00A609CA" w:rsidRDefault="00035178" w:rsidP="00035178">
      <w:pPr>
        <w:rPr>
          <w:rFonts w:ascii="Times New Roman" w:hAnsi="Times New Roman" w:cs="Times New Roman"/>
          <w:i/>
          <w:iCs/>
          <w:sz w:val="24"/>
          <w:szCs w:val="24"/>
          <w:lang w:val="hr-HR"/>
        </w:rPr>
      </w:pPr>
      <w:r>
        <w:rPr>
          <w:rFonts w:ascii="Times New Roman" w:hAnsi="Times New Roman" w:cs="Times New Roman"/>
          <w:sz w:val="24"/>
          <w:szCs w:val="24"/>
          <w:lang w:val="hr-HR"/>
        </w:rPr>
        <w:t>IPCEI AI – Važan projekt od zajedničkog europskog interesa za umjetnu inteligenciju (</w:t>
      </w:r>
      <w:r>
        <w:rPr>
          <w:rFonts w:ascii="Times New Roman" w:hAnsi="Times New Roman" w:cs="Times New Roman"/>
          <w:i/>
          <w:iCs/>
          <w:sz w:val="24"/>
          <w:szCs w:val="24"/>
          <w:lang w:val="hr-HR"/>
        </w:rPr>
        <w:t xml:space="preserve">eng. </w:t>
      </w:r>
      <w:r>
        <w:rPr>
          <w:rFonts w:ascii="Times New Roman" w:hAnsi="Times New Roman"/>
          <w:i/>
          <w:sz w:val="24"/>
          <w:lang w:val="en-GB"/>
        </w:rPr>
        <w:t>Important Project of Common European Interest on Artificial Intelligence</w:t>
      </w:r>
      <w:r>
        <w:rPr>
          <w:rFonts w:ascii="Times New Roman" w:hAnsi="Times New Roman" w:cs="Times New Roman"/>
          <w:i/>
          <w:iCs/>
          <w:sz w:val="24"/>
          <w:szCs w:val="24"/>
          <w:lang w:val="hr-HR"/>
        </w:rPr>
        <w:t>)</w:t>
      </w:r>
    </w:p>
    <w:p w14:paraId="57C0AD8B"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JKC – Jedinstveni kontaktni centar</w:t>
      </w:r>
    </w:p>
    <w:p w14:paraId="1F5BBB7E" w14:textId="77777777" w:rsidR="000014D8" w:rsidRPr="00896667" w:rsidRDefault="000014D8" w:rsidP="007477E7">
      <w:pPr>
        <w:rPr>
          <w:rFonts w:ascii="Times New Roman" w:hAnsi="Times New Roman" w:cs="Times New Roman"/>
          <w:i/>
          <w:iCs/>
          <w:sz w:val="24"/>
          <w:szCs w:val="24"/>
          <w:lang w:val="hr-HR"/>
        </w:rPr>
      </w:pPr>
      <w:r w:rsidRPr="000014D8">
        <w:rPr>
          <w:rFonts w:ascii="Times New Roman" w:hAnsi="Times New Roman" w:cs="Times New Roman"/>
          <w:sz w:val="24"/>
          <w:szCs w:val="24"/>
          <w:lang w:val="hr-HR"/>
        </w:rPr>
        <w:t xml:space="preserve">LLM – Veliki jezični model </w:t>
      </w:r>
      <w:r w:rsidRPr="00896667">
        <w:rPr>
          <w:rFonts w:ascii="Times New Roman" w:hAnsi="Times New Roman" w:cs="Times New Roman"/>
          <w:i/>
          <w:iCs/>
          <w:sz w:val="24"/>
          <w:szCs w:val="24"/>
          <w:lang w:val="hr-HR"/>
        </w:rPr>
        <w:t>(eng. Large Language Model)</w:t>
      </w:r>
    </w:p>
    <w:p w14:paraId="64126A2E" w14:textId="7018F00E" w:rsidR="007D2D18" w:rsidRDefault="007D2D18" w:rsidP="007477E7">
      <w:pPr>
        <w:rPr>
          <w:rFonts w:ascii="Times New Roman" w:hAnsi="Times New Roman" w:cs="Times New Roman"/>
          <w:sz w:val="24"/>
          <w:szCs w:val="24"/>
          <w:lang w:val="hr-HR"/>
        </w:rPr>
      </w:pPr>
      <w:r>
        <w:rPr>
          <w:rFonts w:ascii="Times New Roman" w:hAnsi="Times New Roman" w:cs="Times New Roman"/>
          <w:sz w:val="24"/>
          <w:szCs w:val="24"/>
          <w:lang w:val="hr-HR"/>
        </w:rPr>
        <w:t>MFIN – Ministarstvo financija</w:t>
      </w:r>
    </w:p>
    <w:p w14:paraId="15CEA157" w14:textId="7C0EEFCC"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mil. – Milijun</w:t>
      </w:r>
    </w:p>
    <w:p w14:paraId="126FA3C9" w14:textId="3BA7FDB7" w:rsidR="003B0962" w:rsidRDefault="003B0962" w:rsidP="007477E7">
      <w:pPr>
        <w:rPr>
          <w:rFonts w:ascii="Times New Roman" w:hAnsi="Times New Roman" w:cs="Times New Roman"/>
          <w:sz w:val="24"/>
          <w:szCs w:val="24"/>
          <w:lang w:val="hr-HR"/>
        </w:rPr>
      </w:pPr>
      <w:r>
        <w:rPr>
          <w:rFonts w:ascii="Times New Roman" w:hAnsi="Times New Roman" w:cs="Times New Roman"/>
          <w:sz w:val="24"/>
          <w:szCs w:val="24"/>
          <w:lang w:val="hr-HR"/>
        </w:rPr>
        <w:t>MINGO – Ministarstvo gospodarstva</w:t>
      </w:r>
    </w:p>
    <w:p w14:paraId="7D905637" w14:textId="131FCE1B" w:rsidR="008E3A6C" w:rsidRDefault="008E3A6C" w:rsidP="007477E7">
      <w:pPr>
        <w:rPr>
          <w:rFonts w:ascii="Times New Roman" w:hAnsi="Times New Roman" w:cs="Times New Roman"/>
          <w:sz w:val="24"/>
          <w:szCs w:val="24"/>
          <w:lang w:val="hr-HR"/>
        </w:rPr>
      </w:pPr>
      <w:r w:rsidRPr="008E3A6C">
        <w:rPr>
          <w:rFonts w:ascii="Times New Roman" w:hAnsi="Times New Roman" w:cs="Times New Roman"/>
          <w:sz w:val="24"/>
          <w:szCs w:val="24"/>
          <w:lang w:val="hr-HR"/>
        </w:rPr>
        <w:lastRenderedPageBreak/>
        <w:t>MINTS</w:t>
      </w:r>
      <w:r>
        <w:rPr>
          <w:rFonts w:ascii="Times New Roman" w:hAnsi="Times New Roman" w:cs="Times New Roman"/>
          <w:sz w:val="24"/>
          <w:szCs w:val="24"/>
          <w:lang w:val="hr-HR"/>
        </w:rPr>
        <w:t xml:space="preserve"> – </w:t>
      </w:r>
      <w:r w:rsidRPr="008E3A6C">
        <w:rPr>
          <w:rFonts w:ascii="Times New Roman" w:hAnsi="Times New Roman" w:cs="Times New Roman"/>
          <w:sz w:val="24"/>
          <w:szCs w:val="24"/>
          <w:lang w:val="hr-HR"/>
        </w:rPr>
        <w:t>Ministarstvo turizma i sporta</w:t>
      </w:r>
    </w:p>
    <w:p w14:paraId="70475D7A" w14:textId="7E5DC1A8" w:rsidR="000F05C1" w:rsidRDefault="000F05C1" w:rsidP="007477E7">
      <w:pPr>
        <w:rPr>
          <w:rFonts w:ascii="Times New Roman" w:hAnsi="Times New Roman" w:cs="Times New Roman"/>
          <w:sz w:val="24"/>
          <w:szCs w:val="24"/>
          <w:lang w:val="hr-HR"/>
        </w:rPr>
      </w:pPr>
      <w:r w:rsidRPr="000F05C1">
        <w:rPr>
          <w:rFonts w:ascii="Times New Roman" w:hAnsi="Times New Roman" w:cs="Times New Roman"/>
          <w:sz w:val="24"/>
          <w:szCs w:val="24"/>
          <w:lang w:val="hr-HR"/>
        </w:rPr>
        <w:t>MIZ</w:t>
      </w:r>
      <w:r>
        <w:rPr>
          <w:rFonts w:ascii="Times New Roman" w:hAnsi="Times New Roman" w:cs="Times New Roman"/>
          <w:sz w:val="24"/>
          <w:szCs w:val="24"/>
          <w:lang w:val="hr-HR"/>
        </w:rPr>
        <w:t xml:space="preserve"> – </w:t>
      </w:r>
      <w:r w:rsidRPr="000F05C1">
        <w:rPr>
          <w:rFonts w:ascii="Times New Roman" w:hAnsi="Times New Roman" w:cs="Times New Roman"/>
          <w:sz w:val="24"/>
          <w:szCs w:val="24"/>
          <w:lang w:val="hr-HR"/>
        </w:rPr>
        <w:t>Ministarstvo zdravstva</w:t>
      </w:r>
    </w:p>
    <w:p w14:paraId="10EE071A" w14:textId="429BDBAD" w:rsidR="003075EE" w:rsidRDefault="003075EE" w:rsidP="007477E7">
      <w:pPr>
        <w:rPr>
          <w:rFonts w:ascii="Times New Roman" w:hAnsi="Times New Roman" w:cs="Times New Roman"/>
          <w:sz w:val="24"/>
          <w:szCs w:val="24"/>
          <w:lang w:val="hr-HR"/>
        </w:rPr>
      </w:pPr>
      <w:r>
        <w:rPr>
          <w:rFonts w:ascii="Times New Roman" w:hAnsi="Times New Roman" w:cs="Times New Roman"/>
          <w:sz w:val="24"/>
          <w:szCs w:val="24"/>
          <w:lang w:val="hr-HR"/>
        </w:rPr>
        <w:t xml:space="preserve">MKM – </w:t>
      </w:r>
      <w:r w:rsidRPr="003075EE">
        <w:rPr>
          <w:rFonts w:ascii="Times New Roman" w:hAnsi="Times New Roman" w:cs="Times New Roman"/>
          <w:sz w:val="24"/>
          <w:szCs w:val="24"/>
          <w:lang w:val="hr-HR"/>
        </w:rPr>
        <w:t>Ministarstvo kulture i medija</w:t>
      </w:r>
    </w:p>
    <w:p w14:paraId="3310330A" w14:textId="7F0C2B82"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mlrd. – Milijarda</w:t>
      </w:r>
    </w:p>
    <w:p w14:paraId="41A1DB81" w14:textId="374B9541" w:rsidR="00D25959" w:rsidRDefault="00D25959" w:rsidP="00D25959">
      <w:pPr>
        <w:rPr>
          <w:rFonts w:ascii="Times New Roman" w:hAnsi="Times New Roman" w:cs="Times New Roman"/>
          <w:sz w:val="24"/>
          <w:szCs w:val="24"/>
          <w:lang w:val="hr-HR"/>
        </w:rPr>
      </w:pPr>
      <w:r>
        <w:rPr>
          <w:rFonts w:ascii="Times New Roman" w:hAnsi="Times New Roman" w:cs="Times New Roman"/>
          <w:sz w:val="24"/>
          <w:szCs w:val="24"/>
          <w:lang w:val="hr-HR"/>
        </w:rPr>
        <w:t>MMPI – Ministarstvo mora, prometa i infrastrukture</w:t>
      </w:r>
    </w:p>
    <w:p w14:paraId="66329073" w14:textId="5BAF21BB" w:rsidR="00DD58AB" w:rsidRDefault="00DD58AB" w:rsidP="007477E7">
      <w:pPr>
        <w:rPr>
          <w:rFonts w:ascii="Times New Roman" w:hAnsi="Times New Roman" w:cs="Times New Roman"/>
          <w:sz w:val="24"/>
          <w:szCs w:val="24"/>
          <w:lang w:val="hr-HR"/>
        </w:rPr>
      </w:pPr>
      <w:r w:rsidRPr="00DD58AB">
        <w:rPr>
          <w:rFonts w:ascii="Times New Roman" w:hAnsi="Times New Roman" w:cs="Times New Roman"/>
          <w:sz w:val="24"/>
          <w:szCs w:val="24"/>
          <w:lang w:val="hr-HR"/>
        </w:rPr>
        <w:t>MORH</w:t>
      </w:r>
      <w:r>
        <w:rPr>
          <w:rFonts w:ascii="Times New Roman" w:hAnsi="Times New Roman" w:cs="Times New Roman"/>
          <w:sz w:val="24"/>
          <w:szCs w:val="24"/>
          <w:lang w:val="hr-HR"/>
        </w:rPr>
        <w:t xml:space="preserve"> – </w:t>
      </w:r>
      <w:r w:rsidRPr="00DD58AB">
        <w:rPr>
          <w:rFonts w:ascii="Times New Roman" w:hAnsi="Times New Roman" w:cs="Times New Roman"/>
          <w:sz w:val="24"/>
          <w:szCs w:val="24"/>
          <w:lang w:val="hr-HR"/>
        </w:rPr>
        <w:t>Ministarstvo obrane</w:t>
      </w:r>
    </w:p>
    <w:p w14:paraId="6D63CEF6" w14:textId="51452F40" w:rsidR="009C0318" w:rsidRDefault="009C0318" w:rsidP="007477E7">
      <w:pPr>
        <w:rPr>
          <w:rFonts w:ascii="Times New Roman" w:hAnsi="Times New Roman" w:cs="Times New Roman"/>
          <w:sz w:val="24"/>
          <w:szCs w:val="24"/>
          <w:lang w:val="hr-HR"/>
        </w:rPr>
      </w:pPr>
      <w:r w:rsidRPr="009C0318">
        <w:rPr>
          <w:rFonts w:ascii="Times New Roman" w:hAnsi="Times New Roman" w:cs="Times New Roman"/>
          <w:sz w:val="24"/>
          <w:szCs w:val="24"/>
          <w:lang w:val="hr-HR"/>
        </w:rPr>
        <w:t>MPŠR</w:t>
      </w:r>
      <w:r w:rsidRPr="009C0318">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9C0318">
        <w:rPr>
          <w:rFonts w:ascii="Times New Roman" w:hAnsi="Times New Roman" w:cs="Times New Roman"/>
          <w:sz w:val="24"/>
          <w:szCs w:val="24"/>
          <w:lang w:val="hr-HR"/>
        </w:rPr>
        <w:t>Ministarstvo poljoprivrede, šumarstva i ribarstva</w:t>
      </w:r>
    </w:p>
    <w:p w14:paraId="0F82D576" w14:textId="5CE236F9"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MPUDT – Ministarstvo pravosuđa, uprave i digitalne transformacije</w:t>
      </w:r>
    </w:p>
    <w:p w14:paraId="2943C6A4"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MR – Magnetska rezonancija</w:t>
      </w:r>
    </w:p>
    <w:p w14:paraId="0810F174" w14:textId="086836C1" w:rsidR="00357126" w:rsidRDefault="00357126" w:rsidP="00F22E94">
      <w:pPr>
        <w:rPr>
          <w:rFonts w:ascii="Times New Roman" w:hAnsi="Times New Roman" w:cs="Times New Roman"/>
          <w:sz w:val="24"/>
          <w:szCs w:val="24"/>
          <w:lang w:val="hr-HR"/>
        </w:rPr>
      </w:pPr>
      <w:r w:rsidRPr="00357126">
        <w:rPr>
          <w:rFonts w:ascii="Times New Roman" w:hAnsi="Times New Roman" w:cs="Times New Roman"/>
          <w:sz w:val="24"/>
          <w:szCs w:val="24"/>
          <w:lang w:val="hr-HR"/>
        </w:rPr>
        <w:t>MROSP</w:t>
      </w:r>
      <w:r>
        <w:rPr>
          <w:rFonts w:ascii="Times New Roman" w:hAnsi="Times New Roman" w:cs="Times New Roman"/>
          <w:sz w:val="24"/>
          <w:szCs w:val="24"/>
          <w:lang w:val="hr-HR"/>
        </w:rPr>
        <w:t xml:space="preserve"> – </w:t>
      </w:r>
      <w:r w:rsidRPr="00357126">
        <w:rPr>
          <w:rFonts w:ascii="Times New Roman" w:hAnsi="Times New Roman" w:cs="Times New Roman"/>
          <w:sz w:val="24"/>
          <w:szCs w:val="24"/>
          <w:lang w:val="hr-HR"/>
        </w:rPr>
        <w:t>Ministarstvo rada, mirovinskoga sustava, obitelji i socijalne politike</w:t>
      </w:r>
    </w:p>
    <w:p w14:paraId="599CEA5A" w14:textId="5CB432E2" w:rsidR="00DC08F4" w:rsidRDefault="00DC08F4" w:rsidP="00F22E94">
      <w:pPr>
        <w:rPr>
          <w:rFonts w:ascii="Times New Roman" w:hAnsi="Times New Roman" w:cs="Times New Roman"/>
          <w:sz w:val="24"/>
          <w:szCs w:val="24"/>
          <w:lang w:val="hr-HR"/>
        </w:rPr>
      </w:pPr>
      <w:r>
        <w:rPr>
          <w:rFonts w:ascii="Times New Roman" w:hAnsi="Times New Roman" w:cs="Times New Roman"/>
          <w:sz w:val="24"/>
          <w:szCs w:val="24"/>
          <w:lang w:val="hr-HR"/>
        </w:rPr>
        <w:t xml:space="preserve">MRRFEU – </w:t>
      </w:r>
      <w:r w:rsidRPr="00DC08F4">
        <w:rPr>
          <w:rFonts w:ascii="Times New Roman" w:hAnsi="Times New Roman" w:cs="Times New Roman"/>
          <w:sz w:val="24"/>
          <w:szCs w:val="24"/>
          <w:lang w:val="hr-HR"/>
        </w:rPr>
        <w:t>Ministarstvo regionalnoga razvoja i fondova Europske unije</w:t>
      </w:r>
    </w:p>
    <w:p w14:paraId="282852F4" w14:textId="77777777"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MSP – Mala i srednja poduzeća</w:t>
      </w:r>
    </w:p>
    <w:p w14:paraId="05A6E706" w14:textId="216ACFA1" w:rsidR="007D2D18" w:rsidRDefault="007D2D18" w:rsidP="007477E7">
      <w:pPr>
        <w:rPr>
          <w:rFonts w:ascii="Times New Roman" w:hAnsi="Times New Roman" w:cs="Times New Roman"/>
          <w:sz w:val="24"/>
          <w:szCs w:val="24"/>
          <w:lang w:val="hr-HR"/>
        </w:rPr>
      </w:pPr>
      <w:r>
        <w:rPr>
          <w:rFonts w:ascii="Times New Roman" w:hAnsi="Times New Roman" w:cs="Times New Roman"/>
          <w:sz w:val="24"/>
          <w:szCs w:val="24"/>
          <w:lang w:val="hr-HR"/>
        </w:rPr>
        <w:t xml:space="preserve">MUP – Ministarstvo unutarnjih poslova </w:t>
      </w:r>
    </w:p>
    <w:p w14:paraId="2E031828" w14:textId="68D67081"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MZOM – Ministarstvo znanosti, obrazovanja i mladih</w:t>
      </w:r>
    </w:p>
    <w:p w14:paraId="6F23CC98" w14:textId="273C0EBB" w:rsidR="00F373D1" w:rsidRDefault="00F373D1" w:rsidP="007477E7">
      <w:pPr>
        <w:rPr>
          <w:rFonts w:ascii="Times New Roman" w:hAnsi="Times New Roman" w:cs="Times New Roman"/>
          <w:sz w:val="24"/>
          <w:szCs w:val="24"/>
          <w:lang w:val="hr-HR"/>
        </w:rPr>
      </w:pPr>
      <w:r>
        <w:rPr>
          <w:rFonts w:ascii="Times New Roman" w:hAnsi="Times New Roman" w:cs="Times New Roman"/>
          <w:sz w:val="24"/>
          <w:szCs w:val="24"/>
          <w:lang w:val="hr-HR"/>
        </w:rPr>
        <w:t xml:space="preserve">NATO – </w:t>
      </w:r>
      <w:r w:rsidRPr="00F373D1">
        <w:rPr>
          <w:rFonts w:ascii="Times New Roman" w:hAnsi="Times New Roman" w:cs="Times New Roman"/>
          <w:sz w:val="24"/>
          <w:szCs w:val="24"/>
          <w:lang w:val="hr-HR"/>
        </w:rPr>
        <w:t>Organizacija Sjevernoatlantskog ugovora</w:t>
      </w:r>
      <w:r>
        <w:rPr>
          <w:rFonts w:ascii="Times New Roman" w:hAnsi="Times New Roman" w:cs="Times New Roman"/>
          <w:sz w:val="24"/>
          <w:szCs w:val="24"/>
          <w:lang w:val="hr-HR"/>
        </w:rPr>
        <w:t xml:space="preserve"> </w:t>
      </w:r>
      <w:r w:rsidRPr="00896667">
        <w:rPr>
          <w:rFonts w:ascii="Times New Roman" w:hAnsi="Times New Roman" w:cs="Times New Roman"/>
          <w:i/>
          <w:iCs/>
          <w:sz w:val="24"/>
          <w:szCs w:val="24"/>
          <w:lang w:val="hr-HR"/>
        </w:rPr>
        <w:t>(eng. North Atlantic Treaty Organization)</w:t>
      </w:r>
    </w:p>
    <w:p w14:paraId="1D6A01AC" w14:textId="2130FB42" w:rsidR="00035178" w:rsidRDefault="00035178" w:rsidP="007477E7">
      <w:pPr>
        <w:rPr>
          <w:rFonts w:ascii="Times New Roman" w:hAnsi="Times New Roman" w:cs="Times New Roman"/>
          <w:sz w:val="24"/>
          <w:szCs w:val="24"/>
          <w:lang w:val="hr-HR"/>
        </w:rPr>
      </w:pPr>
      <w:r>
        <w:rPr>
          <w:rFonts w:ascii="Times New Roman" w:hAnsi="Times New Roman" w:cs="Times New Roman"/>
          <w:sz w:val="24"/>
          <w:szCs w:val="24"/>
          <w:lang w:val="hr-HR"/>
        </w:rPr>
        <w:t>NN – Narodne novine</w:t>
      </w:r>
    </w:p>
    <w:p w14:paraId="38C74A9B" w14:textId="2A64B194" w:rsidR="00C56906" w:rsidRDefault="00C56906" w:rsidP="007477E7">
      <w:pPr>
        <w:rPr>
          <w:rFonts w:ascii="Times New Roman" w:hAnsi="Times New Roman" w:cs="Times New Roman"/>
          <w:sz w:val="24"/>
          <w:szCs w:val="24"/>
          <w:lang w:val="hr-HR"/>
        </w:rPr>
      </w:pPr>
      <w:r>
        <w:rPr>
          <w:rFonts w:ascii="Times New Roman" w:hAnsi="Times New Roman" w:cs="Times New Roman"/>
          <w:sz w:val="24"/>
          <w:szCs w:val="24"/>
          <w:lang w:val="hr-HR"/>
        </w:rPr>
        <w:t>NVDT – Nacionalno vijeće za digitalnu transformaciju</w:t>
      </w:r>
    </w:p>
    <w:p w14:paraId="0EE435C8" w14:textId="5432B7F0" w:rsidR="007477E7" w:rsidRPr="00F71116" w:rsidRDefault="007477E7" w:rsidP="007477E7">
      <w:pPr>
        <w:rPr>
          <w:rFonts w:ascii="Times New Roman" w:hAnsi="Times New Roman" w:cs="Times New Roman"/>
          <w:i/>
          <w:iCs/>
          <w:sz w:val="24"/>
          <w:szCs w:val="24"/>
          <w:lang w:val="hr-HR"/>
        </w:rPr>
      </w:pPr>
      <w:r>
        <w:rPr>
          <w:rFonts w:ascii="Times New Roman" w:hAnsi="Times New Roman" w:cs="Times New Roman"/>
          <w:sz w:val="24"/>
          <w:szCs w:val="24"/>
          <w:lang w:val="hr-HR"/>
        </w:rPr>
        <w:t xml:space="preserve">OECD – Organizacija za ekonomsku suradnju i razvoj </w:t>
      </w:r>
      <w:r w:rsidRPr="00896667">
        <w:rPr>
          <w:rFonts w:ascii="Times New Roman" w:hAnsi="Times New Roman" w:cs="Times New Roman"/>
          <w:i/>
          <w:iCs/>
          <w:sz w:val="24"/>
          <w:szCs w:val="24"/>
          <w:lang w:val="hr-HR"/>
        </w:rPr>
        <w:t xml:space="preserve">(eng. </w:t>
      </w:r>
      <w:r w:rsidRPr="00F71116">
        <w:rPr>
          <w:rFonts w:ascii="Times New Roman" w:hAnsi="Times New Roman"/>
          <w:i/>
          <w:iCs/>
          <w:color w:val="000000"/>
          <w:sz w:val="24"/>
          <w:lang w:val="en-GB"/>
        </w:rPr>
        <w:t>Organisation for Economic Co-operation and Development</w:t>
      </w:r>
      <w:r w:rsidRPr="00F71116">
        <w:rPr>
          <w:rFonts w:ascii="Times New Roman" w:hAnsi="Times New Roman" w:cs="Times New Roman"/>
          <w:i/>
          <w:iCs/>
          <w:sz w:val="24"/>
          <w:szCs w:val="24"/>
          <w:lang w:val="hr-HR"/>
        </w:rPr>
        <w:t>)</w:t>
      </w:r>
    </w:p>
    <w:p w14:paraId="1F53E9E4" w14:textId="456FB264" w:rsidR="00082AAE" w:rsidRDefault="00082AAE" w:rsidP="007477E7">
      <w:pPr>
        <w:rPr>
          <w:rFonts w:ascii="Times New Roman" w:hAnsi="Times New Roman" w:cs="Times New Roman"/>
          <w:sz w:val="24"/>
          <w:szCs w:val="24"/>
          <w:lang w:val="hr-HR"/>
        </w:rPr>
      </w:pPr>
      <w:r w:rsidRPr="00082AAE">
        <w:rPr>
          <w:rFonts w:ascii="Times New Roman" w:hAnsi="Times New Roman" w:cs="Times New Roman"/>
          <w:sz w:val="24"/>
          <w:szCs w:val="24"/>
          <w:lang w:val="hr-HR"/>
        </w:rPr>
        <w:t>RITEH</w:t>
      </w:r>
      <w:r w:rsidRPr="00082AAE">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082AAE">
        <w:rPr>
          <w:rFonts w:ascii="Times New Roman" w:hAnsi="Times New Roman" w:cs="Times New Roman"/>
          <w:sz w:val="24"/>
          <w:szCs w:val="24"/>
          <w:lang w:val="hr-HR"/>
        </w:rPr>
        <w:t>–</w:t>
      </w:r>
      <w:r>
        <w:rPr>
          <w:rFonts w:ascii="Times New Roman" w:hAnsi="Times New Roman" w:cs="Times New Roman"/>
          <w:sz w:val="24"/>
          <w:szCs w:val="24"/>
          <w:lang w:val="hr-HR"/>
        </w:rPr>
        <w:t xml:space="preserve"> </w:t>
      </w:r>
      <w:r w:rsidRPr="00082AAE">
        <w:rPr>
          <w:rFonts w:ascii="Times New Roman" w:hAnsi="Times New Roman" w:cs="Times New Roman"/>
          <w:sz w:val="24"/>
          <w:szCs w:val="24"/>
          <w:lang w:val="hr-HR"/>
        </w:rPr>
        <w:t>Tehnički fakultet Sveučilišta u Rijeci</w:t>
      </w:r>
    </w:p>
    <w:p w14:paraId="5A063591" w14:textId="36A2D1B5" w:rsidR="00A151CB" w:rsidRPr="00896667" w:rsidRDefault="00A151CB" w:rsidP="007477E7">
      <w:pPr>
        <w:rPr>
          <w:rFonts w:ascii="Times New Roman" w:hAnsi="Times New Roman" w:cs="Times New Roman"/>
          <w:i/>
          <w:iCs/>
          <w:sz w:val="24"/>
          <w:szCs w:val="24"/>
          <w:lang w:val="hr-HR"/>
        </w:rPr>
      </w:pPr>
      <w:r w:rsidRPr="00A151CB">
        <w:rPr>
          <w:rFonts w:ascii="Times New Roman" w:hAnsi="Times New Roman" w:cs="Times New Roman"/>
          <w:sz w:val="24"/>
          <w:szCs w:val="24"/>
          <w:lang w:val="hr-HR"/>
        </w:rPr>
        <w:t xml:space="preserve">SCADA – Sustav nadzornog upravljanja i prikupljanja podataka </w:t>
      </w:r>
      <w:r w:rsidRPr="00896667">
        <w:rPr>
          <w:rFonts w:ascii="Times New Roman" w:hAnsi="Times New Roman" w:cs="Times New Roman"/>
          <w:i/>
          <w:iCs/>
          <w:sz w:val="24"/>
          <w:szCs w:val="24"/>
          <w:lang w:val="hr-HR"/>
        </w:rPr>
        <w:t>(eng. Supervisory Control and Data Acquisition)</w:t>
      </w:r>
    </w:p>
    <w:p w14:paraId="0671A2A4" w14:textId="0A46D280" w:rsidR="007477E7" w:rsidRPr="00A609CA"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S3 – Strategija pametne specijalizacije Republike Hrvatske za razdoblje do 2029. godine</w:t>
      </w:r>
    </w:p>
    <w:p w14:paraId="3FE9FBBA" w14:textId="11705705" w:rsidR="008134F2" w:rsidRPr="008134F2" w:rsidRDefault="008134F2" w:rsidP="008134F2">
      <w:pPr>
        <w:rPr>
          <w:rFonts w:ascii="Times New Roman" w:hAnsi="Times New Roman" w:cs="Times New Roman"/>
          <w:sz w:val="24"/>
          <w:szCs w:val="24"/>
          <w:lang w:val="hr-HR"/>
        </w:rPr>
      </w:pPr>
      <w:r w:rsidRPr="008134F2">
        <w:rPr>
          <w:rFonts w:ascii="Times New Roman" w:hAnsi="Times New Roman" w:cs="Times New Roman"/>
          <w:sz w:val="24"/>
          <w:szCs w:val="24"/>
          <w:lang w:val="hr-HR"/>
        </w:rPr>
        <w:t>SOA</w:t>
      </w:r>
      <w:r>
        <w:rPr>
          <w:rFonts w:ascii="Times New Roman" w:hAnsi="Times New Roman" w:cs="Times New Roman"/>
          <w:sz w:val="24"/>
          <w:szCs w:val="24"/>
          <w:lang w:val="hr-HR"/>
        </w:rPr>
        <w:t xml:space="preserve"> –</w:t>
      </w:r>
      <w:r w:rsidRPr="008134F2">
        <w:rPr>
          <w:rFonts w:ascii="Times New Roman" w:hAnsi="Times New Roman" w:cs="Times New Roman"/>
          <w:sz w:val="24"/>
          <w:szCs w:val="24"/>
          <w:lang w:val="hr-HR"/>
        </w:rPr>
        <w:tab/>
        <w:t>Sigurnosno-obavještajna agencija</w:t>
      </w:r>
    </w:p>
    <w:p w14:paraId="1280C98D" w14:textId="5AC498DB" w:rsidR="008134F2" w:rsidRDefault="008134F2" w:rsidP="008134F2">
      <w:pPr>
        <w:rPr>
          <w:rFonts w:ascii="Times New Roman" w:hAnsi="Times New Roman" w:cs="Times New Roman"/>
          <w:sz w:val="24"/>
          <w:szCs w:val="24"/>
          <w:lang w:val="hr-HR"/>
        </w:rPr>
      </w:pPr>
      <w:r w:rsidRPr="008134F2">
        <w:rPr>
          <w:rFonts w:ascii="Times New Roman" w:hAnsi="Times New Roman" w:cs="Times New Roman"/>
          <w:sz w:val="24"/>
          <w:szCs w:val="24"/>
          <w:lang w:val="hr-HR"/>
        </w:rPr>
        <w:t>S</w:t>
      </w:r>
      <w:r w:rsidR="00F55F48">
        <w:rPr>
          <w:rFonts w:ascii="Times New Roman" w:hAnsi="Times New Roman" w:cs="Times New Roman"/>
          <w:sz w:val="24"/>
          <w:szCs w:val="24"/>
          <w:lang w:val="hr-HR"/>
        </w:rPr>
        <w:t>rce</w:t>
      </w:r>
      <w:r w:rsidRPr="008134F2">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8134F2">
        <w:rPr>
          <w:rFonts w:ascii="Times New Roman" w:hAnsi="Times New Roman" w:cs="Times New Roman"/>
          <w:sz w:val="24"/>
          <w:szCs w:val="24"/>
          <w:lang w:val="hr-HR"/>
        </w:rPr>
        <w:t xml:space="preserve">Sveučilišni računski centar Sveučilišta u Zagrebu </w:t>
      </w:r>
    </w:p>
    <w:p w14:paraId="5079143E" w14:textId="2599A5F7" w:rsidR="007477E7" w:rsidRPr="00A609CA" w:rsidRDefault="007477E7" w:rsidP="008134F2">
      <w:pPr>
        <w:rPr>
          <w:rFonts w:ascii="Times New Roman" w:hAnsi="Times New Roman" w:cs="Times New Roman"/>
          <w:sz w:val="24"/>
          <w:szCs w:val="24"/>
          <w:lang w:val="hr-HR"/>
        </w:rPr>
      </w:pPr>
      <w:r>
        <w:rPr>
          <w:rFonts w:ascii="Times New Roman" w:hAnsi="Times New Roman" w:cs="Times New Roman"/>
          <w:sz w:val="24"/>
          <w:szCs w:val="24"/>
          <w:lang w:val="hr-HR"/>
        </w:rPr>
        <w:t>SSI – Središnji sustav interoperabilnosti</w:t>
      </w:r>
    </w:p>
    <w:p w14:paraId="500A5DDF" w14:textId="3D67F9EB" w:rsidR="007477E7" w:rsidRDefault="007477E7" w:rsidP="007477E7">
      <w:pPr>
        <w:rPr>
          <w:rFonts w:ascii="Times New Roman" w:hAnsi="Times New Roman" w:cs="Times New Roman"/>
          <w:sz w:val="24"/>
          <w:szCs w:val="24"/>
          <w:lang w:val="hr-HR"/>
        </w:rPr>
      </w:pPr>
      <w:r>
        <w:rPr>
          <w:rFonts w:ascii="Times New Roman" w:hAnsi="Times New Roman" w:cs="Times New Roman"/>
          <w:sz w:val="24"/>
          <w:szCs w:val="24"/>
          <w:lang w:val="hr-HR"/>
        </w:rPr>
        <w:t>UI – Umjetna inteligencija</w:t>
      </w:r>
    </w:p>
    <w:p w14:paraId="321834E3" w14:textId="74797C06" w:rsidR="00A151CB" w:rsidRDefault="00A151CB" w:rsidP="007477E7">
      <w:pPr>
        <w:rPr>
          <w:rFonts w:ascii="Times New Roman" w:hAnsi="Times New Roman" w:cs="Times New Roman"/>
          <w:i/>
          <w:iCs/>
          <w:sz w:val="24"/>
          <w:szCs w:val="24"/>
          <w:lang w:val="hr-HR"/>
        </w:rPr>
      </w:pPr>
      <w:r w:rsidRPr="00A151CB">
        <w:rPr>
          <w:rFonts w:ascii="Times New Roman" w:hAnsi="Times New Roman" w:cs="Times New Roman"/>
          <w:sz w:val="24"/>
          <w:szCs w:val="24"/>
          <w:lang w:val="hr-HR"/>
        </w:rPr>
        <w:lastRenderedPageBreak/>
        <w:t xml:space="preserve">UNESCO – Organizacija Ujedinjenih naroda za obrazovanje, znanost i kulturu </w:t>
      </w:r>
      <w:r w:rsidRPr="00896667">
        <w:rPr>
          <w:rFonts w:ascii="Times New Roman" w:hAnsi="Times New Roman" w:cs="Times New Roman"/>
          <w:i/>
          <w:iCs/>
          <w:sz w:val="24"/>
          <w:szCs w:val="24"/>
          <w:lang w:val="hr-HR"/>
        </w:rPr>
        <w:t>(eng. United Nations Educational, Scientific and Cultural Organization)</w:t>
      </w:r>
    </w:p>
    <w:p w14:paraId="7C6796E9" w14:textId="03162426" w:rsidR="00CB57FF" w:rsidRPr="00CB57FF" w:rsidRDefault="00CB57FF" w:rsidP="00CB57FF">
      <w:pPr>
        <w:rPr>
          <w:rFonts w:ascii="Times New Roman" w:hAnsi="Times New Roman" w:cs="Times New Roman"/>
          <w:sz w:val="24"/>
          <w:szCs w:val="24"/>
          <w:lang w:val="hr-HR"/>
        </w:rPr>
      </w:pPr>
      <w:r w:rsidRPr="00CB57FF">
        <w:rPr>
          <w:rFonts w:ascii="Times New Roman" w:hAnsi="Times New Roman" w:cs="Times New Roman"/>
          <w:sz w:val="24"/>
          <w:szCs w:val="24"/>
          <w:lang w:val="hr-HR"/>
        </w:rPr>
        <w:t>UVNS</w:t>
      </w:r>
      <w:r w:rsidRPr="00CB57FF">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CB57FF">
        <w:rPr>
          <w:rFonts w:ascii="Times New Roman" w:hAnsi="Times New Roman" w:cs="Times New Roman"/>
          <w:sz w:val="24"/>
          <w:szCs w:val="24"/>
          <w:lang w:val="hr-HR"/>
        </w:rPr>
        <w:t>Ured Vijeća za nacionalnu sigurnost</w:t>
      </w:r>
    </w:p>
    <w:p w14:paraId="2D1563C1" w14:textId="4CA391DD" w:rsidR="00CB57FF" w:rsidRPr="00CB57FF" w:rsidRDefault="00CB57FF" w:rsidP="00CB57FF">
      <w:pPr>
        <w:rPr>
          <w:rFonts w:ascii="Times New Roman" w:hAnsi="Times New Roman" w:cs="Times New Roman"/>
          <w:sz w:val="24"/>
          <w:szCs w:val="24"/>
          <w:lang w:val="hr-HR"/>
        </w:rPr>
      </w:pPr>
      <w:r w:rsidRPr="00CB57FF">
        <w:rPr>
          <w:rFonts w:ascii="Times New Roman" w:hAnsi="Times New Roman" w:cs="Times New Roman"/>
          <w:sz w:val="24"/>
          <w:szCs w:val="24"/>
          <w:lang w:val="hr-HR"/>
        </w:rPr>
        <w:t>UZZ</w:t>
      </w:r>
      <w:r>
        <w:rPr>
          <w:rFonts w:ascii="Times New Roman" w:hAnsi="Times New Roman" w:cs="Times New Roman"/>
          <w:sz w:val="24"/>
          <w:szCs w:val="24"/>
          <w:lang w:val="hr-HR"/>
        </w:rPr>
        <w:t xml:space="preserve"> –</w:t>
      </w:r>
      <w:r w:rsidRPr="00CB57FF">
        <w:rPr>
          <w:rFonts w:ascii="Times New Roman" w:hAnsi="Times New Roman" w:cs="Times New Roman"/>
          <w:sz w:val="24"/>
          <w:szCs w:val="24"/>
          <w:lang w:val="hr-HR"/>
        </w:rPr>
        <w:tab/>
        <w:t>Ured za zakonodavstvo Vlade Republike Hrvatske</w:t>
      </w:r>
    </w:p>
    <w:p w14:paraId="5280B755" w14:textId="3A1FB646" w:rsidR="00CB57FF" w:rsidRPr="00CB57FF" w:rsidRDefault="00CB57FF" w:rsidP="00CB57FF">
      <w:pPr>
        <w:rPr>
          <w:rFonts w:ascii="Times New Roman" w:hAnsi="Times New Roman" w:cs="Times New Roman"/>
          <w:sz w:val="24"/>
          <w:szCs w:val="24"/>
          <w:lang w:val="hr-HR"/>
        </w:rPr>
      </w:pPr>
      <w:r w:rsidRPr="00CB57FF">
        <w:rPr>
          <w:rFonts w:ascii="Times New Roman" w:hAnsi="Times New Roman" w:cs="Times New Roman"/>
          <w:sz w:val="24"/>
          <w:szCs w:val="24"/>
          <w:lang w:val="hr-HR"/>
        </w:rPr>
        <w:t>ZŠEM</w:t>
      </w:r>
      <w:r w:rsidRPr="00CB57FF">
        <w:rPr>
          <w:rFonts w:ascii="Times New Roman" w:hAnsi="Times New Roman" w:cs="Times New Roman"/>
          <w:sz w:val="24"/>
          <w:szCs w:val="24"/>
          <w:lang w:val="hr-HR"/>
        </w:rPr>
        <w:tab/>
      </w:r>
      <w:r>
        <w:rPr>
          <w:rFonts w:ascii="Times New Roman" w:hAnsi="Times New Roman" w:cs="Times New Roman"/>
          <w:sz w:val="24"/>
          <w:szCs w:val="24"/>
          <w:lang w:val="hr-HR"/>
        </w:rPr>
        <w:t xml:space="preserve">– </w:t>
      </w:r>
      <w:r w:rsidRPr="00CB57FF">
        <w:rPr>
          <w:rFonts w:ascii="Times New Roman" w:hAnsi="Times New Roman" w:cs="Times New Roman"/>
          <w:sz w:val="24"/>
          <w:szCs w:val="24"/>
          <w:lang w:val="hr-HR"/>
        </w:rPr>
        <w:t>Zagrebačka škola ekonomije i managementa</w:t>
      </w:r>
    </w:p>
    <w:p w14:paraId="6B145C1A" w14:textId="77777777" w:rsidR="00F2475B" w:rsidRPr="00A609CA" w:rsidRDefault="00F2475B">
      <w:pPr>
        <w:spacing w:after="160" w:line="259" w:lineRule="auto"/>
        <w:rPr>
          <w:rFonts w:ascii="Times New Roman" w:eastAsia="Times New Roman" w:hAnsi="Times New Roman" w:cs="Times New Roman"/>
          <w:b/>
          <w:bCs/>
          <w:sz w:val="24"/>
          <w:szCs w:val="24"/>
          <w:lang w:val="hr-HR"/>
        </w:rPr>
      </w:pPr>
      <w:r>
        <w:rPr>
          <w:rFonts w:ascii="Times New Roman" w:eastAsia="Times New Roman" w:hAnsi="Times New Roman" w:cs="Times New Roman"/>
          <w:b/>
          <w:bCs/>
          <w:sz w:val="24"/>
          <w:szCs w:val="24"/>
          <w:lang w:val="hr-HR"/>
        </w:rPr>
        <w:br w:type="page"/>
      </w:r>
    </w:p>
    <w:p w14:paraId="2D3E2F50" w14:textId="37F4CA95" w:rsidR="0003376F" w:rsidRDefault="0003376F" w:rsidP="00D6178B">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4" w:name="_Toc242947251"/>
      <w:bookmarkStart w:id="5" w:name="_Toc236064828"/>
      <w:r>
        <w:rPr>
          <w:rFonts w:ascii="Times New Roman" w:eastAsia="Times New Roman" w:hAnsi="Times New Roman" w:cs="Times New Roman"/>
          <w:b/>
          <w:bCs/>
          <w:color w:val="auto"/>
          <w:sz w:val="24"/>
          <w:szCs w:val="24"/>
          <w:lang w:val="hr-HR"/>
        </w:rPr>
        <w:lastRenderedPageBreak/>
        <w:t>Izvršni sažetak</w:t>
      </w:r>
      <w:bookmarkEnd w:id="4"/>
    </w:p>
    <w:p w14:paraId="0E8028D2" w14:textId="77777777" w:rsidR="0003376F" w:rsidRDefault="0003376F" w:rsidP="0003376F">
      <w:pPr>
        <w:rPr>
          <w:lang w:val="hr-HR"/>
        </w:rPr>
      </w:pPr>
    </w:p>
    <w:p w14:paraId="48C4B122" w14:textId="36258B2F" w:rsidR="00ED73EE" w:rsidRPr="00ED73EE" w:rsidRDefault="00ED73EE" w:rsidP="009D2C35">
      <w:pPr>
        <w:pStyle w:val="Tijeloteksta"/>
        <w:spacing w:before="301" w:line="276" w:lineRule="auto"/>
        <w:ind w:right="283"/>
        <w:jc w:val="both"/>
      </w:pPr>
      <w:r w:rsidRPr="00ED73EE">
        <w:t xml:space="preserve">Nacionalni plan za razvoj umjetne inteligencije do 2032. godine utvrđuje zajednički strateški okvir za razvoj i odgovornu primjenu umjetne inteligencije (UI) u Republici Hrvatskoj. Njegova je svrha povezati postojeća i buduća ulaganja u znanje, infrastrukturu, podatke, istraživanje i inovacije s potrebama gospodarstva, javnog sektora i građana. </w:t>
      </w:r>
      <w:r w:rsidR="00635872">
        <w:t>Nacionalni p</w:t>
      </w:r>
      <w:r w:rsidRPr="00ED73EE">
        <w:t xml:space="preserve">lan se nadovezuje na nacionalni i europski okvir digitalne transformacije te određuje </w:t>
      </w:r>
      <w:r w:rsidR="00E60C8B">
        <w:t>posebne ciljeve</w:t>
      </w:r>
      <w:r w:rsidRPr="00ED73EE">
        <w:t>, mjerljive ishode, ključna područja primjene, financijski okvir i sustav upravljanja provedbom.</w:t>
      </w:r>
    </w:p>
    <w:p w14:paraId="692F89BF" w14:textId="5E848348" w:rsidR="00863F93" w:rsidRDefault="00863F93" w:rsidP="009D2C35">
      <w:pPr>
        <w:pStyle w:val="Tijeloteksta"/>
        <w:spacing w:before="301" w:line="276" w:lineRule="auto"/>
        <w:ind w:right="283"/>
        <w:jc w:val="both"/>
      </w:pPr>
      <w:r w:rsidRPr="00863F93">
        <w:t>Polazišna analiza prepoznaje kvalitetnu digitalnu povezanost, postojeću državnu informacijsku infrastrukturu te relevantnu akademsku i stručnu bazu kao važna uporišta za razvoj i primjenu UI-ja</w:t>
      </w:r>
      <w:r>
        <w:t xml:space="preserve"> u Republici Hrvatskoj</w:t>
      </w:r>
      <w:r w:rsidRPr="00863F93">
        <w:t xml:space="preserve">. Istodobno, utvrđuje da je primjena UI-ja još uvijek nedovoljno raširena i strateški povezana te da njezino širenje ograničavaju pristup naprednim računalnim kapacitetima i kvalitetnim podacima, nedostatak pojedinih kompetencija i nedovoljna koordinacija među dionicima. Prema Eurostatovim podacima za 2025. godinu, UI </w:t>
      </w:r>
      <w:r w:rsidR="006F760A">
        <w:t xml:space="preserve">u Republici Hrvatskoj </w:t>
      </w:r>
      <w:r w:rsidRPr="00863F93">
        <w:t xml:space="preserve">koristi 15,19 % poduzeća s najmanje deset zaposlenih i samozaposlenih osoba, dok je generativne UI alate koristilo 27,52 % stanovništva u dobi od 16 do 74 godine. </w:t>
      </w:r>
      <w:r w:rsidR="00DB00F4" w:rsidRPr="00DB00F4">
        <w:t>Ti pokazatelji upućuju na to da je primjena UI-ja već prisutna u gospodarstvu i društvu, ali još nije dovoljno raširena da bi se njezin potencijal sustavno iskoristio za gospodarski i društveni razvoj</w:t>
      </w:r>
      <w:r w:rsidRPr="00863F93">
        <w:t>. Nacionalni plan stoga povezuje ulaganja u znanja i vještine, računalnu i podatkovnu infrastrukturu, odgovornu primjenu te istraživanje i inovacije, kako bi se stvorili uvjeti za širu i učinkovitiju primjenu UI-ja i ostvarivanje mjerljivih gospodarskih i društvenih koristi.</w:t>
      </w:r>
    </w:p>
    <w:p w14:paraId="68E22834" w14:textId="2D82DB21" w:rsidR="00AE690C" w:rsidRDefault="004F7991" w:rsidP="009D2C35">
      <w:pPr>
        <w:pStyle w:val="Tijeloteksta"/>
        <w:spacing w:before="301" w:line="276" w:lineRule="auto"/>
        <w:ind w:right="283"/>
        <w:jc w:val="both"/>
      </w:pPr>
      <w:r>
        <w:t xml:space="preserve">Vizija Nacionalnog plana jest društvo koje UI koristi u službi čovjeka: za stvaranje javne vrijednosti, gospodarski rast i društvenu dobrobit, uz očuvanje temeljnih prava, demokratskih načela, sigurnosti i povjerenja građana. </w:t>
      </w:r>
      <w:r w:rsidR="00AE690C">
        <w:t xml:space="preserve">Republika </w:t>
      </w:r>
      <w:r w:rsidR="00AE690C" w:rsidRPr="00AE690C">
        <w:t>Hrvatska će vlastite sposobnosti za razvoj i primjenu UI-ja jačati u suradnji s europskim partnerima, oslanjajući se na zajednički regulatorni okvir, podatkovne i infrastrukturne kapacitete te načela odgovornosti i primjerenoga ljudskog nadzora.</w:t>
      </w:r>
    </w:p>
    <w:p w14:paraId="177F7951" w14:textId="552ADEC1" w:rsidR="00981D89" w:rsidRDefault="00865FD2" w:rsidP="009D2C35">
      <w:pPr>
        <w:pStyle w:val="Tijeloteksta"/>
        <w:spacing w:before="301" w:line="276" w:lineRule="auto"/>
        <w:ind w:right="283"/>
        <w:jc w:val="both"/>
      </w:pPr>
      <w:r>
        <w:t>Nacionalni p</w:t>
      </w:r>
      <w:r w:rsidR="004F7991">
        <w:t>lan povezuje četiri međuovisna posebna cilja. Prvi cilj je osnažiti ljudske potencijale za razvoj i primjenu UI-ja</w:t>
      </w:r>
      <w:r>
        <w:t xml:space="preserve"> odnosno</w:t>
      </w:r>
      <w:r w:rsidR="004F7991">
        <w:t xml:space="preserve"> razvijati UI pismenost i digitalne kompetencije građana, učenika, nastavnika, zaposlenih i službenika te stručne i istraživačke kapacitete. Drugi cilj je osigurati suverenu, sigurnu i otpornu računalnu infrastrukturu i podatke</w:t>
      </w:r>
      <w:r w:rsidR="00064625">
        <w:t xml:space="preserve"> odnosno</w:t>
      </w:r>
      <w:r w:rsidR="004F7991">
        <w:t xml:space="preserve"> razvijati nacionalne kapacitete naprednog računanja, dostupnost kvalitetnih i interoperabilnih podataka, zajedničku infrastrukturu javnog sektora, kibernetičku sigurnost i hrvatske jezične tehnologije. Treći</w:t>
      </w:r>
      <w:r w:rsidR="00EE231A">
        <w:t xml:space="preserve"> cilj</w:t>
      </w:r>
      <w:r w:rsidR="004F7991">
        <w:t xml:space="preserve"> je uspostaviti sustav etične i zakonite primjene UI-ja</w:t>
      </w:r>
      <w:r w:rsidR="007D6068">
        <w:t xml:space="preserve">, a odnosi se na </w:t>
      </w:r>
      <w:r w:rsidR="004F7991">
        <w:t xml:space="preserve">provedbu </w:t>
      </w:r>
      <w:r w:rsidR="00EE231A" w:rsidRPr="00EE231A">
        <w:t>Akt</w:t>
      </w:r>
      <w:r w:rsidR="00EE231A">
        <w:t>a</w:t>
      </w:r>
      <w:r w:rsidR="00EE231A" w:rsidRPr="00EE231A">
        <w:t xml:space="preserve"> o umjetnoj inteligenciji (Uredba (EU) 2024/1689 Europskog parlamenta i Vijeća od 13. lipnja 2024. o utvrđivanju usklađenih pravila o umjetnoj inteligenciji, kako je izmijenjena Uredbom (EU) 2026/1744</w:t>
      </w:r>
      <w:r w:rsidR="00D42DA9">
        <w:t xml:space="preserve">; </w:t>
      </w:r>
      <w:r w:rsidR="000D51C2">
        <w:t xml:space="preserve">dalje: </w:t>
      </w:r>
      <w:r w:rsidR="00D42DA9">
        <w:t>Akt o UI-ju</w:t>
      </w:r>
      <w:r w:rsidR="00EE231A" w:rsidRPr="00EE231A">
        <w:t>)</w:t>
      </w:r>
      <w:r w:rsidR="00A53BAB">
        <w:t>,</w:t>
      </w:r>
      <w:r w:rsidR="00EE231A" w:rsidRPr="00EE231A">
        <w:t xml:space="preserve"> </w:t>
      </w:r>
      <w:r w:rsidR="004F7991">
        <w:t xml:space="preserve">upravljanje rizicima, transparentnost, zaštitu prava i regulatorna izolirana okruženja </w:t>
      </w:r>
      <w:r w:rsidR="004F7991">
        <w:lastRenderedPageBreak/>
        <w:t>za odgovorno testiranje</w:t>
      </w:r>
      <w:r w:rsidR="00D47EF2">
        <w:t xml:space="preserve"> UI-ja</w:t>
      </w:r>
      <w:r w:rsidR="004F7991">
        <w:t xml:space="preserve">. Četvrti </w:t>
      </w:r>
      <w:r w:rsidR="00D42DA9">
        <w:t xml:space="preserve">cilj </w:t>
      </w:r>
      <w:r w:rsidR="004F7991">
        <w:t>je poticati istraživanje, inovacije, razvoj i primjenu UI-ja u gospodarstvu</w:t>
      </w:r>
      <w:r w:rsidR="000D51C2">
        <w:t>, a odnosi se na</w:t>
      </w:r>
      <w:r w:rsidR="004F7991">
        <w:t xml:space="preserve"> poveziv</w:t>
      </w:r>
      <w:r w:rsidR="000D51C2">
        <w:t>anje</w:t>
      </w:r>
      <w:r w:rsidR="004F7991">
        <w:t xml:space="preserve"> </w:t>
      </w:r>
      <w:r w:rsidR="000D51C2">
        <w:t xml:space="preserve">znanstveno-istraživačkih kapaciteta </w:t>
      </w:r>
      <w:r w:rsidR="004F7991">
        <w:t xml:space="preserve">i poduzeća, </w:t>
      </w:r>
      <w:r w:rsidR="008165F9">
        <w:t>potporu</w:t>
      </w:r>
      <w:r w:rsidR="00EC5A9A">
        <w:t xml:space="preserve"> za</w:t>
      </w:r>
      <w:r w:rsidR="004F7991">
        <w:t xml:space="preserve"> </w:t>
      </w:r>
      <w:r w:rsidR="00D42DA9">
        <w:t>mala i srednja poduzeća (MSP)</w:t>
      </w:r>
      <w:r w:rsidR="004F7991">
        <w:t xml:space="preserve">, </w:t>
      </w:r>
      <w:r w:rsidR="004F7991" w:rsidRPr="00AE690C">
        <w:rPr>
          <w:i/>
          <w:iCs/>
        </w:rPr>
        <w:t>startupove</w:t>
      </w:r>
      <w:r w:rsidR="004F7991">
        <w:t xml:space="preserve"> i rastuća poduzeća te </w:t>
      </w:r>
      <w:r w:rsidR="008165F9">
        <w:t>konkretnu podršku na</w:t>
      </w:r>
      <w:r w:rsidR="004F7991">
        <w:t xml:space="preserve"> put</w:t>
      </w:r>
      <w:r w:rsidR="008165F9">
        <w:t>u</w:t>
      </w:r>
      <w:r w:rsidR="004F7991">
        <w:t xml:space="preserve"> od istraživanja i pilot-projekata do komercijalne primjene i skaliranja</w:t>
      </w:r>
      <w:r w:rsidR="007162E9">
        <w:t xml:space="preserve"> UI-ja</w:t>
      </w:r>
      <w:r w:rsidR="004F7991">
        <w:t>.</w:t>
      </w:r>
    </w:p>
    <w:p w14:paraId="154DA640" w14:textId="77777777" w:rsidR="00CE76B0" w:rsidRDefault="00CE76B0" w:rsidP="009D2C35">
      <w:pPr>
        <w:pStyle w:val="Tijeloteksta"/>
        <w:spacing w:before="301" w:line="276" w:lineRule="auto"/>
        <w:ind w:right="283"/>
        <w:jc w:val="both"/>
      </w:pPr>
      <w:r w:rsidRPr="00CE76B0">
        <w:t>Nacionalni plan utvrđuje četiri posebna cilja kojima se stvaraju uvjeti za širu i odgovornu primjenu UI-ja u Republici Hrvatskoj: razvoj znanja i vještina, jačanje računalne i podatkovne infrastrukture, uspostavu okvira za etičnu i zakonitu primjenu te poticanje istraživanja, inovacija i primjene UI-ja u gospodarstvu. Plan istodobno prepoznaje devet ključnih područja u kojima se ti uvjeti trebaju pretočiti u konkretna rješenja i koristi za građane, gospodarstvo i javni sektor: (1) javna uprava, pravosuđe i javne usluge; (2) zdravstvo, medicina i biološke znanosti; (3) industrija, napredna proizvodnja i digitalni proizvodi; (4) sigurnost, kibernetička sigurnost i nacionalna otpornost; (5) poljoprivreda, hrana, šumarstvo i bioekonomija; (6) energija, okoliš i klimatska otpornost; (7) promet, mobilnost i logistika; (8) turizam i pametno upravljanje destinacijama; te (9) kultura i mediji. Konkretne mjere i projekti u tim područjima razrađivat će se kroz akcijske planove, u skladu s potrebama korisnika, spremnošću projekata i raspoloživim financijskim sredstvima.</w:t>
      </w:r>
    </w:p>
    <w:p w14:paraId="3CD0C779" w14:textId="77777777" w:rsidR="00A83850" w:rsidRDefault="00021330" w:rsidP="009D2C35">
      <w:pPr>
        <w:pStyle w:val="Tijeloteksta"/>
        <w:spacing w:before="301" w:line="276" w:lineRule="auto"/>
        <w:ind w:right="283"/>
        <w:jc w:val="both"/>
      </w:pPr>
      <w:r w:rsidRPr="00021330">
        <w:t xml:space="preserve">Praćenje razvoja i primjene UI-ja još </w:t>
      </w:r>
      <w:r w:rsidR="00A3713E">
        <w:t xml:space="preserve">uvijek </w:t>
      </w:r>
      <w:r w:rsidRPr="00021330">
        <w:t>se suočava s ograničenjima u dostupnosti podataka i metodološkoj usporedivosti pokazatelja, osobito u područjima koja se brzo razvijaju ili za koja sustavi praćenja tek nastaju. Uzimajući u obzir ta ograničenja, Nacionalni plan utvrđuje pokazatelje ishoda s polaznim vrijednostima i ciljnim vrijednostima do 2032. godine, oslanjajući se na postojeće europske i nacionalne izvore podataka te, prema potrebi, na razvoj novih sustava praćenja. Među postavljenim ciljevima su povećanje udjela stanovništva s barem osnovnim digitalnim vještinama sa 63,38 % na 80 %, udjela stanovništva koje je koristilo generativne UI alate s 27,52 % na 50 % te udjela poduzeća koja koriste UI s 15,19 % na 40 %. Predviđa se i povećanje godišnjeg broja projekata podržanih nacionalnim resursima za napredno računanje sa 154 na 350 te dostupnosti i uporabe informacija javnog sektora sa 73,5 % na više od 95 %. Pokazatelji ishoda obuhvaćaju i zakonitu primjenu UI-ja, zaštitu temeljnih prava te povjerenje građana u ostvarivanje digitalnih prava i načela.</w:t>
      </w:r>
    </w:p>
    <w:p w14:paraId="7FB8EF9F" w14:textId="2700F794" w:rsidR="00021330" w:rsidRDefault="009E1022" w:rsidP="009D2C35">
      <w:pPr>
        <w:pStyle w:val="Tijeloteksta"/>
        <w:spacing w:before="301" w:line="276" w:lineRule="auto"/>
        <w:ind w:right="283"/>
        <w:jc w:val="both"/>
      </w:pPr>
      <w:r w:rsidRPr="009E1022">
        <w:t xml:space="preserve">Nacionalni plan predviđa i rast ukupnih godišnjih ulaganja povezanih s UI-jem u Republici Hrvatskoj, koja, prema metodologiji OECD-a, obuhvaćaju javna i privatna ulaganja u vještine, istraživanje i razvoj, podatke, opremu i drugu povezanu imovinu. Njihova procijenjena vrijednost za 2023. godinu iznosila je 1.233,88 mil. eura, a ciljna vrijednost za 2032. godinu iznosi 2.200 mil. eura. Riječ je o pokazatelju ukupnih ulaganja u </w:t>
      </w:r>
      <w:r w:rsidR="00F02C0B">
        <w:t xml:space="preserve">UI u </w:t>
      </w:r>
      <w:r w:rsidR="00A83850">
        <w:t xml:space="preserve">Republici </w:t>
      </w:r>
      <w:r w:rsidRPr="009E1022">
        <w:t>Hrvatskoj, koji treba razlikovati od indikativnog financijskog okvira za provedbu mjera Nacionalnog plana.</w:t>
      </w:r>
    </w:p>
    <w:p w14:paraId="7D1E5DD5" w14:textId="1371F2F4" w:rsidR="00473B8D" w:rsidRDefault="00473B8D" w:rsidP="009D2C35">
      <w:pPr>
        <w:pStyle w:val="Tijeloteksta"/>
        <w:spacing w:before="301" w:line="276" w:lineRule="auto"/>
        <w:ind w:right="283"/>
        <w:jc w:val="both"/>
      </w:pPr>
      <w:r w:rsidRPr="00473B8D">
        <w:t xml:space="preserve">Za razliku od pokazatelja ukupnih godišnjih ulaganja u UI u Republici Hrvatskoj, indikativni financijski okvir Nacionalnog plana odnosi se na procijenjene troškove provedbe njegovih mjera. Za razdoblje od 2026. do 2032. godine oni iznose ukupno 932.077.068 eura, od čega </w:t>
      </w:r>
      <w:r w:rsidRPr="00473B8D">
        <w:lastRenderedPageBreak/>
        <w:t xml:space="preserve">je 115,3 milijuna eura predviđeno za razvoj ljudskih potencijala (12,4 %), 260,2 milijuna eura za računalnu i podatkovnu infrastrukturu (27,9 %), 58,0 milijuna eura za etičnu i zakonitu primjenu UI-ja (6,2 %) te 498,6 milijuna eura za istraživanje, inovacije i primjenu UI-ja u gospodarstvu (53,5 %). </w:t>
      </w:r>
      <w:r w:rsidR="00873EC0" w:rsidRPr="00873EC0">
        <w:t>Istodobno s Nacionalnim planom donosi se Prvi akcijski plan za razdoblje od 2026. do 2028. godine,</w:t>
      </w:r>
      <w:r w:rsidR="009C520D">
        <w:t xml:space="preserve"> </w:t>
      </w:r>
      <w:r w:rsidR="009C520D" w:rsidRPr="009C520D">
        <w:t>kojim se utvrđuju konkretne mjere, nositelji, rokovi, pokazatelji rezultata i financijski okvir njihove provedbe. Prvi akcijski plan obuhvaća mjere procijenjene vrijednosti 382.077.068 eura, dok je za razdoblje od 2029. do 2032. godine indikativno predviđeno dodatnih 550 milijuna eura. Mjere i raspodjela sredstava za drugo razdoblje detaljnije će se utvrditi sljedećim akcijskim planom.</w:t>
      </w:r>
      <w:r w:rsidR="009C520D">
        <w:t xml:space="preserve"> </w:t>
      </w:r>
      <w:r w:rsidRPr="00473B8D">
        <w:t>Mjere i raspodjela sredstava za drugo razdoblje detaljnije će se utvrditi sljedećim akcijskim planom. Financiranje se planira iz državnih i drugih javnih sredstava, fondova i programa Europske unije (EU), financijskih instrumenata te, gdje je primjenjivo, privatnih ulaganja. Konačni iznosi i izvori financiranja utvrđivat će se kroz odgovarajuće postupke proračunskog planiranja i programiranja.</w:t>
      </w:r>
    </w:p>
    <w:p w14:paraId="60EB16FB" w14:textId="4F678644" w:rsidR="006E0A13" w:rsidRDefault="006E0A13" w:rsidP="009D2C35">
      <w:pPr>
        <w:pStyle w:val="Tijeloteksta"/>
        <w:spacing w:before="301" w:line="276" w:lineRule="auto"/>
        <w:ind w:right="283"/>
        <w:jc w:val="both"/>
      </w:pPr>
      <w:r w:rsidRPr="006E0A13">
        <w:t xml:space="preserve">Za strateško usmjeravanje provedbe Nacionalnog plana bit će nadležno Nacionalno vijeće za digitalnu transformaciju (NVDT), dok će Ministarstvo pravosuđa, uprave i digitalne transformacije (MPUDT) koordinirati provedbu te pratiti ostvarivanje ciljeva i pokazatelja, provedbene rokove, financijska sredstva i međuresornu suradnju. Nositelji pojedinih mjera </w:t>
      </w:r>
      <w:r w:rsidR="009A476F">
        <w:t>odgovorni su</w:t>
      </w:r>
      <w:r w:rsidRPr="006E0A13">
        <w:t xml:space="preserve"> za njihovu provedbu i ostvarivanje planiranih rezultata u okviru svojih nadležnosti. Napredak će se pratiti godišnjim izvještavanjem i vrednovanjem, a nalazi praćenja i promjene u provedbenim okolnostima bit će podloga za ažuriranje Nacionalnog plana i razradu sljede</w:t>
      </w:r>
      <w:r w:rsidR="001B0FAE">
        <w:t>ćeg</w:t>
      </w:r>
      <w:r w:rsidRPr="006E0A13">
        <w:t xml:space="preserve"> akcijsk</w:t>
      </w:r>
      <w:r w:rsidR="001B0FAE">
        <w:t>og</w:t>
      </w:r>
      <w:r w:rsidRPr="006E0A13">
        <w:t xml:space="preserve"> plan</w:t>
      </w:r>
      <w:r w:rsidR="001B0FAE">
        <w:t>a</w:t>
      </w:r>
      <w:r w:rsidRPr="006E0A13">
        <w:t>.</w:t>
      </w:r>
    </w:p>
    <w:p w14:paraId="0C1CD834" w14:textId="29A20A68" w:rsidR="00F651FD" w:rsidRPr="0003376F" w:rsidRDefault="00F651FD" w:rsidP="009D2C35">
      <w:pPr>
        <w:pStyle w:val="Tijeloteksta"/>
        <w:spacing w:before="301" w:after="240" w:line="276" w:lineRule="auto"/>
        <w:ind w:right="283"/>
        <w:jc w:val="both"/>
      </w:pPr>
      <w:r w:rsidRPr="00F651FD">
        <w:t xml:space="preserve">Nacionalni plan povezuje razvoj znanja i vještina, dostupnost računalne infrastrukture i podataka, istraživanje i inovacije te sigurnu i odgovornu primjenu </w:t>
      </w:r>
      <w:r w:rsidR="00CF5B89">
        <w:t>UI-ja</w:t>
      </w:r>
      <w:r w:rsidRPr="00F651FD">
        <w:t xml:space="preserve"> u jedinstven razvojni okvir. Njegova je svrha stvoriti uvjete u kojima građani, gospodarstvo, znanstveno-istraživačka zajednica i javni sektor mogu koristiti mogućnosti </w:t>
      </w:r>
      <w:r w:rsidR="00CF5B89">
        <w:t>UI-ja</w:t>
      </w:r>
      <w:r w:rsidRPr="00F651FD">
        <w:t xml:space="preserve"> za povećanje produktivnosti, razvoj novih proizvoda i usluga te učinkovitije rješavanje društvenih i gospodarskih izazova. U središtu </w:t>
      </w:r>
      <w:r w:rsidR="00244AE2">
        <w:t>Nacionalnog plana</w:t>
      </w:r>
      <w:r w:rsidRPr="00F651FD">
        <w:t xml:space="preserve"> nije </w:t>
      </w:r>
      <w:r w:rsidR="004A33D5">
        <w:t xml:space="preserve">samo </w:t>
      </w:r>
      <w:r w:rsidRPr="00F651FD">
        <w:t>tehnologija, nego njezina primjena koja stvara novu vrijednost, unapređuje kvalitetu javnih usluga i donosi konkretne koristi ljudima.</w:t>
      </w:r>
    </w:p>
    <w:p w14:paraId="38275BF1" w14:textId="77777777" w:rsidR="00E33A96" w:rsidRDefault="00E33A96">
      <w:pPr>
        <w:spacing w:after="160" w:line="259" w:lineRule="auto"/>
        <w:rPr>
          <w:rFonts w:ascii="Times New Roman" w:eastAsia="Times New Roman" w:hAnsi="Times New Roman" w:cs="Times New Roman"/>
          <w:b/>
          <w:bCs/>
          <w:sz w:val="24"/>
          <w:szCs w:val="24"/>
          <w:lang w:val="hr-HR"/>
        </w:rPr>
      </w:pPr>
      <w:r>
        <w:rPr>
          <w:rFonts w:ascii="Times New Roman" w:eastAsia="Times New Roman" w:hAnsi="Times New Roman" w:cs="Times New Roman"/>
          <w:b/>
          <w:bCs/>
          <w:sz w:val="24"/>
          <w:szCs w:val="24"/>
          <w:lang w:val="hr-HR"/>
        </w:rPr>
        <w:br w:type="page"/>
      </w:r>
    </w:p>
    <w:p w14:paraId="5D056E53" w14:textId="2C363F4E" w:rsidR="00B71741" w:rsidRPr="00A609CA" w:rsidRDefault="00B71741" w:rsidP="00D6178B">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6" w:name="_Toc242947252"/>
      <w:r>
        <w:rPr>
          <w:rFonts w:ascii="Times New Roman" w:eastAsia="Times New Roman" w:hAnsi="Times New Roman" w:cs="Times New Roman"/>
          <w:b/>
          <w:bCs/>
          <w:color w:val="auto"/>
          <w:sz w:val="24"/>
          <w:szCs w:val="24"/>
          <w:lang w:val="hr-HR"/>
        </w:rPr>
        <w:lastRenderedPageBreak/>
        <w:t xml:space="preserve">Uvod: strateški kontekst i analiza </w:t>
      </w:r>
      <w:bookmarkEnd w:id="1"/>
      <w:r>
        <w:rPr>
          <w:rFonts w:ascii="Times New Roman" w:eastAsia="Times New Roman" w:hAnsi="Times New Roman" w:cs="Times New Roman"/>
          <w:b/>
          <w:bCs/>
          <w:color w:val="auto"/>
          <w:sz w:val="24"/>
          <w:szCs w:val="24"/>
          <w:lang w:val="hr-HR"/>
        </w:rPr>
        <w:t>stanja</w:t>
      </w:r>
      <w:bookmarkEnd w:id="5"/>
      <w:bookmarkEnd w:id="6"/>
    </w:p>
    <w:p w14:paraId="153ED140" w14:textId="77777777" w:rsidR="0003376F" w:rsidRPr="0003376F" w:rsidRDefault="0003376F" w:rsidP="0003376F">
      <w:pPr>
        <w:pStyle w:val="Odlomakpopisa"/>
        <w:widowControl w:val="0"/>
        <w:numPr>
          <w:ilvl w:val="0"/>
          <w:numId w:val="2"/>
        </w:numPr>
        <w:autoSpaceDE w:val="0"/>
        <w:autoSpaceDN w:val="0"/>
        <w:spacing w:before="364" w:after="0" w:line="240" w:lineRule="auto"/>
        <w:contextualSpacing w:val="0"/>
        <w:jc w:val="both"/>
        <w:outlineLvl w:val="2"/>
        <w:rPr>
          <w:rFonts w:ascii="Times New Roman" w:eastAsia="Times New Roman" w:hAnsi="Times New Roman" w:cs="Times New Roman"/>
          <w:b/>
          <w:bCs/>
          <w:vanish/>
          <w:sz w:val="24"/>
          <w:szCs w:val="24"/>
          <w:lang w:val="hr-HR"/>
        </w:rPr>
      </w:pPr>
      <w:bookmarkStart w:id="7" w:name="_Toc240900192"/>
      <w:bookmarkStart w:id="8" w:name="_Toc241068612"/>
      <w:bookmarkStart w:id="9" w:name="_Toc241071182"/>
      <w:bookmarkStart w:id="10" w:name="_Toc241071475"/>
      <w:bookmarkStart w:id="11" w:name="_Toc241072875"/>
      <w:bookmarkStart w:id="12" w:name="_Toc242947208"/>
      <w:bookmarkStart w:id="13" w:name="_Toc242947253"/>
      <w:bookmarkStart w:id="14" w:name="_TOC_250073"/>
      <w:bookmarkStart w:id="15" w:name="_Toc236064829"/>
      <w:bookmarkEnd w:id="7"/>
      <w:bookmarkEnd w:id="8"/>
      <w:bookmarkEnd w:id="9"/>
      <w:bookmarkEnd w:id="10"/>
      <w:bookmarkEnd w:id="11"/>
      <w:bookmarkEnd w:id="12"/>
      <w:bookmarkEnd w:id="13"/>
    </w:p>
    <w:p w14:paraId="41E1E974" w14:textId="77777777" w:rsidR="0003376F" w:rsidRPr="0003376F" w:rsidRDefault="0003376F" w:rsidP="0003376F">
      <w:pPr>
        <w:pStyle w:val="Odlomakpopisa"/>
        <w:widowControl w:val="0"/>
        <w:numPr>
          <w:ilvl w:val="0"/>
          <w:numId w:val="2"/>
        </w:numPr>
        <w:autoSpaceDE w:val="0"/>
        <w:autoSpaceDN w:val="0"/>
        <w:spacing w:before="364" w:after="0" w:line="240" w:lineRule="auto"/>
        <w:contextualSpacing w:val="0"/>
        <w:jc w:val="both"/>
        <w:outlineLvl w:val="2"/>
        <w:rPr>
          <w:rFonts w:ascii="Times New Roman" w:eastAsia="Times New Roman" w:hAnsi="Times New Roman" w:cs="Times New Roman"/>
          <w:b/>
          <w:bCs/>
          <w:vanish/>
          <w:sz w:val="24"/>
          <w:szCs w:val="24"/>
          <w:lang w:val="hr-HR"/>
        </w:rPr>
      </w:pPr>
      <w:bookmarkStart w:id="16" w:name="_Toc240900193"/>
      <w:bookmarkStart w:id="17" w:name="_Toc241068613"/>
      <w:bookmarkStart w:id="18" w:name="_Toc241071183"/>
      <w:bookmarkStart w:id="19" w:name="_Toc241071476"/>
      <w:bookmarkStart w:id="20" w:name="_Toc241072876"/>
      <w:bookmarkStart w:id="21" w:name="_Toc242947209"/>
      <w:bookmarkStart w:id="22" w:name="_Toc242947254"/>
      <w:bookmarkEnd w:id="16"/>
      <w:bookmarkEnd w:id="17"/>
      <w:bookmarkEnd w:id="18"/>
      <w:bookmarkEnd w:id="19"/>
      <w:bookmarkEnd w:id="20"/>
      <w:bookmarkEnd w:id="21"/>
      <w:bookmarkEnd w:id="22"/>
    </w:p>
    <w:p w14:paraId="346643BD" w14:textId="25EE4BE2" w:rsidR="00B71741" w:rsidRPr="00A609CA" w:rsidRDefault="00B71741" w:rsidP="0003376F">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3" w:name="_Toc242947255"/>
      <w:r>
        <w:rPr>
          <w:rFonts w:ascii="Times New Roman" w:eastAsia="Times New Roman" w:hAnsi="Times New Roman" w:cs="Times New Roman"/>
          <w:b/>
          <w:bCs/>
          <w:color w:val="auto"/>
          <w:lang w:val="hr-HR"/>
        </w:rPr>
        <w:t xml:space="preserve">Umjetna inteligencija kao razvojna, društvena i sigurnosna </w:t>
      </w:r>
      <w:bookmarkEnd w:id="14"/>
      <w:r>
        <w:rPr>
          <w:rFonts w:ascii="Times New Roman" w:eastAsia="Times New Roman" w:hAnsi="Times New Roman" w:cs="Times New Roman"/>
          <w:b/>
          <w:bCs/>
          <w:color w:val="auto"/>
          <w:lang w:val="hr-HR"/>
        </w:rPr>
        <w:t>prekretnica</w:t>
      </w:r>
      <w:bookmarkEnd w:id="15"/>
      <w:bookmarkEnd w:id="23"/>
    </w:p>
    <w:p w14:paraId="63249F50" w14:textId="77777777" w:rsidR="0050654F" w:rsidRPr="00A609CA" w:rsidRDefault="0050654F" w:rsidP="0050654F">
      <w:pPr>
        <w:rPr>
          <w:sz w:val="24"/>
          <w:szCs w:val="24"/>
          <w:lang w:val="hr-HR"/>
        </w:rPr>
      </w:pPr>
    </w:p>
    <w:p w14:paraId="442E3DC1" w14:textId="0DF3330A" w:rsidR="0050654F" w:rsidRPr="00A609CA" w:rsidRDefault="00BB6242" w:rsidP="009D2C35">
      <w:pPr>
        <w:pStyle w:val="Tijeloteksta"/>
        <w:spacing w:before="301" w:line="276" w:lineRule="auto"/>
        <w:ind w:right="283"/>
        <w:jc w:val="both"/>
      </w:pPr>
      <w:r>
        <w:t>UI</w:t>
      </w:r>
      <w:r w:rsidR="0050654F">
        <w:t xml:space="preserve"> </w:t>
      </w:r>
      <w:r>
        <w:t xml:space="preserve">je </w:t>
      </w:r>
      <w:r w:rsidR="0050654F">
        <w:t>jedna od ključnih razvojnih, društvenih i sigurnosnih promjena suvremenog doba. Njezina primjena može povećati produktivnost i inovacijski kapacitet gospodarstva, unaprijediti kvalitetu javnih usluga, poduprijeti znanstvena istraživanja i omogućiti kvalitetnije donošenje odluka. Istodobno, UI mijenja sadržaj rada, način stvaranja i korištenja informacija te odnos građana, institucija i tehnologije.</w:t>
      </w:r>
    </w:p>
    <w:p w14:paraId="3D03EB5B" w14:textId="77777777" w:rsidR="0050654F" w:rsidRPr="00A609CA" w:rsidRDefault="0050654F" w:rsidP="009D2C35">
      <w:pPr>
        <w:pStyle w:val="Tijeloteksta"/>
        <w:spacing w:before="301" w:line="276" w:lineRule="auto"/>
        <w:ind w:right="283"/>
        <w:jc w:val="both"/>
      </w:pPr>
      <w:r>
        <w:t>Za razliku od prethodnih faza digitalizacije, suvremeni sustavi UI-ja ne automatiziraju samo rutinske postupke, nego sve češće podupiru analizu, komunikaciju, izradu sadržaja i druge kognitivno zahtjevne zadatke. U većini djelatnosti njihov će se učinak očitovati kroz promjenu načina rada i preraspodjelu zadataka između ljudi i tehnologije. Time se otvara prostor za veću učinkovitost, kreativnost i dostupnost usluga, ali i potreba za razvojem novih kompetencija, jasnom ljudskom odgovornošću i kvalitetnim upravljanjem promjenama.</w:t>
      </w:r>
    </w:p>
    <w:p w14:paraId="5A68DE85" w14:textId="75C38195" w:rsidR="0050654F" w:rsidRPr="00A609CA" w:rsidRDefault="0050654F" w:rsidP="009D2C35">
      <w:pPr>
        <w:pStyle w:val="Tijeloteksta"/>
        <w:spacing w:before="301" w:line="276" w:lineRule="auto"/>
        <w:ind w:right="283"/>
        <w:jc w:val="both"/>
      </w:pPr>
      <w:r>
        <w:t>Brzo širenje generativnog UI-ja i drugih oblika UI-ja donosi i rizike povezane sa zaštitom temeljnih prava, privatnošću i sigurnošću podataka, diskriminacijom, netransparentnim odlučivanjem, dezinformacijama i kibernetičkim prijetnjama. Razvoj UI-ja zato nije samo tehnološko ili tržišno pitanje, nego pitanje strateškog javnog interesa. Koristi će biti održive samo ako se UI razvija i primjenjuje na pouzdan, siguran i društveno odgovoran način.</w:t>
      </w:r>
    </w:p>
    <w:p w14:paraId="042D73B4" w14:textId="43606991" w:rsidR="0050654F" w:rsidRDefault="0050654F" w:rsidP="009D2C35">
      <w:pPr>
        <w:pStyle w:val="Tijeloteksta"/>
        <w:spacing w:before="301" w:line="276" w:lineRule="auto"/>
        <w:ind w:right="283"/>
        <w:jc w:val="both"/>
      </w:pPr>
      <w:r>
        <w:t xml:space="preserve">Europska unija uspostavila je Aktom o </w:t>
      </w:r>
      <w:r w:rsidR="0003055D">
        <w:t>UI-ju</w:t>
      </w:r>
      <w:r w:rsidR="00340464">
        <w:t xml:space="preserve"> </w:t>
      </w:r>
      <w:r>
        <w:t>zajednički regulatorni okvir koji se temelji na razinama rizika, zaštiti temeljnih prava i jasnim obvezama za razvoj i uporabu UI sustava. Za Republiku Hrvatsku taj okvir istodobno predstavlja regulatornu obvezu i razvojnu priliku: pravna sigurnost, kvalitetan nadzor i usklađeni standardi mogu povećati povjerenje i ubrzati odgovornu primjenu UI-ja u gospodarstvu i javnom sektoru.</w:t>
      </w:r>
    </w:p>
    <w:p w14:paraId="34702416" w14:textId="2CB4CBB6" w:rsidR="00AB16AD" w:rsidRDefault="009A1AA2" w:rsidP="009A1AA2">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4" w:name="_Toc242947256"/>
      <w:r w:rsidRPr="00896667">
        <w:rPr>
          <w:rFonts w:ascii="Times New Roman" w:eastAsia="Times New Roman" w:hAnsi="Times New Roman" w:cs="Times New Roman"/>
          <w:b/>
          <w:bCs/>
          <w:color w:val="auto"/>
          <w:lang w:val="hr-HR"/>
        </w:rPr>
        <w:t>Pravni i politički okvir Europske unije</w:t>
      </w:r>
      <w:bookmarkEnd w:id="24"/>
    </w:p>
    <w:p w14:paraId="672E8366" w14:textId="5E9695E7" w:rsidR="00A918CC" w:rsidRDefault="00A918CC" w:rsidP="009D2C35">
      <w:pPr>
        <w:pStyle w:val="Tijeloteksta"/>
        <w:spacing w:before="301" w:line="276" w:lineRule="auto"/>
        <w:ind w:right="283"/>
        <w:jc w:val="both"/>
      </w:pPr>
      <w:r>
        <w:t xml:space="preserve">Nacionalni plan provodi se unutar širega pravnog i političkog okvira Europske unije kojim se uređuju razvoj i primjena umjetne inteligencije, upravljanje i razmjena podataka, zaštita osobnih podataka, interoperabilnost javnog sektora, kibernetička sigurnost i otpornost, otvoreni podaci, autorsko pravo te razvoj zajedničkih europskih podatkovnih prostora. Uz Akt o </w:t>
      </w:r>
      <w:r w:rsidR="00D42DA9">
        <w:t>UI-ju</w:t>
      </w:r>
      <w:r>
        <w:t>, za provedbu pojedinih posebnih ciljeva i područja primjene osobito su relevantni:</w:t>
      </w:r>
    </w:p>
    <w:p w14:paraId="7E73BF06" w14:textId="77777777" w:rsidR="00A918CC" w:rsidRDefault="00A918CC" w:rsidP="00445462">
      <w:pPr>
        <w:pStyle w:val="Tijeloteksta"/>
        <w:numPr>
          <w:ilvl w:val="0"/>
          <w:numId w:val="15"/>
        </w:numPr>
        <w:spacing w:before="301" w:line="276" w:lineRule="auto"/>
        <w:ind w:right="283"/>
        <w:jc w:val="both"/>
      </w:pPr>
      <w:r>
        <w:t>Uredba (EU) 2016/679 Europskog parlamenta i Vijeća od 27. travnja 2016. o zaštiti pojedinaca u vezi s obradom osobnih podataka i o slobodnom kretanju takvih podataka te o stavljanju izvan snage Direktive 95/46/EZ (Opća uredba o zaštiti podataka) i Zakon o provedbi Opće uredbe o zaštiti podataka (NN 42/18);</w:t>
      </w:r>
    </w:p>
    <w:p w14:paraId="39743EF8" w14:textId="77777777" w:rsidR="00A918CC" w:rsidRDefault="00A918CC" w:rsidP="00445462">
      <w:pPr>
        <w:pStyle w:val="Tijeloteksta"/>
        <w:numPr>
          <w:ilvl w:val="0"/>
          <w:numId w:val="15"/>
        </w:numPr>
        <w:spacing w:before="301" w:line="276" w:lineRule="auto"/>
        <w:ind w:right="283"/>
        <w:jc w:val="both"/>
      </w:pPr>
      <w:r>
        <w:lastRenderedPageBreak/>
        <w:t>Uredba (EU) 2022/868 Europskog parlamenta i Vijeća od 30. svibnja 2022. o europskom upravljanju podacima i izmjeni Uredbe (EU) 2018/1724 (Akt o upravljanju podacima);</w:t>
      </w:r>
    </w:p>
    <w:p w14:paraId="3BA07840" w14:textId="77777777" w:rsidR="00A918CC" w:rsidRDefault="00A918CC" w:rsidP="00445462">
      <w:pPr>
        <w:pStyle w:val="Tijeloteksta"/>
        <w:numPr>
          <w:ilvl w:val="0"/>
          <w:numId w:val="15"/>
        </w:numPr>
        <w:spacing w:before="301" w:line="276" w:lineRule="auto"/>
        <w:ind w:right="283"/>
        <w:jc w:val="both"/>
      </w:pPr>
      <w:r>
        <w:t>Uredba (EU) 2023/2854 Europskog parlamenta i Vijeća od 13. prosinca 2023. o usklađenim pravilima za pravedan pristup podacima i njihovu uporabu i o izmjeni Uredbe (EU) 2017/2394 i Direktive (EU) 2020/1828 (Akt o podacima);</w:t>
      </w:r>
    </w:p>
    <w:p w14:paraId="16320605" w14:textId="77777777" w:rsidR="00A918CC" w:rsidRDefault="00A918CC" w:rsidP="00445462">
      <w:pPr>
        <w:pStyle w:val="Tijeloteksta"/>
        <w:numPr>
          <w:ilvl w:val="0"/>
          <w:numId w:val="15"/>
        </w:numPr>
        <w:spacing w:before="301" w:line="276" w:lineRule="auto"/>
        <w:ind w:right="283"/>
        <w:jc w:val="both"/>
      </w:pPr>
      <w:r>
        <w:t>Uredba (EU) 2025/327 Europskog parlamenta i Vijeća od 11. veljače 2025. o europskom prostoru za zdravstvene podatke i o izmjeni Direktive 2011/24/EU i Uredbe (EU) 2024/2847;</w:t>
      </w:r>
    </w:p>
    <w:p w14:paraId="181DAE55" w14:textId="77777777" w:rsidR="00A918CC" w:rsidRDefault="00A918CC" w:rsidP="00445462">
      <w:pPr>
        <w:pStyle w:val="Tijeloteksta"/>
        <w:numPr>
          <w:ilvl w:val="0"/>
          <w:numId w:val="15"/>
        </w:numPr>
        <w:spacing w:before="301" w:line="276" w:lineRule="auto"/>
        <w:ind w:right="283"/>
        <w:jc w:val="both"/>
      </w:pPr>
      <w:r>
        <w:t>Direktiva (EU) 2022/2555 Europskog parlamenta i Vijeća od 14. prosinca 2022. o mjerama za visoku zajedničku razinu kibersigurnosti širom Unije, izmjeni Uredbe (EU) br. 910/2014 i Direktive (EU) 2018/1972 i stavljanju izvan snage Direktive (EU) 2016/1148 (Direktiva NIS 2) i Zakon o kibernetičkoj sigurnosti (NN 14/24);</w:t>
      </w:r>
    </w:p>
    <w:p w14:paraId="45B5B56A" w14:textId="77777777" w:rsidR="00A918CC" w:rsidRDefault="00A918CC" w:rsidP="00445462">
      <w:pPr>
        <w:pStyle w:val="Tijeloteksta"/>
        <w:numPr>
          <w:ilvl w:val="0"/>
          <w:numId w:val="15"/>
        </w:numPr>
        <w:spacing w:before="301" w:line="276" w:lineRule="auto"/>
        <w:ind w:right="283"/>
        <w:jc w:val="both"/>
      </w:pPr>
      <w:r>
        <w:t>Direktiva (EU) 2022/2557 Europskog parlamenta i Vijeća od 14. prosinca 2022. o otpornosti kritičnih subjekata i stavljanju izvan snage Direktive Vijeća 2008/114/EZ;</w:t>
      </w:r>
    </w:p>
    <w:p w14:paraId="66FD88BC" w14:textId="77777777" w:rsidR="00A918CC" w:rsidRDefault="00A918CC" w:rsidP="00445462">
      <w:pPr>
        <w:pStyle w:val="Tijeloteksta"/>
        <w:numPr>
          <w:ilvl w:val="0"/>
          <w:numId w:val="15"/>
        </w:numPr>
        <w:spacing w:before="301" w:line="276" w:lineRule="auto"/>
        <w:ind w:right="283"/>
        <w:jc w:val="both"/>
      </w:pPr>
      <w:r>
        <w:t>Uredba (EU) 2024/2847 Europskog parlamenta i Vijeća od 23. listopada 2024. o horizontalnim zahtjevima u pogledu kibernetičke sigurnosti za proizvode s digitalnim elementima i o izmjeni uredbi (EU) br. 168/2013 i (EU) 2019/1020 te Direktive (EU) 2020/1828 (Akt o kibernetičkoj otpornosti);</w:t>
      </w:r>
    </w:p>
    <w:p w14:paraId="27737D59" w14:textId="1371ED89" w:rsidR="00A918CC" w:rsidRDefault="00A918CC" w:rsidP="00445462">
      <w:pPr>
        <w:pStyle w:val="Tijeloteksta"/>
        <w:numPr>
          <w:ilvl w:val="0"/>
          <w:numId w:val="15"/>
        </w:numPr>
        <w:spacing w:before="301" w:line="276" w:lineRule="auto"/>
        <w:ind w:right="283"/>
        <w:jc w:val="both"/>
      </w:pPr>
      <w:r>
        <w:t>Uredba (EU) 2024/903 Europskog parlamenta i Vijeća od 13. ožujka 2024. o utvrđivanju mjera za visoku razinu interoperabilnosti javnog sektora u Uniji (Akt o interoperabilnoj Europi)</w:t>
      </w:r>
      <w:r w:rsidR="007F7629">
        <w:t>.</w:t>
      </w:r>
    </w:p>
    <w:p w14:paraId="6EE9778F" w14:textId="2C978F00" w:rsidR="004846A0" w:rsidRDefault="00A918CC" w:rsidP="009D2C35">
      <w:pPr>
        <w:pStyle w:val="Tijeloteksta"/>
        <w:spacing w:before="301" w:line="276" w:lineRule="auto"/>
        <w:ind w:right="283"/>
        <w:jc w:val="both"/>
      </w:pPr>
      <w:r>
        <w:t>Direktiva (EU) 2019/1024 Europskog parlamenta i Vijeća od 20. lipnja 2019. o otvorenim podatcima i ponovnoj uporabi informacija javnog sektora (preinaka); teDirektiva (EU) 2019/790 Europskog parlamenta i Vijeća od 17. travnja 2019. o autorskom i srodnim pravima na jedinstvenom digitalnom tržištu i izmjeni direktiva 96/9/EZ i 2001/29/EZ.</w:t>
      </w:r>
      <w:r w:rsidR="008C4762">
        <w:t xml:space="preserve"> </w:t>
      </w:r>
      <w:r w:rsidR="004846A0" w:rsidRPr="004846A0">
        <w:t>Navedeni propisi čine postojeći pravni okvir unutar kojega se provode mjere Nacionalnog plana i njihovim se navođenjem ne uspostavljaju nove regulatorne obveze. Propisi o upravljanju podacima, interoperabilnosti i otvorenim podacima osobito su relevantni za Posebni cilj 2., pravila o umjetnoj inteligenciji i zaštiti osobnih podataka za Posebni cilj 3., propisi o kibernetičkoj sigurnosti i otpornosti za razvoj sigurne infrastrukture i područje nacionalne otpornosti, a sektorski propisi primjenjuju se u odgovarajućim područjima primjene, uključujući zdravstvo te kulturu, medije i kreativne industrije. Politički okvir provedbe dodatno određuje Odluka (EU) 2022/2481 o uspostavi programa politike Digitalno desetljeće do 2030., s čijim se ciljevima i mehanizmima praćenja Nacionalni plan povezuje.</w:t>
      </w:r>
    </w:p>
    <w:p w14:paraId="5EBC7CA2" w14:textId="0E553A05" w:rsidR="0050654F" w:rsidRPr="00A609CA" w:rsidRDefault="0050654F" w:rsidP="009D2C35">
      <w:pPr>
        <w:pStyle w:val="Tijeloteksta"/>
        <w:spacing w:before="301" w:line="276" w:lineRule="auto"/>
        <w:ind w:right="283"/>
        <w:jc w:val="both"/>
      </w:pPr>
      <w:r>
        <w:lastRenderedPageBreak/>
        <w:t>U takvom okruženju Republika Hrvatska treba povezati razvojne, regulatorne, obrazovne i sigurnosne politike u jedinstven smjer djelovanja. Ovaj Nacionalni plan razvoja umjetne inteligencije za razdoblje do 2032. godine (dalje: Nacionalni plan) uspostavlja okvir za koordinirano djelovanje tijela javne vlasti, gospodarstva, akademske i istraživačke zajednice, socijalnih partnera, civilnog društva i građana s ciljem da se potencijal UI-ja pretvori u mjerljive gospodarske i društvene koristi uz očuvanje sigurnosti, prava i povjerenja.</w:t>
      </w:r>
    </w:p>
    <w:p w14:paraId="5576DBDC" w14:textId="3B53F4E7" w:rsidR="00F83C15" w:rsidRPr="00A609CA" w:rsidRDefault="00C13C1F" w:rsidP="00F83C15">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5" w:name="_Toc242947257"/>
      <w:r w:rsidRPr="00C13C1F">
        <w:rPr>
          <w:rFonts w:ascii="Times New Roman" w:eastAsia="Times New Roman" w:hAnsi="Times New Roman" w:cs="Times New Roman"/>
          <w:b/>
          <w:bCs/>
          <w:color w:val="auto"/>
          <w:lang w:val="hr-HR"/>
        </w:rPr>
        <w:t>Međunarodni okvir i suradnja</w:t>
      </w:r>
      <w:bookmarkEnd w:id="25"/>
    </w:p>
    <w:p w14:paraId="7DAD8DA6" w14:textId="77777777" w:rsidR="00336787" w:rsidRDefault="00336787">
      <w:pPr>
        <w:rPr>
          <w:sz w:val="24"/>
          <w:lang w:val="hr-HR"/>
        </w:rPr>
      </w:pPr>
    </w:p>
    <w:p w14:paraId="0379581F" w14:textId="6A8C6AB5" w:rsidR="003A2CB9" w:rsidRDefault="003A2CB9" w:rsidP="009D2C35">
      <w:pPr>
        <w:pStyle w:val="Tijeloteksta"/>
        <w:spacing w:before="301" w:line="276" w:lineRule="auto"/>
        <w:ind w:right="283"/>
        <w:jc w:val="both"/>
      </w:pPr>
      <w:r w:rsidRPr="003A2CB9">
        <w:t>Razvoj i primjena umjetne inteligencije predmet su sve razvijenijega međunarodnog okvira koji nadopunjuje pravni i politički okvir Europske unije. Republika Hrvatska u tom okviru djeluje kao država članica Ujedinjenih naroda i Vijeća Europe te kao država u postupku pristupanja Organizaciji za ekonomsku suradnju i razvoj (OECD). Nacionalni plan provodit će se uz uvažavanje relevantnih međunarodnih standarda, preporuka i mehanizama suradnje u području pouzdane, sigurne i odgovorne umjetne inteligencije.</w:t>
      </w:r>
    </w:p>
    <w:p w14:paraId="6965D05A" w14:textId="2E4634A7" w:rsidR="003A2CB9" w:rsidRDefault="003A2CB9" w:rsidP="009D2C35">
      <w:pPr>
        <w:pStyle w:val="Tijeloteksta"/>
        <w:spacing w:before="301" w:line="276" w:lineRule="auto"/>
        <w:ind w:right="283"/>
        <w:jc w:val="both"/>
      </w:pPr>
      <w:r w:rsidRPr="003A2CB9">
        <w:t>Okvirna konvencija Vijeća Europe o umjetnoj inteligenciji i ljudskim pravima, demokraciji i vladavini prava (CETS br. 225) prvi je međunarodni pravno obvezujući ugovor posebno posvećen umjetnoj inteligenciji. Konvencija uspostavlja okvir za zaštitu ljudskih prava, demokracije i vladavine prava tijekom životnog ciklusa UI sustava. Europska unija ratificirala je Konvenciju 15. svibnja 2026., dok Republika Hrvatska prema stanju u vrijeme izrade Nacionalnog plana nije njezina potpisnica. Neovisno o statusu Republike Hrvatske prema Konvenciji, metodologija Vijeća Europe HUDERIA za procjenu rizika i učinaka UI sustava na ljudska prava, demokraciju i vladavinu prava koristit će se kao jedna od referentnih osnova pri razvoju metodologija u okviru Posebnog cilja 3.</w:t>
      </w:r>
    </w:p>
    <w:p w14:paraId="09DD36DA" w14:textId="7973BC6A" w:rsidR="009E2B2F" w:rsidRDefault="009E2B2F" w:rsidP="009D2C35">
      <w:pPr>
        <w:pStyle w:val="Tijeloteksta"/>
        <w:spacing w:before="301" w:line="276" w:lineRule="auto"/>
        <w:ind w:right="283"/>
        <w:jc w:val="both"/>
      </w:pPr>
      <w:r w:rsidRPr="009E2B2F">
        <w:t>Preporuka Vijeća OECD-a o umjetnoj inteligenciji (OECD/LEGAL/0449) utvrđuje međunarodno prihvaćena načela pouzdane umjetne inteligencije koja obuhvaćaju uključivi rast i održivi razvoj, poštovanje ljudskih prava i demokratskih vrijednosti, transparentnost i objašnjivost, otpornost, sigurnost i zaštitu te odgovornost. Republika Hrvatska pristupila je Preporuci 15. svibnja 2026. te će njezina načela i povezane metodološke okvire koristiti kao referentnu osnovu za provedbu i međunarodnu usporedivost Nacionalnog plana. Sudjelovanje u relevantnim tijelima i aktivnostima OECD-a u području digitalne politike i umjetne inteligencije podupirat će razmjenu iskustava, usporedbu rezultata i primjenu međunarodnih dobrih praksi.</w:t>
      </w:r>
    </w:p>
    <w:p w14:paraId="4B6D5B02" w14:textId="5442BE66" w:rsidR="009E2B2F" w:rsidRDefault="009E2B2F" w:rsidP="009D2C35">
      <w:pPr>
        <w:pStyle w:val="Tijeloteksta"/>
        <w:spacing w:before="301" w:line="276" w:lineRule="auto"/>
        <w:ind w:right="283"/>
        <w:jc w:val="both"/>
      </w:pPr>
      <w:r w:rsidRPr="009E2B2F">
        <w:t xml:space="preserve">U okviru Ujedinjenih naroda razvoj međunarodne suradnje u području umjetne inteligencije povezan je sa zaštitom ljudskih prava, održivim razvojem, izgradnjom kapaciteta i smanjivanjem digitalnih nejednakosti. Globalni digitalni sporazum </w:t>
      </w:r>
      <w:r w:rsidRPr="00896667">
        <w:rPr>
          <w:i/>
          <w:iCs/>
        </w:rPr>
        <w:t>(Global Digital Compact)</w:t>
      </w:r>
      <w:r w:rsidRPr="009E2B2F">
        <w:t xml:space="preserve">, usvojen 2024. kao sastavni dio Sporazuma za budućnost </w:t>
      </w:r>
      <w:r w:rsidRPr="00896667">
        <w:rPr>
          <w:i/>
          <w:iCs/>
        </w:rPr>
        <w:t>(Pact for the Future)</w:t>
      </w:r>
      <w:r w:rsidRPr="009E2B2F">
        <w:t xml:space="preserve">, utvrđuje okvir globalne digitalne suradnje i upravljanja umjetnom inteligencijom. Ujedinjeni narodi su 2025. uspostavili i Neovisno međunarodno znanstveno povjerenstvo za umjetnu </w:t>
      </w:r>
      <w:r w:rsidRPr="009E2B2F">
        <w:lastRenderedPageBreak/>
        <w:t>inteligenciju te Globalni dijalog o upravljanju umjetnom inteligencijom. Republika Hrvatska pridonosit će tim procesima te koristiti njihove relevantne rezultate pri razvoju nacionalnih politika, osobito u područjima upravljanja, sigurnosti, izgradnje kapaciteta i doprinosa ostvarivanju ciljeva održivog razvoja.</w:t>
      </w:r>
    </w:p>
    <w:p w14:paraId="7EBD41C8" w14:textId="56C1F8D5" w:rsidR="003C3D3D" w:rsidRDefault="003C3D3D" w:rsidP="009D2C35">
      <w:pPr>
        <w:pStyle w:val="Tijeloteksta"/>
        <w:spacing w:before="301" w:line="276" w:lineRule="auto"/>
        <w:ind w:right="283"/>
        <w:jc w:val="both"/>
      </w:pPr>
      <w:r w:rsidRPr="003C3D3D">
        <w:t>Preporuka UNESCO-a o etici umjetne inteligencije iz 2021. godine koristit će se kao dodatni referentni okvir za etičku dimenziju razvoja i primjene UI-ja, osobito u pitanjima ljudskog dostojanstva, temeljnih prava, nediskriminacije, transparentnosti, ljudskog nadzora, uključivosti i održivosti. Sudjelovanje Republike Hrvatske u međunarodnim okvirima istodobno će podupirati pristup usporednim podacima i dobrim praksama, uključivanje hrvatskih istraživačkih i gospodarskih subjekata u međunarodne mreže te međunarodnu prepoznatljivost hrvatskih politika umjetne inteligencije. Nakon donošenja Nacionalnog plana ažurirat će se i njegov prikaz u OECD.AI Policy Navigatoru.</w:t>
      </w:r>
    </w:p>
    <w:p w14:paraId="2C7740F2" w14:textId="56497F16" w:rsidR="00ED570A" w:rsidRPr="00A609CA" w:rsidRDefault="00ED570A"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6" w:name="_Toc242947258"/>
      <w:r w:rsidRPr="00ED570A">
        <w:rPr>
          <w:rFonts w:ascii="Times New Roman" w:eastAsia="Times New Roman" w:hAnsi="Times New Roman" w:cs="Times New Roman"/>
          <w:b/>
          <w:bCs/>
          <w:color w:val="auto"/>
          <w:lang w:val="hr-HR"/>
        </w:rPr>
        <w:t>Usklađenost sa strateškim okvirom Republike Hrvatske</w:t>
      </w:r>
      <w:bookmarkEnd w:id="26"/>
    </w:p>
    <w:p w14:paraId="668CE86D" w14:textId="77777777" w:rsidR="00EC51BE" w:rsidRDefault="00EC51BE" w:rsidP="009D2C35">
      <w:pPr>
        <w:pStyle w:val="Tijeloteksta"/>
        <w:spacing w:before="301" w:line="276" w:lineRule="auto"/>
        <w:ind w:right="283"/>
        <w:jc w:val="both"/>
      </w:pPr>
      <w:r>
        <w:t>Nacionalni plan usklađen je s Nacionalnom razvojnom strategijom Republike Hrvatske do 2030. godine (NN 13/21), kao hijerarhijski najvišim aktom strateškog planiranja Republike Hrvatske. Njegova provedba izravno doprinosi ostvarivanju Strateškog cilja 11. „Digitalna tranzicija društva i gospodarstva”, osobito kroz razvoj digitalnih kompetencija, podatkovne i računalne infrastrukture, digitalnu transformaciju gospodarstva i javnog sektora te sigurnu i odgovornu primjenu naprednih digitalnih tehnologija. Nacionalni plan doprinosi i Strateškom cilju 1. „Konkurentno i inovativno gospodarstvo” kroz poticanje istraživanja, inovacija, razvoja i primjene UI-ja u poduzećima, Strateškom cilju 2. „Obrazovani i zaposleni ljudi” kroz razvoj UI kompetencija te Strateškom cilju 7. „Sigurnost za stabilan razvoj” kroz jačanje sigurnosti i otpornosti UI sustava i povezane digitalne infrastrukture.</w:t>
      </w:r>
    </w:p>
    <w:p w14:paraId="1BA54043" w14:textId="26F36ECD" w:rsidR="00EC51BE" w:rsidRDefault="00EC51BE" w:rsidP="009D2C35">
      <w:pPr>
        <w:pStyle w:val="Tijeloteksta"/>
        <w:spacing w:before="301" w:line="276" w:lineRule="auto"/>
        <w:ind w:right="283"/>
        <w:jc w:val="both"/>
      </w:pPr>
      <w:r>
        <w:t>Nacionalni plan neposredno se nadovezuje na Strategiju digitalne Hrvatske za razdoblje do 2032. godine (NN 2/23), koja određuje dugoročni okvir digitalne transformacije hrvatskog društva, javne uprave i gospodarstva. Nacionalnim planom taj se okvir dodatno razrađuje u području umjetne inteligencije kroz četiri posebna cilja koji obuhvaćaju razvoj ljudskih potencijala, računalne i podatkovne infrastrukture, etičnu, zakonitu i sigurnu primjenu UI-ja te istraživanje, inovacije i primjenu UI-ja u gospodarstvu.</w:t>
      </w:r>
    </w:p>
    <w:p w14:paraId="11E8682C" w14:textId="1B66BB0C" w:rsidR="00ED570A" w:rsidRDefault="00EC51BE" w:rsidP="009D2C35">
      <w:pPr>
        <w:pStyle w:val="Tijeloteksta"/>
        <w:spacing w:before="301" w:line="276" w:lineRule="auto"/>
        <w:ind w:right="283"/>
        <w:jc w:val="both"/>
      </w:pPr>
      <w:r>
        <w:t>Nacionalni plan povezan je i sa Strategijom pametne specijalizacije Republike Hrvatske za razdoblje do 2029. godine</w:t>
      </w:r>
      <w:r w:rsidR="00A17E5B">
        <w:t xml:space="preserve"> (S3)</w:t>
      </w:r>
      <w:r>
        <w:t>, osobito kroz usmjeravanje razvoja i primjene UI-ja prema prioritetnim područjima istraživanja, razvoja i inovacija te jačanju konkurentnosti i uključivanju hrvatskih dionika u europske lance vrijednosti. Povezanost s drugim relevantnim sektorskim i višesektorskim aktima strateškog planiranja dodatno se ostvaruje kroz područja primjene UI-ja razrađena u ovom Nacionalnom planu.</w:t>
      </w:r>
    </w:p>
    <w:p w14:paraId="723C282C" w14:textId="77777777" w:rsidR="00EC51BE" w:rsidRDefault="00EC51BE" w:rsidP="009D2C35">
      <w:pPr>
        <w:pStyle w:val="Tijeloteksta"/>
        <w:spacing w:before="301" w:line="276" w:lineRule="auto"/>
        <w:ind w:right="283"/>
        <w:jc w:val="both"/>
      </w:pPr>
      <w:r w:rsidRPr="00EC51BE">
        <w:t xml:space="preserve">U vrijeme izrade Nacionalnog plana u tijeku je i izrada Nacionalnog plana za razvoj industrije Republike Hrvatske za razdoblje od 2027. do 2034. godine te Nacionalnog plana kibernetičke sigurnosti od 2027. do 2031. godine i pripadajućih akcijskih planova. Pri izradi </w:t>
      </w:r>
      <w:r w:rsidRPr="00EC51BE">
        <w:lastRenderedPageBreak/>
        <w:t>ovoga Nacionalnog plana usklađuju se povezana područja intervencija kako bi se osigurala međusobna komplementarnost akata strateškog planiranja, jasno razgraničile odgovornosti i izvori financiranja te izbjeglo preklapanje ili izostavljanje mjera, osobito u područjima digitalne transformacije i primjene UI-ja u industriji te sigurnosti UI sustava, kibernetičke sigurnosti i otpornosti digitalne infrastrukture.</w:t>
      </w:r>
    </w:p>
    <w:p w14:paraId="15476105" w14:textId="22AA16DF" w:rsidR="00EC51BE" w:rsidRPr="009D0F6F" w:rsidRDefault="00EC51BE" w:rsidP="009D2C35">
      <w:pPr>
        <w:pStyle w:val="Tijeloteksta"/>
        <w:spacing w:before="301" w:line="276" w:lineRule="auto"/>
        <w:ind w:right="283"/>
        <w:jc w:val="both"/>
      </w:pPr>
      <w:r w:rsidRPr="00EC51BE">
        <w:t>Budući da Nacionalna razvojna strategija Republike Hrvatske do 2030. godine obuhvaća kraće razdoblje od ovoga Nacionalnog plana, nakon donošenja nacionalne razvojne strategije za razdoblje nakon 2030. godine preispitat će se usklađenost ciljeva, prioriteta i pokazatelja Nacionalnog plana s novim dugoročnim strateškim okvirom te će se Nacionalni plan, prema potrebi, izmijeniti ili dopuniti.</w:t>
      </w:r>
    </w:p>
    <w:p w14:paraId="691DB578" w14:textId="5399F9DB" w:rsidR="0014028C" w:rsidRPr="00A609CA" w:rsidRDefault="00524CB4"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7" w:name="_Toc236064830"/>
      <w:r>
        <w:rPr>
          <w:rFonts w:ascii="Times New Roman" w:eastAsia="Times New Roman" w:hAnsi="Times New Roman" w:cs="Times New Roman"/>
          <w:b/>
          <w:bCs/>
          <w:color w:val="auto"/>
          <w:lang w:val="hr-HR"/>
        </w:rPr>
        <w:t xml:space="preserve"> </w:t>
      </w:r>
      <w:bookmarkStart w:id="28" w:name="_Toc242947259"/>
      <w:r w:rsidR="005C48A0">
        <w:rPr>
          <w:rFonts w:ascii="Times New Roman" w:eastAsia="Times New Roman" w:hAnsi="Times New Roman" w:cs="Times New Roman"/>
          <w:b/>
          <w:bCs/>
          <w:color w:val="auto"/>
          <w:lang w:val="hr-HR"/>
        </w:rPr>
        <w:t>Polazište Republike Hrvatske: upravljanje i razina usvajanja UI-ja</w:t>
      </w:r>
      <w:bookmarkEnd w:id="27"/>
      <w:bookmarkEnd w:id="28"/>
    </w:p>
    <w:p w14:paraId="30FA4D5E" w14:textId="77777777" w:rsidR="00112A42" w:rsidRPr="00A609CA" w:rsidRDefault="00112A42" w:rsidP="00112A42">
      <w:pPr>
        <w:rPr>
          <w:lang w:val="hr-HR"/>
        </w:rPr>
      </w:pPr>
    </w:p>
    <w:p w14:paraId="60FBCECA" w14:textId="5939C26E" w:rsidR="00943CCA" w:rsidRPr="00A609CA" w:rsidRDefault="00943CCA" w:rsidP="009D2C35">
      <w:pPr>
        <w:pStyle w:val="Tijeloteksta"/>
        <w:spacing w:before="301" w:line="276" w:lineRule="auto"/>
        <w:ind w:right="283"/>
        <w:jc w:val="both"/>
      </w:pPr>
      <w:r>
        <w:t>Razvoj i primjena UI-ja u Republici Hrvatskoj odvijaju se unutar europskog strateškog, regulatornog i financijskog okvira. Republika Hrvatska sudjeluje u provedbi ciljeva digitalnog desetljeća, utvrđenih Odlukom (EU) 2022/2481 o uspostavi programa politike Digitalno desetljeće do 2030., europskim programima istraživanja i digitalizacije te zajedničkim inicijativama u području podataka, računalne infrastrukture, vještina i inovacija. Time su stvoreni važni pr</w:t>
      </w:r>
      <w:r>
        <w:rPr>
          <w:color w:val="000000"/>
        </w:rPr>
        <w:t>eduvjeti za širu i bržu primjenu UI-ja, ali njihovi učinci ovise o sposobnosti povezivanja europskih mogućnosti s nacionalnim prioritetima i provedbenim kapacitetima.</w:t>
      </w:r>
    </w:p>
    <w:p w14:paraId="37390136" w14:textId="050F8D78" w:rsidR="00943CCA" w:rsidRPr="009D0F6F" w:rsidRDefault="00231BC0" w:rsidP="009D2C35">
      <w:pPr>
        <w:pStyle w:val="Tijeloteksta"/>
        <w:spacing w:before="301" w:line="276" w:lineRule="auto"/>
        <w:ind w:right="283"/>
        <w:jc w:val="both"/>
        <w:rPr>
          <w:color w:val="000000"/>
        </w:rPr>
      </w:pPr>
      <w:r>
        <w:rPr>
          <w:color w:val="000000"/>
        </w:rPr>
        <w:t>UI je do sada bio obuhvaćen različitim horizontalnim i sektorskim politikama, osobito u području digitalne transformacije javne uprave, istraživanja i inovacija, obrazovanja, razvoja digitalnih vještina, kibernetičke sigurnosti i podatkovnog gospodarstva. Takav je pristup omogućio pokretanje niza važnih inicijativa, ali je istodobno doveo do rascjepkanosti odgovornosti, ciljeva i izvora financiranja. Horizontalna priroda razvoja i primjene UI-ja zahtijeva sudjelovanje više resora i institucija, no upravo zato mora postojati jasno određena središnja koordinacija, raspodjela odgovornosti i sustav praćenja rezultata.</w:t>
      </w:r>
    </w:p>
    <w:p w14:paraId="20F048B0" w14:textId="40B2E2D3" w:rsidR="00943CCA" w:rsidRPr="009D0F6F" w:rsidRDefault="00231BC0" w:rsidP="009D2C35">
      <w:pPr>
        <w:pStyle w:val="Tijeloteksta"/>
        <w:spacing w:before="301" w:line="276" w:lineRule="auto"/>
        <w:ind w:right="283"/>
        <w:jc w:val="both"/>
        <w:rPr>
          <w:color w:val="000000"/>
        </w:rPr>
      </w:pPr>
      <w:r>
        <w:rPr>
          <w:color w:val="000000"/>
        </w:rPr>
        <w:t>Republika Hrvatska raspolaže stabilnim regulatornim i institucionalnim temeljima, relevantnom akademskom i stručnom bazom te iskustvom u provedbi digitalnih projekata. Ipak, još nije uspostavljen dovoljno integriran sustav koji bi povezivao razvoj infrastrukture, upravljanje podacima, obrazovanje, istraživanje, inovacije i sektorsku primjenu UI-ja. Nacionalni plan zato ne polazi od nule: njegova je uloga objediniti postojeća ulaganja i inicijative, ukloniti ključne prepreke te usmjeriti raspoložive resurse prema zajedničkim i mjerljivim prioritetima.</w:t>
      </w:r>
    </w:p>
    <w:p w14:paraId="3D215A22" w14:textId="59081F90" w:rsidR="00943CCA" w:rsidRPr="009D0F6F" w:rsidRDefault="00231BC0" w:rsidP="009D2C35">
      <w:pPr>
        <w:pStyle w:val="Tijeloteksta"/>
        <w:spacing w:before="301" w:line="276" w:lineRule="auto"/>
        <w:ind w:right="283"/>
        <w:jc w:val="both"/>
        <w:rPr>
          <w:color w:val="000000"/>
        </w:rPr>
      </w:pPr>
      <w:r>
        <w:rPr>
          <w:color w:val="000000"/>
        </w:rPr>
        <w:t xml:space="preserve">Primjena UI-ja u hrvatskom gospodarstvu raste, ali je i dalje manje raširena i slabije strateški usmjerena nego u naprednijim državama članicama Europske unije. U mnogim poduzećima uporaba je usmjerena na pojedinačne alate i zadatke s nižim pragom ulaska, dok su rjeđe zastupljena rješenja koja mijenjaju temeljne poslovne procese, razvoj proizvoda i usluga ili </w:t>
      </w:r>
      <w:r>
        <w:rPr>
          <w:color w:val="000000"/>
        </w:rPr>
        <w:lastRenderedPageBreak/>
        <w:t>način donošenja odluka. Poseban izazov predstavljaju mala i srednja poduzeća (MSP) koja često nemaju dovoljno stručnih kapaciteta, kvalitetnih podataka, financijskih resursa ni pravne sigurnosti u pogledu regulatornih zahtjeva.</w:t>
      </w:r>
    </w:p>
    <w:p w14:paraId="438BAE28" w14:textId="532BCC37" w:rsidR="00943CCA" w:rsidRPr="009D0F6F" w:rsidRDefault="00231BC0" w:rsidP="009D2C35">
      <w:pPr>
        <w:pStyle w:val="Tijeloteksta"/>
        <w:spacing w:before="301" w:line="276" w:lineRule="auto"/>
        <w:ind w:right="283"/>
        <w:jc w:val="both"/>
        <w:rPr>
          <w:color w:val="000000"/>
        </w:rPr>
      </w:pPr>
      <w:r>
        <w:rPr>
          <w:color w:val="000000"/>
        </w:rPr>
        <w:t>Istodobno, interes poduzeća i zaposlenika za UI pokazuje da postoji znatan neiskorišten potencijal. Njegovo aktiviranje zahtijeva kombinaciju razvoja vještina, dostupne stručne i infrastrukturne potpore, lakšeg pristupa financiranju, jasnih pravila i poticajnog okruženja za eksperimentiranje. Javne politike trebaju posebno poduprijeti prijelaz s povremene uporabe gotovih alata na sustavnu i odgovornu primjenu UI-ja koja povećava produktivnost, inovacijsku sposobnost i međunarodnu konkurentnost.</w:t>
      </w:r>
    </w:p>
    <w:p w14:paraId="2420173E" w14:textId="77777777" w:rsidR="00112A42" w:rsidRPr="00A609CA" w:rsidRDefault="00112A42" w:rsidP="00112A42">
      <w:pPr>
        <w:rPr>
          <w:lang w:val="hr-HR"/>
        </w:rPr>
      </w:pPr>
    </w:p>
    <w:p w14:paraId="2D5CB458" w14:textId="77777777" w:rsidR="003821F8" w:rsidRPr="00A609CA" w:rsidRDefault="003821F8" w:rsidP="00B4511F">
      <w:pPr>
        <w:pStyle w:val="Istaknutonaslov"/>
        <w:shd w:val="clear" w:color="auto" w:fill="EDEDED" w:themeFill="accent3" w:themeFillTint="33"/>
        <w:ind w:right="283"/>
        <w:rPr>
          <w:rFonts w:ascii="Times New Roman" w:hAnsi="Times New Roman" w:cs="Times New Roman"/>
          <w:sz w:val="24"/>
          <w:szCs w:val="24"/>
          <w:lang w:val="hr-HR"/>
        </w:rPr>
      </w:pPr>
      <w:r>
        <w:rPr>
          <w:rFonts w:ascii="Times New Roman" w:hAnsi="Times New Roman" w:cs="Times New Roman"/>
          <w:sz w:val="24"/>
          <w:szCs w:val="24"/>
          <w:lang w:val="hr-HR"/>
        </w:rPr>
        <w:t>ISTAKNUTO | Ključni pokazatelji usvajanja UI-ja u gospodarstvu</w:t>
      </w:r>
    </w:p>
    <w:p w14:paraId="587F7201" w14:textId="698FB03A" w:rsidR="003821F8"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Prema javno dostupnim podacima, 15,</w:t>
      </w:r>
      <w:r w:rsidR="003C475B">
        <w:rPr>
          <w:rFonts w:ascii="Times New Roman" w:hAnsi="Times New Roman"/>
          <w:color w:val="000000"/>
          <w:sz w:val="24"/>
          <w:lang w:val="hr-HR"/>
        </w:rPr>
        <w:t>19</w:t>
      </w:r>
      <w:r>
        <w:rPr>
          <w:rFonts w:ascii="Times New Roman" w:hAnsi="Times New Roman"/>
          <w:color w:val="000000"/>
          <w:sz w:val="24"/>
          <w:lang w:val="hr-HR"/>
        </w:rPr>
        <w:t xml:space="preserve"> % poduzeća u Republici Hrvatskoj koristi neki oblik UI-ja, u odnosu na </w:t>
      </w:r>
      <w:r w:rsidR="003C475B">
        <w:rPr>
          <w:rFonts w:ascii="Times New Roman" w:hAnsi="Times New Roman"/>
          <w:color w:val="000000"/>
          <w:sz w:val="24"/>
          <w:lang w:val="hr-HR"/>
        </w:rPr>
        <w:t>19</w:t>
      </w:r>
      <w:r>
        <w:rPr>
          <w:rFonts w:ascii="Times New Roman" w:hAnsi="Times New Roman"/>
          <w:color w:val="000000"/>
          <w:sz w:val="24"/>
          <w:lang w:val="hr-HR"/>
        </w:rPr>
        <w:t>,</w:t>
      </w:r>
      <w:r w:rsidR="003C475B">
        <w:rPr>
          <w:rFonts w:ascii="Times New Roman" w:hAnsi="Times New Roman"/>
          <w:color w:val="000000"/>
          <w:sz w:val="24"/>
          <w:lang w:val="hr-HR"/>
        </w:rPr>
        <w:t>95</w:t>
      </w:r>
      <w:r>
        <w:rPr>
          <w:rFonts w:ascii="Times New Roman" w:hAnsi="Times New Roman"/>
          <w:color w:val="000000"/>
          <w:sz w:val="24"/>
          <w:lang w:val="hr-HR"/>
        </w:rPr>
        <w:t xml:space="preserve"> % na razini Europske unije.</w:t>
      </w:r>
    </w:p>
    <w:p w14:paraId="2C4568A1" w14:textId="295D55B3" w:rsidR="003821F8"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Najčešće istaknute prepreke su nedostatak stručnih znanja</w:t>
      </w:r>
      <w:r w:rsidR="003C475B">
        <w:rPr>
          <w:rFonts w:ascii="Times New Roman" w:hAnsi="Times New Roman"/>
          <w:color w:val="000000"/>
          <w:sz w:val="24"/>
          <w:lang w:val="hr-HR"/>
        </w:rPr>
        <w:t xml:space="preserve">, </w:t>
      </w:r>
      <w:r>
        <w:rPr>
          <w:rFonts w:ascii="Times New Roman" w:hAnsi="Times New Roman"/>
          <w:color w:val="000000"/>
          <w:sz w:val="24"/>
          <w:lang w:val="hr-HR"/>
        </w:rPr>
        <w:t>troškovi implementacije i regulatorna neizvjesnost</w:t>
      </w:r>
      <w:r w:rsidR="003C475B">
        <w:rPr>
          <w:rFonts w:ascii="Times New Roman" w:hAnsi="Times New Roman"/>
          <w:color w:val="000000"/>
          <w:sz w:val="24"/>
          <w:lang w:val="hr-HR"/>
        </w:rPr>
        <w:t>.</w:t>
      </w:r>
    </w:p>
    <w:p w14:paraId="7DCBC146" w14:textId="27AFBA38" w:rsidR="003821F8"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 xml:space="preserve">Ključni jaz nije samo u broju korisnika, nego </w:t>
      </w:r>
      <w:r>
        <w:rPr>
          <w:rFonts w:ascii="Times New Roman" w:hAnsi="Times New Roman" w:cs="Times New Roman"/>
          <w:color w:val="000000"/>
          <w:sz w:val="24"/>
          <w:szCs w:val="24"/>
          <w:lang w:val="hr-HR"/>
        </w:rPr>
        <w:t xml:space="preserve">i </w:t>
      </w:r>
      <w:r>
        <w:rPr>
          <w:rFonts w:ascii="Times New Roman" w:hAnsi="Times New Roman"/>
          <w:color w:val="000000"/>
          <w:sz w:val="24"/>
          <w:lang w:val="hr-HR"/>
        </w:rPr>
        <w:t xml:space="preserve">u malom udjelu poduzeća koja imaju strategiju UI-ja, </w:t>
      </w:r>
      <w:r>
        <w:rPr>
          <w:rFonts w:ascii="Times New Roman" w:hAnsi="Times New Roman" w:cs="Times New Roman"/>
          <w:color w:val="000000"/>
          <w:sz w:val="24"/>
          <w:szCs w:val="24"/>
          <w:lang w:val="hr-HR"/>
        </w:rPr>
        <w:t>jasno definirane</w:t>
      </w:r>
      <w:r>
        <w:rPr>
          <w:rFonts w:ascii="Times New Roman" w:hAnsi="Times New Roman"/>
          <w:color w:val="000000"/>
          <w:sz w:val="24"/>
          <w:lang w:val="hr-HR"/>
        </w:rPr>
        <w:t xml:space="preserve"> odgovornosti, uređeno upravljanje podacima i plan razvoja kompetencija.</w:t>
      </w:r>
    </w:p>
    <w:p w14:paraId="22F19FB9" w14:textId="18E884CC" w:rsidR="00B4511F"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 xml:space="preserve">Najmanje osnovnu razinu digitalnog intenziteta imalo je 57,1 % hrvatskih MSP-ova, </w:t>
      </w:r>
      <w:r>
        <w:rPr>
          <w:rFonts w:ascii="Times New Roman" w:hAnsi="Times New Roman" w:cs="Times New Roman"/>
          <w:color w:val="000000"/>
          <w:sz w:val="24"/>
          <w:szCs w:val="24"/>
          <w:lang w:val="hr-HR"/>
        </w:rPr>
        <w:t>dok je to</w:t>
      </w:r>
      <w:r>
        <w:rPr>
          <w:rFonts w:ascii="Times New Roman" w:hAnsi="Times New Roman"/>
          <w:color w:val="000000"/>
          <w:sz w:val="24"/>
          <w:lang w:val="hr-HR"/>
        </w:rPr>
        <w:t xml:space="preserve"> 71,4 % na razini Europske unije.</w:t>
      </w:r>
      <w:r>
        <w:rPr>
          <w:rFonts w:ascii="Times New Roman" w:hAnsi="Times New Roman" w:cs="Times New Roman"/>
          <w:color w:val="000000"/>
          <w:sz w:val="24"/>
          <w:szCs w:val="24"/>
          <w:lang w:val="hr-HR"/>
        </w:rPr>
        <w:t xml:space="preserve"> </w:t>
      </w:r>
    </w:p>
    <w:p w14:paraId="29BAC207" w14:textId="66B8AE47" w:rsidR="00831F8B"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 xml:space="preserve">Računalstvo u oblaku koristilo je 43,3 % poduzeća u Hrvatskoj, </w:t>
      </w:r>
      <w:r>
        <w:rPr>
          <w:rFonts w:ascii="Times New Roman" w:hAnsi="Times New Roman" w:cs="Times New Roman"/>
          <w:color w:val="000000"/>
          <w:sz w:val="24"/>
          <w:szCs w:val="24"/>
          <w:lang w:val="hr-HR"/>
        </w:rPr>
        <w:t>u odnosu na</w:t>
      </w:r>
      <w:r>
        <w:rPr>
          <w:rFonts w:ascii="Times New Roman" w:hAnsi="Times New Roman"/>
          <w:color w:val="000000"/>
          <w:sz w:val="24"/>
          <w:lang w:val="hr-HR"/>
        </w:rPr>
        <w:t xml:space="preserve"> 46,7 % u Europskoj uniji.</w:t>
      </w:r>
    </w:p>
    <w:p w14:paraId="7CB23DE9" w14:textId="5A56DC9A" w:rsidR="00831F8B"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Udio poduzeća koja koriste najmanje jednu od tehnologija UI-ja, računalstva u oblaku ili analitike podataka smanjio se sa 65,6 % u 2023. na 60,8 % u 2025. godini, dok je prosjek Europske unije iznosio 63,2 %.</w:t>
      </w:r>
    </w:p>
    <w:p w14:paraId="4FF272FC" w14:textId="453911E6" w:rsidR="00831F8B" w:rsidRPr="009D0F6F" w:rsidRDefault="00231BC0" w:rsidP="00B4511F">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 xml:space="preserve">Sustav potpora postaje usmjereniji, ali je još </w:t>
      </w:r>
      <w:r>
        <w:rPr>
          <w:rFonts w:ascii="Times New Roman" w:hAnsi="Times New Roman" w:cs="Times New Roman"/>
          <w:color w:val="000000"/>
          <w:sz w:val="24"/>
          <w:szCs w:val="24"/>
          <w:lang w:val="hr-HR"/>
        </w:rPr>
        <w:t xml:space="preserve">uvijek </w:t>
      </w:r>
      <w:r>
        <w:rPr>
          <w:rFonts w:ascii="Times New Roman" w:hAnsi="Times New Roman"/>
          <w:color w:val="000000"/>
          <w:sz w:val="24"/>
          <w:lang w:val="hr-HR"/>
        </w:rPr>
        <w:t xml:space="preserve">rascjepkan, a mnogim MSP-ovima nedostaje </w:t>
      </w:r>
      <w:r>
        <w:rPr>
          <w:rFonts w:ascii="Times New Roman" w:hAnsi="Times New Roman" w:cs="Times New Roman"/>
          <w:color w:val="000000"/>
          <w:sz w:val="24"/>
          <w:szCs w:val="24"/>
          <w:lang w:val="hr-HR"/>
        </w:rPr>
        <w:t>cjelovit</w:t>
      </w:r>
      <w:r>
        <w:rPr>
          <w:rFonts w:ascii="Times New Roman" w:hAnsi="Times New Roman"/>
          <w:color w:val="000000"/>
          <w:sz w:val="24"/>
          <w:lang w:val="hr-HR"/>
        </w:rPr>
        <w:t xml:space="preserve"> put od procjene potreba i pilotiranja do financiranja, uvođenja i skaliranja rješenja.</w:t>
      </w:r>
    </w:p>
    <w:p w14:paraId="37B0349E" w14:textId="1CC7D30C" w:rsidR="00155F6E" w:rsidRPr="00A11BFB" w:rsidRDefault="00683983" w:rsidP="00112A42">
      <w:pPr>
        <w:rPr>
          <w:rFonts w:ascii="Times New Roman" w:hAnsi="Times New Roman" w:cs="Times New Roman"/>
          <w:lang w:val="hr-HR"/>
        </w:rPr>
      </w:pPr>
      <w:r w:rsidRPr="00A11BFB">
        <w:rPr>
          <w:rFonts w:ascii="Times New Roman" w:hAnsi="Times New Roman" w:cs="Times New Roman"/>
          <w:lang w:val="hr-HR"/>
        </w:rPr>
        <w:t xml:space="preserve">Izvor podataka: </w:t>
      </w:r>
      <w:r w:rsidR="00842A6B" w:rsidRPr="00A11BFB">
        <w:rPr>
          <w:rFonts w:ascii="Times New Roman" w:hAnsi="Times New Roman" w:cs="Times New Roman"/>
          <w:lang w:val="hr-HR"/>
        </w:rPr>
        <w:t>Europska komisija, Izvješće o stanju digitalnog desetljeća za 2026. – Izvješće za Hrvatsku, SWD(2026) 155 final, 2026.</w:t>
      </w:r>
    </w:p>
    <w:p w14:paraId="23CD2ECF" w14:textId="77F8190B" w:rsidR="0071799E" w:rsidRPr="00FD233F" w:rsidRDefault="00806149"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29" w:name="_Toc236064831"/>
      <w:bookmarkStart w:id="30" w:name="_Toc242947260"/>
      <w:r>
        <w:rPr>
          <w:rFonts w:ascii="Times New Roman" w:eastAsia="Times New Roman" w:hAnsi="Times New Roman" w:cs="Times New Roman"/>
          <w:b/>
          <w:bCs/>
          <w:color w:val="auto"/>
          <w:lang w:val="hr-HR"/>
        </w:rPr>
        <w:t>UI u javnom sektoru: postojeći temelji i prostor za širenje</w:t>
      </w:r>
      <w:bookmarkEnd w:id="29"/>
      <w:bookmarkEnd w:id="30"/>
    </w:p>
    <w:p w14:paraId="6B9D8256" w14:textId="77777777" w:rsidR="00454531" w:rsidRPr="00A609CA" w:rsidRDefault="00454531" w:rsidP="00454531">
      <w:pPr>
        <w:rPr>
          <w:lang w:val="hr-HR"/>
        </w:rPr>
      </w:pPr>
    </w:p>
    <w:p w14:paraId="1BC3583E" w14:textId="2BF0DCC6" w:rsidR="00454531" w:rsidRPr="009D0F6F" w:rsidRDefault="00FD233F" w:rsidP="001A1226">
      <w:pPr>
        <w:pStyle w:val="Tijeloteksta"/>
        <w:spacing w:before="301" w:line="276" w:lineRule="auto"/>
        <w:ind w:right="283"/>
        <w:jc w:val="both"/>
        <w:rPr>
          <w:color w:val="000000"/>
        </w:rPr>
      </w:pPr>
      <w:r>
        <w:rPr>
          <w:color w:val="000000"/>
        </w:rPr>
        <w:t>Javni sektor ima višestruku ulogu u razvoju UI-ja: postavlja pravila i standarde, upravlja velikim dijelom podataka od javnog interesa, nabavlja i koristi tehnološka rješenja te može djelovati kao primjer odgovorne primjene. Dosadašnja digitalna transformacija rezultirala je razvojem brojnih e-usluga, informacijskih sustava, registara i zajedničkih platformi. Time su stvoreni početni preduvjeti za primjenu naprednije analitike i UI-ja u oblikovanju politika, internim procesima i pružanju usluga građanima i poduzećima.</w:t>
      </w:r>
    </w:p>
    <w:p w14:paraId="301D07D5" w14:textId="3E98E07F" w:rsidR="00454531" w:rsidRPr="009D0F6F" w:rsidRDefault="00FD233F" w:rsidP="001A1226">
      <w:pPr>
        <w:pStyle w:val="Tijeloteksta"/>
        <w:spacing w:before="301" w:line="276" w:lineRule="auto"/>
        <w:ind w:right="283"/>
        <w:jc w:val="both"/>
        <w:rPr>
          <w:color w:val="000000"/>
        </w:rPr>
      </w:pPr>
      <w:r>
        <w:rPr>
          <w:color w:val="000000"/>
        </w:rPr>
        <w:t xml:space="preserve">Primjena UI-ja trenutačno je najizraženija u područjima s većim količinama podataka, </w:t>
      </w:r>
      <w:r>
        <w:rPr>
          <w:color w:val="000000"/>
        </w:rPr>
        <w:lastRenderedPageBreak/>
        <w:t>ponavljajućim postupcima i potrebom za bržom obradom informacija. Postojeći projekti obuhvaćaju, među ostalim, anonimizaciju i pretraživanje sudskih odluka, obradu prostornih i satelitskih podataka, virtualne asistente, analitiku zdravstvenih i epidemioloških podataka, obradu oglasa za posao te prediktivne modele u gradovima i javnim službama. Ti primjeri potvrđuju da u hrvatskom javnom sektoru postoje iskustvo, potražnja i stručni kapaciteti za razvoj korisnih rješenja.</w:t>
      </w:r>
    </w:p>
    <w:p w14:paraId="64C250E4" w14:textId="7479B37C" w:rsidR="00454531" w:rsidRPr="009D0F6F" w:rsidRDefault="00FD233F" w:rsidP="001A1226">
      <w:pPr>
        <w:pStyle w:val="Tijeloteksta"/>
        <w:spacing w:before="301" w:line="276" w:lineRule="auto"/>
        <w:ind w:right="283"/>
        <w:jc w:val="both"/>
        <w:rPr>
          <w:color w:val="000000"/>
        </w:rPr>
      </w:pPr>
      <w:r>
        <w:rPr>
          <w:color w:val="000000"/>
        </w:rPr>
        <w:t>Pojedinačni projekti, međutim, još ne čine jedinstven sustav primjene UI-ja. Projekti se razvijaju u različitim tehnološkim, podatkovnim i organizacijskim okruženjima, a institucije nemaju uvijek jednaku razinu znanja o procjeni potreba, nabavi, upravljanju rizicima i vrednovanju učinaka. Šira primjena zato zahtijeva zajedničke standarde, metodološku i stručnu potporu, interoperabilne podatkovne platforme, siguran pristup računalnim resursima te jasno utvrđen model odgovornosti tijekom cijelog životnog ciklusa UI sustava.</w:t>
      </w:r>
    </w:p>
    <w:p w14:paraId="551BE873" w14:textId="3391B1C2" w:rsidR="00AC0977" w:rsidRPr="00A609CA" w:rsidRDefault="00332D05" w:rsidP="001A1226">
      <w:pPr>
        <w:pStyle w:val="Tijeloteksta"/>
        <w:spacing w:before="301" w:line="276" w:lineRule="auto"/>
        <w:ind w:right="283"/>
        <w:jc w:val="both"/>
      </w:pPr>
      <w:r>
        <w:t>Najnoviji europski pokazatelji potvrđuju da je digitalizacija javnih usluga i dalje neujednačen</w:t>
      </w:r>
      <w:r>
        <w:rPr>
          <w:color w:val="000000"/>
        </w:rPr>
        <w:t xml:space="preserve">a. Republika Hrvatska u 2025. godini ostvaruje 75,3 boda u području digitalnih javnih usluga za građane, u odnosu na 84,6 bodova na razini Europske unije, te 67,6 bodova za digitalne javne usluge poduzećima, u odnosu na 88,6 bodova u Europskoj uniji. </w:t>
      </w:r>
      <w:r>
        <w:t>Istodobno je dostupnost elektroničkih zdravstvenih podataka, s rezultatom od 87,1 boda, nešto iznad prosjeka Europske unije od 86,5 bodova. Najveći prostor za napredak ostaje u uslugama za poduzeća, prekograničnim uslugama, integraciji registara, praktičnoj primjeni načela „samo jednom” te povezivanju sektorskih usluga sa zajedničkim državnim platformama</w:t>
      </w:r>
      <w:r w:rsidR="00A11BFB">
        <w:rPr>
          <w:rStyle w:val="Referencafusnote"/>
        </w:rPr>
        <w:footnoteReference w:id="2"/>
      </w:r>
      <w:r>
        <w:t>.</w:t>
      </w:r>
    </w:p>
    <w:p w14:paraId="0DA624DB" w14:textId="72A7A2D5" w:rsidR="00454531" w:rsidRPr="00A609CA" w:rsidRDefault="00332D05" w:rsidP="001A1226">
      <w:pPr>
        <w:pStyle w:val="Tijeloteksta"/>
        <w:spacing w:before="301" w:line="276" w:lineRule="auto"/>
        <w:ind w:right="283"/>
        <w:jc w:val="both"/>
      </w:pPr>
      <w:r>
        <w:rPr>
          <w:color w:val="000000"/>
        </w:rPr>
        <w:t>Središnja koordinacija ne treba zamijeniti odgovornost sektorskih tijela koja najbolje poznaju potrebe svojih korisnika i područja djelovanja. Njezina je svrha osigurati zajednička pravila, ponovnu uporabu provjerenih rješenja, razmjenu znanja i dosljedno upravljanje rizicima. Posebnu pozornost treba usmjeriti na projekte koji mogu brzo pokazati javnu vrijednost, uz istodobno ulaganje u dugoročne temelje kao što su podaci, vještine, infrastruktura i institucionalni kapaciteti</w:t>
      </w:r>
      <w:r>
        <w:t>.</w:t>
      </w:r>
    </w:p>
    <w:p w14:paraId="0D44998C" w14:textId="77777777" w:rsidR="00454531" w:rsidRPr="00A609CA" w:rsidRDefault="00454531" w:rsidP="00454531">
      <w:pPr>
        <w:rPr>
          <w:lang w:val="hr-HR"/>
        </w:rPr>
      </w:pPr>
    </w:p>
    <w:p w14:paraId="4972DBBC" w14:textId="77777777" w:rsidR="00CD3D48" w:rsidRPr="00A609CA" w:rsidRDefault="00CD3D48" w:rsidP="00FF7A74">
      <w:pPr>
        <w:pStyle w:val="Istaknutonaslov"/>
        <w:shd w:val="clear" w:color="auto" w:fill="EDEDED" w:themeFill="accent3" w:themeFillTint="33"/>
        <w:ind w:right="283"/>
        <w:rPr>
          <w:rFonts w:ascii="Times New Roman" w:hAnsi="Times New Roman" w:cs="Times New Roman"/>
          <w:sz w:val="24"/>
          <w:szCs w:val="24"/>
          <w:lang w:val="hr-HR"/>
        </w:rPr>
      </w:pPr>
      <w:r>
        <w:rPr>
          <w:rFonts w:ascii="Times New Roman" w:hAnsi="Times New Roman" w:cs="Times New Roman"/>
          <w:sz w:val="24"/>
          <w:szCs w:val="24"/>
          <w:lang w:val="hr-HR"/>
        </w:rPr>
        <w:t>ISTAKNUTO | Reprezentativna područja postojeće primjene</w:t>
      </w:r>
    </w:p>
    <w:p w14:paraId="5664992E" w14:textId="19334DEA" w:rsidR="00CD3D48" w:rsidRPr="009D0F6F" w:rsidRDefault="00332D05" w:rsidP="00256187">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Pravosuđe i uprava: anonimizacija i pretraživanje sudskih odluka, upravljanje predmetima i digitalna potpora korisnicima.</w:t>
      </w:r>
    </w:p>
    <w:p w14:paraId="6C556A67" w14:textId="0A9EAD6C" w:rsidR="00CD3D48" w:rsidRPr="009D0F6F" w:rsidRDefault="00332D05" w:rsidP="00256187">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Prostorni podaci i nadzor okoliša: detekcija promjena u prostoru te analiza satelitskih i zračnih snimaka.</w:t>
      </w:r>
    </w:p>
    <w:p w14:paraId="23DFD274" w14:textId="20C9A6D8" w:rsidR="00CD3D48" w:rsidRPr="009D0F6F" w:rsidRDefault="00332D05" w:rsidP="00256187">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Zdravstvo: virtualni asistenti, trijaža i analitika zdravstvenih podataka.</w:t>
      </w:r>
    </w:p>
    <w:p w14:paraId="5C99684E" w14:textId="77777777" w:rsidR="00CD3D48" w:rsidRPr="009D0F6F" w:rsidRDefault="00CD3D48" w:rsidP="00256187">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Statistika i tržište rada: automatsko prikupljanje, obrada i analiza podataka iz različitih izvora.</w:t>
      </w:r>
    </w:p>
    <w:p w14:paraId="04437313" w14:textId="325E7217" w:rsidR="00CD3D48" w:rsidRPr="009D0F6F" w:rsidRDefault="00332D05" w:rsidP="00256187">
      <w:pPr>
        <w:pStyle w:val="Grafikeoznake"/>
        <w:shd w:val="clear" w:color="auto" w:fill="EDEDED" w:themeFill="accent3" w:themeFillTint="33"/>
        <w:spacing w:after="40" w:line="276" w:lineRule="auto"/>
        <w:ind w:left="0" w:right="283" w:firstLine="0"/>
        <w:rPr>
          <w:rFonts w:ascii="Times New Roman" w:hAnsi="Times New Roman"/>
          <w:color w:val="000000"/>
          <w:sz w:val="24"/>
          <w:lang w:val="hr-HR"/>
        </w:rPr>
      </w:pPr>
      <w:r>
        <w:rPr>
          <w:rFonts w:ascii="Times New Roman" w:hAnsi="Times New Roman"/>
          <w:color w:val="000000"/>
          <w:sz w:val="24"/>
          <w:lang w:val="hr-HR"/>
        </w:rPr>
        <w:t>Gradovi i javne službe: prediktivno upravljanje prometom, turističkim opterećenjem i drugim lokalnim sustavima.</w:t>
      </w:r>
    </w:p>
    <w:p w14:paraId="589A6D93" w14:textId="77C17534" w:rsidR="000F310E" w:rsidRPr="00A609CA" w:rsidRDefault="005F0DE5"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31" w:name="_Toc236064832"/>
      <w:bookmarkStart w:id="32" w:name="_Toc242947261"/>
      <w:r>
        <w:rPr>
          <w:rFonts w:ascii="Times New Roman" w:eastAsia="Times New Roman" w:hAnsi="Times New Roman" w:cs="Times New Roman"/>
          <w:b/>
          <w:bCs/>
          <w:color w:val="auto"/>
          <w:lang w:val="hr-HR"/>
        </w:rPr>
        <w:lastRenderedPageBreak/>
        <w:t>Ključni razvojni preduvjeti: ljudi, podaci, infrastruktura i hrvatski jezik</w:t>
      </w:r>
      <w:bookmarkEnd w:id="31"/>
      <w:bookmarkEnd w:id="32"/>
    </w:p>
    <w:p w14:paraId="3ADFF7ED" w14:textId="77777777" w:rsidR="004F19D8" w:rsidRPr="00A609CA" w:rsidRDefault="004F19D8" w:rsidP="004F19D8">
      <w:pPr>
        <w:rPr>
          <w:lang w:val="hr-HR"/>
        </w:rPr>
      </w:pPr>
    </w:p>
    <w:p w14:paraId="685469B9" w14:textId="34B91DD5" w:rsidR="004F19D8" w:rsidRPr="009D0F6F" w:rsidRDefault="00332D05" w:rsidP="001A1226">
      <w:pPr>
        <w:pStyle w:val="Tijeloteksta"/>
        <w:spacing w:before="301" w:line="276" w:lineRule="auto"/>
        <w:ind w:right="283"/>
        <w:jc w:val="both"/>
        <w:rPr>
          <w:color w:val="000000"/>
        </w:rPr>
      </w:pPr>
      <w:r>
        <w:rPr>
          <w:color w:val="000000"/>
        </w:rPr>
        <w:t>Razvoj i sigurna primjena UI-ja ovise o međusobno povezanim preduvjetima: dostupnim stručnjacima i korisničkim vještinama, kvalitetnim podacima, računalnoj infrastrukturi, jasnim pravilima pristupa te sposobnosti institucija i poduzeća da upravljaju složenim tehnološkim projektima. Nedostatak bilo kojeg od tih elemenata može ograničiti vrijednost ostalih ulaganja. Nacionalni pristup zato mora istodobno jačati tehnološke resurse i organizacijske kapacitete za njihovu učinkovitu uporabu.</w:t>
      </w:r>
    </w:p>
    <w:p w14:paraId="52671685" w14:textId="2DD7C950" w:rsidR="008C61CB" w:rsidRPr="009D0F6F" w:rsidRDefault="00332D05" w:rsidP="001A1226">
      <w:pPr>
        <w:pStyle w:val="Tijeloteksta"/>
        <w:spacing w:before="301" w:line="276" w:lineRule="auto"/>
        <w:ind w:right="283"/>
        <w:jc w:val="both"/>
        <w:rPr>
          <w:color w:val="000000"/>
        </w:rPr>
      </w:pPr>
      <w:r>
        <w:rPr>
          <w:color w:val="000000"/>
        </w:rPr>
        <w:t>Osnovna povezanost znatno je unaprijeđena: u 2025. godini pokrivenost vrlo visokokapacitetnim mrežama iznosila je 82,68 %, pokrivenost optičkom mrežom do prostora korisnika 77,94 %, a osnovna pokrivenost mrežom 5G 97,78 %. Republika Hrvatska bilježi pokrivenost optičkom mrežom i mrežom 5G iznad prosjeka Europske unije, ali i dalje postoje izražene razlike u slabije naseljenim i tržišno manje privlačnim područjima. Istodobno, uporaba najnaprednijih priključaka zaostaje: samo 10,07 % fiksnih širokopojasnih pretplata ima brzinu od najmanje 1 Gbit/s, u odnosu na 26,97 % u Europskoj uniji</w:t>
      </w:r>
      <w:r w:rsidR="00575330">
        <w:rPr>
          <w:rStyle w:val="Referencafusnote"/>
          <w:color w:val="000000"/>
        </w:rPr>
        <w:footnoteReference w:id="3"/>
      </w:r>
      <w:r>
        <w:rPr>
          <w:color w:val="000000"/>
        </w:rPr>
        <w:t>.</w:t>
      </w:r>
    </w:p>
    <w:p w14:paraId="0968D293" w14:textId="7D0B5C62" w:rsidR="004F19D8" w:rsidRPr="009D0F6F" w:rsidRDefault="00332D05" w:rsidP="001A1226">
      <w:pPr>
        <w:pStyle w:val="Tijeloteksta"/>
        <w:spacing w:before="301" w:line="276" w:lineRule="auto"/>
        <w:ind w:right="283"/>
        <w:jc w:val="both"/>
        <w:rPr>
          <w:color w:val="000000"/>
        </w:rPr>
      </w:pPr>
      <w:r>
        <w:rPr>
          <w:color w:val="000000"/>
        </w:rPr>
        <w:t xml:space="preserve">Republika Hrvatska ima dobru digitalnu povezanost i razvijenu osnovnu komunikacijsku infrastrukturu, što predstavlja važnu početnu prednost. Ipak, kapaciteti namijenjeni zahtjevnijim </w:t>
      </w:r>
      <w:r>
        <w:t>UI radnim opterećenjima</w:t>
      </w:r>
      <w:r>
        <w:rPr>
          <w:color w:val="000000"/>
        </w:rPr>
        <w:t xml:space="preserve">, osobito pristup grafičkim procesorskim jedinicama (GPU), visokoučinkovitom računalstvu i sigurnim okruženjima za razvoj i testiranje, ostaju ograničeni. Pritom izazov nije samo količina raspoložive računalne opreme, nego i mogućnost da istraživači, inovativna poduzeća i javne institucije pravodobno i pod jasnim uvjetima pristupe računalnim resursima potrebnima za pilot-projekte, razvoj modela i primjenu pouzdanih aplikacija. </w:t>
      </w:r>
    </w:p>
    <w:p w14:paraId="15630841" w14:textId="3BC8967E" w:rsidR="004F19D8" w:rsidRPr="009D0F6F" w:rsidRDefault="00332D05" w:rsidP="001A1226">
      <w:pPr>
        <w:pStyle w:val="Tijeloteksta"/>
        <w:spacing w:before="301" w:line="276" w:lineRule="auto"/>
        <w:ind w:right="283"/>
        <w:jc w:val="both"/>
        <w:rPr>
          <w:color w:val="000000"/>
        </w:rPr>
      </w:pPr>
      <w:r>
        <w:rPr>
          <w:color w:val="000000"/>
        </w:rPr>
        <w:t>Ulaganja u podatkovno jezero (</w:t>
      </w:r>
      <w:r>
        <w:rPr>
          <w:i/>
          <w:color w:val="000000"/>
        </w:rPr>
        <w:t>Data lake</w:t>
      </w:r>
      <w:r>
        <w:rPr>
          <w:color w:val="000000"/>
        </w:rPr>
        <w:t>), Centar dijeljenih usluga (CDU) i središnji sustav interoperabilnosti (SSI) stvaraju važne temelje za razvoj UI-ja u javnom sektoru. Njihov će puni učinak ovisiti o kvaliteti, ažurnosti i standardiziranosti podataka, uređenim pravima pristupa, dokumentiranim metapodacima i sigurnim načinima razmjene. Interoperabilnost treba omogućiti da se podaci koriste zakonito i svrhovito unutar javne uprave, ali i da Republika Hrvatska sudjeluje u zajedničkim europskim podatkovnim prostorima bez stvaranja novih zatvorenih sustava i tehnološke ovisnosti.</w:t>
      </w:r>
      <w:r w:rsidR="00F32616">
        <w:rPr>
          <w:color w:val="000000"/>
        </w:rPr>
        <w:t xml:space="preserve"> </w:t>
      </w:r>
      <w:r w:rsidR="00F32616" w:rsidRPr="00F32616">
        <w:rPr>
          <w:color w:val="000000"/>
        </w:rPr>
        <w:t>Razvoj interoperabilnosti provodit će se i u skladu s relevantnim zahtjevima Akta o interoperabilnoj Europi.</w:t>
      </w:r>
    </w:p>
    <w:p w14:paraId="13405798" w14:textId="6B1780BD" w:rsidR="004F19D8" w:rsidRPr="009D0F6F" w:rsidRDefault="00332D05" w:rsidP="001A1226">
      <w:pPr>
        <w:pStyle w:val="Tijeloteksta"/>
        <w:spacing w:before="301" w:line="276" w:lineRule="auto"/>
        <w:ind w:right="283"/>
        <w:jc w:val="both"/>
        <w:rPr>
          <w:color w:val="000000"/>
        </w:rPr>
      </w:pPr>
      <w:r>
        <w:rPr>
          <w:color w:val="000000"/>
        </w:rPr>
        <w:t xml:space="preserve">Ljudski kapital predstavlja jednako važan izazov. Republika Hrvatska ima relevantnu akademsku i istraživačku bazu u računarstvu, strojnom učenju, obradi jezika i podatkovnoj znanosti te razmjerno snažan priljev diplomanata informacijskih i komunikacijskih tehnologija (IKT). Međutim, nedostaje stručnjaka koji povezuju tehničko znanje s razumijevanjem poslovnih procesa, javnih politika, prava, etike i upravljanja promjenama. Potrebno je istodobno povećavati broj visoko specijaliziranih stručnjaka, razvijati UI </w:t>
      </w:r>
      <w:r>
        <w:rPr>
          <w:color w:val="000000"/>
        </w:rPr>
        <w:lastRenderedPageBreak/>
        <w:t>pismenost među širom radnom snagom</w:t>
      </w:r>
      <w:r w:rsidRPr="00E070B0">
        <w:rPr>
          <w:color w:val="000000"/>
        </w:rPr>
        <w:t xml:space="preserve"> </w:t>
      </w:r>
      <w:r>
        <w:rPr>
          <w:color w:val="000000"/>
        </w:rPr>
        <w:t>i osposobljavati rukovoditelje koji odlučuju o ulaganjima, rizicima i organizacijskim promjenama.</w:t>
      </w:r>
    </w:p>
    <w:p w14:paraId="3D9CC713" w14:textId="548FCA9C" w:rsidR="00AF0794" w:rsidRPr="009D0F6F" w:rsidRDefault="00332D05" w:rsidP="001A1226">
      <w:pPr>
        <w:pStyle w:val="Tijeloteksta"/>
        <w:spacing w:before="301" w:line="276" w:lineRule="auto"/>
        <w:ind w:right="283"/>
        <w:jc w:val="both"/>
        <w:rPr>
          <w:color w:val="000000"/>
        </w:rPr>
      </w:pPr>
      <w:r>
        <w:rPr>
          <w:color w:val="000000"/>
        </w:rPr>
        <w:t>U 2025. godini 63,38 % stanovništva u dobi od 16 do 74 godine imalo je barem osnovne digitalne vještine, što je iznad prosjeka Europske unije od 60,39 %, ali ispod nacionalne putanje prema cilju za 2030. godinu. Rezultat prikriva velike razlike: osnovne digitalne vještine ima samo 21,6 % osoba s niskom razinom formalnog obrazovanja i 34,99 % osoba u dobi od 55 do 74 godine. Udio IKT stručnjaka u zaposlenosti iznosi 4,9 %, što je približno prosjeku Europske unije od 5,0 %, dok IKT diplomanti čine 5,6 % svih diplomanata. Ključni izazov stoga nije samo broj stručnjaka, nego i njihovo zadržavanje, završavanje obrazovnih programa i usklađivanje njihovih kompetencija s potrebama tržišta rada</w:t>
      </w:r>
      <w:r w:rsidR="00387D97">
        <w:rPr>
          <w:rStyle w:val="Referencafusnote"/>
          <w:color w:val="000000"/>
        </w:rPr>
        <w:footnoteReference w:id="4"/>
      </w:r>
      <w:r>
        <w:rPr>
          <w:color w:val="000000"/>
        </w:rPr>
        <w:t>.</w:t>
      </w:r>
    </w:p>
    <w:p w14:paraId="266D1B9E" w14:textId="0889485C" w:rsidR="004F19D8" w:rsidRPr="00A609CA" w:rsidRDefault="00332D05" w:rsidP="001A1226">
      <w:pPr>
        <w:pStyle w:val="Tijeloteksta"/>
        <w:spacing w:before="301" w:line="276" w:lineRule="auto"/>
        <w:ind w:right="283"/>
        <w:jc w:val="both"/>
      </w:pPr>
      <w:r>
        <w:rPr>
          <w:color w:val="000000"/>
        </w:rPr>
        <w:t>Posebnu pažnju treba posvetiti zadržavanju talenata, povezivanju hrvatskih stručnjaka u inozemstvu s domaćim institucijama te stvaranju kvalitetnijih karijernih prilika u istraživanju, javnom sektoru i inovativnim poduzećima. Jednako je važno jačati oblike suradnje između akademske zajednice, gospodarstva i države, uključujući centre kompetencija, inovacijske centre i zajedničke razvojne projekte. Takvi mehanizmi mogu ubrzati prijenos znanja u javnu primjenu i tržišna rješenja te smanjiti rascjepkanost postojećeg ekosustava</w:t>
      </w:r>
      <w:r>
        <w:t>.</w:t>
      </w:r>
    </w:p>
    <w:p w14:paraId="42C9351F" w14:textId="25B2598D" w:rsidR="004F19D8" w:rsidRPr="009D0F6F" w:rsidRDefault="00332D05" w:rsidP="001A1226">
      <w:pPr>
        <w:pStyle w:val="Tijeloteksta"/>
        <w:spacing w:before="301" w:line="276" w:lineRule="auto"/>
        <w:ind w:right="283"/>
        <w:jc w:val="both"/>
        <w:rPr>
          <w:color w:val="000000"/>
        </w:rPr>
      </w:pPr>
      <w:r>
        <w:rPr>
          <w:color w:val="000000"/>
        </w:rPr>
        <w:t>Hrvatski jezik i jezični resursi imaju strateško značenje kao dio nacionalne digitalne infrastrukture. Bez kvalitetnih, zakonito prikupljenih i dobro dokumentiranih tekstualnih i govornih skupova podataka, rječnika, jezičnih korpusa, evaluacijskih skupova i modela, digitalne usluge na hrvatskom jeziku mogu zaostajati po kvaliteti, sigurnosti i dostupnosti. Sustavno ulaganje u hrvatske jezične tehnologije važno je za javne usluge, obrazovanje, kulturu i medije, ali i za očuvanje jezične i podatkovne suverenosti u europskom digitalnom prostoru.</w:t>
      </w:r>
    </w:p>
    <w:p w14:paraId="78A16C1F" w14:textId="4D1AA7DE" w:rsidR="00B66326" w:rsidRPr="009D0F6F" w:rsidRDefault="00332D05" w:rsidP="001A1226">
      <w:pPr>
        <w:pStyle w:val="Tijeloteksta"/>
        <w:spacing w:before="301" w:line="276" w:lineRule="auto"/>
        <w:ind w:right="283"/>
        <w:jc w:val="both"/>
        <w:rPr>
          <w:color w:val="000000"/>
        </w:rPr>
      </w:pPr>
      <w:r>
        <w:rPr>
          <w:color w:val="000000"/>
        </w:rPr>
        <w:t>Radi učinkovitog korištenja raspoloživih resursa Republika Hrvatska treba sustavno jačati horizontalne preduvjete za razvoj i sigurnu primjenu UI-ja. To uključuje sigurnu i suverenu računalnu i podatkovnu infrastrukturu, dostupnost kvalitetnih i interoperabilnih podataka, razvoj ljudskih i institucionalnih kapaciteta, hrvatske jezične resurse te pouzdan regulatorni i upravljački okvir. Istodobno je potrebno osigurati poticajno okruženje i ciljane instrumente potpore kako bi poduzeća, osobito MSP-ovi, brže razvijali, usvajali i primjenjivali UI, povećavali produktivnost i inovacijski kapacitet te jačali svoju konkurentnost na domaćem i međunarodnom tržištu.</w:t>
      </w:r>
    </w:p>
    <w:p w14:paraId="1179656B" w14:textId="6BD8D48A" w:rsidR="00B66326" w:rsidRPr="009D0F6F" w:rsidRDefault="00332D05" w:rsidP="001A1226">
      <w:pPr>
        <w:pStyle w:val="Tijeloteksta"/>
        <w:spacing w:before="301" w:line="276" w:lineRule="auto"/>
        <w:ind w:right="283"/>
        <w:jc w:val="both"/>
        <w:rPr>
          <w:color w:val="000000"/>
        </w:rPr>
      </w:pPr>
      <w:r>
        <w:rPr>
          <w:color w:val="000000"/>
        </w:rPr>
        <w:t xml:space="preserve">Na tako izgrađenim temeljima Republika Hrvatska treba usmjeravati ulaganja u odabrana područja primjene i specijalizirana tehnološka područja u kojima može ostvariti osobitu gospodarsku i društvenu vrijednost. Njihov odabir treba temeljiti na raspoloživom znanju i podacima, potrebama građana, javnog sektora i gospodarstva, tržišnom potencijalu te mogućnosti stvaranja veće dodane vrijednosti. Prioritete je potrebno periodično preispitivati </w:t>
      </w:r>
      <w:r>
        <w:rPr>
          <w:color w:val="000000"/>
        </w:rPr>
        <w:lastRenderedPageBreak/>
        <w:t>kako bi se provedba Nacionalnog plana mogla prilagođavati tehnološkim promjenama, novim razvojnim potrebama i prilikama.</w:t>
      </w:r>
    </w:p>
    <w:p w14:paraId="0684E64A" w14:textId="24193E22" w:rsidR="00D5391A" w:rsidRPr="002A50A1" w:rsidRDefault="00D74F71"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33" w:name="_Toc236064833"/>
      <w:bookmarkStart w:id="34" w:name="_Toc242947262"/>
      <w:r>
        <w:rPr>
          <w:rFonts w:ascii="Times New Roman" w:eastAsia="Times New Roman" w:hAnsi="Times New Roman" w:cs="Times New Roman"/>
          <w:b/>
          <w:bCs/>
          <w:color w:val="auto"/>
          <w:lang w:val="hr-HR"/>
        </w:rPr>
        <w:t>Tržište rada, povjerenje, temeljna prava i sigurnost</w:t>
      </w:r>
      <w:bookmarkEnd w:id="33"/>
      <w:bookmarkEnd w:id="34"/>
    </w:p>
    <w:p w14:paraId="6207B4C0" w14:textId="77777777" w:rsidR="00150056" w:rsidRPr="00A609CA" w:rsidRDefault="00150056" w:rsidP="00150056">
      <w:pPr>
        <w:rPr>
          <w:lang w:val="hr-HR"/>
        </w:rPr>
      </w:pPr>
    </w:p>
    <w:p w14:paraId="64C67C4F" w14:textId="481CA0E1" w:rsidR="00150056" w:rsidRPr="009D0F6F" w:rsidRDefault="00332D05" w:rsidP="001A1226">
      <w:pPr>
        <w:pStyle w:val="Tijeloteksta"/>
        <w:spacing w:before="301" w:line="276" w:lineRule="auto"/>
        <w:ind w:right="283"/>
        <w:jc w:val="both"/>
        <w:rPr>
          <w:color w:val="000000"/>
        </w:rPr>
      </w:pPr>
      <w:r>
        <w:rPr>
          <w:color w:val="000000"/>
        </w:rPr>
        <w:t>Učinci UI-ja na tržište rada u srednjoročnom će se razdoblju ponajprije očitovati kroz promjene sadržaja poslova, organizacije zadataka i potrebnih kompetencija, a ne samo kroz nestanak ili nastanak pojedinih zanimanja. Promjenama su najprije izloženi poslovi s velikim udjelom digitalizirane obrade informacija, izrade i analize dokumenata, komunikacije s korisnicima, programiranja, izvještavanja i administrativnih postupaka. U stručnim i tehničkim zanimanjima UI će često služiti kao alat za povećanje učinkovitosti zaposlenika, dok ljudska prosudba, odgovornost i razumijevanje konteksta ostaju ključni.</w:t>
      </w:r>
    </w:p>
    <w:p w14:paraId="2D9BDDE2" w14:textId="59EA1EF3" w:rsidR="00150056" w:rsidRPr="009D0F6F" w:rsidRDefault="00332D05" w:rsidP="001A1226">
      <w:pPr>
        <w:pStyle w:val="Tijeloteksta"/>
        <w:spacing w:before="301" w:line="276" w:lineRule="auto"/>
        <w:ind w:right="283"/>
        <w:jc w:val="both"/>
        <w:rPr>
          <w:color w:val="000000"/>
        </w:rPr>
      </w:pPr>
      <w:r>
        <w:rPr>
          <w:color w:val="000000"/>
        </w:rPr>
        <w:t>Dostupne analize stvarne uporabe naprednih alata upućuju na to da su promjene već vidljive u dijelu IKT-a, administrativnih, obrazovnih, analitičkih i komunikacijskih zanimanja. Takve procjene treba tumačiti kao pokazatelj intenziteta promjene radnih zadataka, a ne kao predviđanje gubitka radnih mjesta. Ishodi će uvelike ovisiti o tome koliko brzo obrazovni sustav, poslodavci i javne institucije razviju nove vještine, prilagode organizaciju rada i osiguraju potporu zaposlenicima u prijelaznom razdoblju.</w:t>
      </w:r>
    </w:p>
    <w:p w14:paraId="4F9BF241" w14:textId="028D434D" w:rsidR="00150056" w:rsidRPr="009D0F6F" w:rsidRDefault="00332D05" w:rsidP="001A1226">
      <w:pPr>
        <w:pStyle w:val="Tijeloteksta"/>
        <w:spacing w:before="301" w:line="276" w:lineRule="auto"/>
        <w:ind w:right="283"/>
        <w:jc w:val="both"/>
        <w:rPr>
          <w:color w:val="000000"/>
        </w:rPr>
      </w:pPr>
      <w:r>
        <w:rPr>
          <w:color w:val="000000"/>
        </w:rPr>
        <w:t>Povjerenje građana i zaposlenika presudno je za održivu primjenu UI-ja. Građani prepoznaju mogućnosti za brže i kvalitetnije usluge, ali istodobno izražavaju zabrinutost zbog privatnosti, dezinformacija, mogućih diskriminacijskih učinaka, pogrešaka i gubitka ljudskog nadzora. Izgradnja povjerenja zahtijeva više od same komunikacije o očekivanim koristima. Potrebni su transparentni postupci, razumljive informacije o načinu uporabe UI-ja, jasne mogućnosti prigovora i ispravka, odgovornost institucija te dokaz da su sustavi sigurni, razmjerni svrsi i redovito nadzirani.</w:t>
      </w:r>
    </w:p>
    <w:p w14:paraId="4D4F5F9C" w14:textId="6E131D27" w:rsidR="00DC10A2" w:rsidRPr="009D0F6F" w:rsidRDefault="00332D05" w:rsidP="001A1226">
      <w:pPr>
        <w:pStyle w:val="Tijeloteksta"/>
        <w:spacing w:before="301" w:line="276" w:lineRule="auto"/>
        <w:ind w:right="283"/>
        <w:jc w:val="both"/>
        <w:rPr>
          <w:color w:val="000000"/>
        </w:rPr>
      </w:pPr>
      <w:r>
        <w:rPr>
          <w:color w:val="000000"/>
        </w:rPr>
        <w:t>U 2025. godini generativne alate UI-ja koristilo je 27,52 % stanovništva Republike Hrvatske, u usporedbi s 32,66 % u Europskoj uniji. Kao glavne prepreke široj uporabi građani navode zabrinutost zbog točnosti informacija, zaštite privatnosti i podataka te mogućeg utjecaja na radna mjesta. Ovi nalazi potvrđuju da politike UI pismenosti trebaju povezivati praktične vještine s kritičkim vrednovanjem rezultata, zaštitom podataka i razumijevanjem društvenih učinaka UI-ja</w:t>
      </w:r>
      <w:r w:rsidR="002B029D">
        <w:rPr>
          <w:rStyle w:val="Referencafusnote"/>
          <w:color w:val="000000"/>
        </w:rPr>
        <w:footnoteReference w:id="5"/>
      </w:r>
      <w:r>
        <w:rPr>
          <w:color w:val="000000"/>
        </w:rPr>
        <w:t>.</w:t>
      </w:r>
    </w:p>
    <w:p w14:paraId="2CA98892" w14:textId="0B43BEE0" w:rsidR="00150056" w:rsidRPr="009D0F6F" w:rsidRDefault="00332D05" w:rsidP="001A1226">
      <w:pPr>
        <w:pStyle w:val="Tijeloteksta"/>
        <w:spacing w:before="301" w:line="276" w:lineRule="auto"/>
        <w:ind w:right="283"/>
        <w:jc w:val="both"/>
        <w:rPr>
          <w:color w:val="000000"/>
        </w:rPr>
      </w:pPr>
      <w:r>
        <w:rPr>
          <w:color w:val="000000"/>
        </w:rPr>
        <w:t xml:space="preserve">Etički i pravni zahtjevi moraju biti ugrađeni u cijeli životni ciklus UI sustava, od planiranja i nabave do uporabe, nadzora i povlačenja iz primjene. Akt o UI-ju daje zajednički okvir za upravljanje rizicima, ali njegova učinkovita provedba zahtijeva osposobljena nadležna tijela, koordinaciju regulatora, praktične smjernice za korisnike i razvoj kulture odgovornosti u organizacijama. Posebno je važno da primjena UI-ja u područjima koja utječu na prava, </w:t>
      </w:r>
      <w:r>
        <w:rPr>
          <w:color w:val="000000"/>
        </w:rPr>
        <w:lastRenderedPageBreak/>
        <w:t>pristup uslugama ili sigurnost uvijek uključuje odgovarajući ljudski nadzor.</w:t>
      </w:r>
    </w:p>
    <w:p w14:paraId="7EE92486" w14:textId="0750DE28" w:rsidR="00150056" w:rsidRPr="009D0F6F" w:rsidRDefault="00332D05" w:rsidP="001A1226">
      <w:pPr>
        <w:pStyle w:val="Tijeloteksta"/>
        <w:spacing w:before="301" w:line="276" w:lineRule="auto"/>
        <w:ind w:right="283"/>
        <w:jc w:val="both"/>
        <w:rPr>
          <w:color w:val="000000"/>
        </w:rPr>
      </w:pPr>
      <w:r>
        <w:rPr>
          <w:color w:val="000000"/>
        </w:rPr>
        <w:t>Sigurnosni aspekt UI-ja ima dvostruku prirodu. UI može unaprijediti otkrivanje prijevara, anomalija i kibernetičkih napada, ali se može zloupotrijebiti za automatizirano stvaranje zlonamjernog sadržaja, sofisticiranih prijevara, manipulaciju informacijskim prostorom i napade na digitalne sustave. Politika UI-ja zato treba biti povezana s politikama kibernetičke sigurnosti, zaštite kritične infrastrukture, upravljanja podacima i suzbijanja hibridnih prijetnji. Sigurna primjena podrazumijeva tehničke standarde, postupke prijave incidenata, testiranje otpornosti i jasnu podjelu odgovornosti između dobavljača i korisnika.</w:t>
      </w:r>
    </w:p>
    <w:p w14:paraId="2734FC59" w14:textId="56695237" w:rsidR="00D833B7" w:rsidRPr="009D0F6F" w:rsidRDefault="00332D05" w:rsidP="001A1226">
      <w:pPr>
        <w:pStyle w:val="Tijeloteksta"/>
        <w:spacing w:before="301" w:line="276" w:lineRule="auto"/>
        <w:ind w:right="283"/>
        <w:jc w:val="both"/>
        <w:rPr>
          <w:color w:val="000000"/>
        </w:rPr>
      </w:pPr>
      <w:r>
        <w:rPr>
          <w:color w:val="000000"/>
        </w:rPr>
        <w:t>Kibernetička zrelost hrvatskih poduzeća pritom je i dalje ispod prosjeka Europske unije. U 2024. godini 38,73 % poduzeća u Hrvatskoj primjenjivalo je najmanje pet mjera kibernetičke sigurnosti, u odnosu na 56,85 % u Europskoj uniji. Posebno su izraženi jazovi u procjeni IKT rizika, sigurnosnom testiranju, kombiniranim mehanizmima autentifikacije i vođenju evidencije radi analize incidenata. Zbog toga širenje primjene UI-ja mora biti praćeno sustavnim procjenama rizika, sigurnosnim testiranjem, nadzorom, upravljanjem pristupom i razvojem sposobnosti odgovora na incidente</w:t>
      </w:r>
      <w:r w:rsidR="003D7D6F">
        <w:rPr>
          <w:rStyle w:val="Referencafusnote"/>
          <w:color w:val="000000"/>
        </w:rPr>
        <w:footnoteReference w:id="6"/>
      </w:r>
      <w:r>
        <w:rPr>
          <w:color w:val="000000"/>
        </w:rPr>
        <w:t>.</w:t>
      </w:r>
    </w:p>
    <w:p w14:paraId="512B2090" w14:textId="6AD5DE3E" w:rsidR="00150056" w:rsidRPr="009D0F6F" w:rsidRDefault="00332D05" w:rsidP="001A1226">
      <w:pPr>
        <w:pStyle w:val="Tijeloteksta"/>
        <w:spacing w:before="301" w:line="276" w:lineRule="auto"/>
        <w:ind w:right="283"/>
        <w:jc w:val="both"/>
        <w:rPr>
          <w:color w:val="000000"/>
        </w:rPr>
      </w:pPr>
      <w:r>
        <w:rPr>
          <w:color w:val="000000"/>
        </w:rPr>
        <w:t>Uključivanje građana, stručnih udruga, gospodarskih i socijalnih partnera te organizacija civilnog društva osobito je značajno doprinijelo izradi Nacionalnog plana, a potrebno ga je nastaviti i tijekom provedbe. Dijalog je osobito važan u područjima u kojima postoje nerazumijevanje ili društveni prijepori, primjerice u vezi s automatizacijom rada, uporabom UI-ja u obrazovanju, javnom nadzoru ili donošenju odluka. Mehanizmi poput javnog savjetovanja i neovisnog vrednovanja tijekom provedbe doprinijet će legitimnosti politika i omogućiti pravodobno prilagođavanje provedbenih mjera.</w:t>
      </w:r>
    </w:p>
    <w:p w14:paraId="1C257A03" w14:textId="77777777" w:rsidR="00150056" w:rsidRPr="00A609CA" w:rsidRDefault="00150056" w:rsidP="00150056">
      <w:pPr>
        <w:rPr>
          <w:lang w:val="hr-HR"/>
        </w:rPr>
      </w:pPr>
    </w:p>
    <w:p w14:paraId="1455E3A1" w14:textId="6409A789" w:rsidR="00BE05A7" w:rsidRPr="00A609CA" w:rsidRDefault="00BE05A7" w:rsidP="00FF7A74">
      <w:pPr>
        <w:pStyle w:val="Istaknutonaslov"/>
        <w:shd w:val="clear" w:color="auto" w:fill="EDEDED" w:themeFill="accent3" w:themeFillTint="33"/>
        <w:ind w:right="283"/>
        <w:rPr>
          <w:rFonts w:ascii="Times New Roman" w:hAnsi="Times New Roman" w:cs="Times New Roman"/>
          <w:sz w:val="24"/>
          <w:szCs w:val="24"/>
          <w:lang w:val="hr-HR"/>
        </w:rPr>
      </w:pPr>
      <w:r>
        <w:rPr>
          <w:rFonts w:ascii="Times New Roman" w:hAnsi="Times New Roman" w:cs="Times New Roman"/>
          <w:sz w:val="24"/>
          <w:szCs w:val="24"/>
          <w:lang w:val="hr-HR"/>
        </w:rPr>
        <w:t>ISTAKNUTO | Načela provedbe</w:t>
      </w:r>
    </w:p>
    <w:p w14:paraId="3E0A5A66" w14:textId="29BBEF9A" w:rsidR="00BE05A7" w:rsidRPr="00A609CA" w:rsidRDefault="00BE05A7" w:rsidP="007729A8">
      <w:pPr>
        <w:pStyle w:val="Grafikeoznake"/>
        <w:shd w:val="clear" w:color="auto" w:fill="EDEDED" w:themeFill="accent3" w:themeFillTint="33"/>
        <w:spacing w:after="40" w:line="276" w:lineRule="auto"/>
        <w:ind w:left="0" w:right="283" w:firstLine="0"/>
        <w:rPr>
          <w:rFonts w:ascii="Times New Roman" w:hAnsi="Times New Roman" w:cs="Times New Roman"/>
          <w:sz w:val="24"/>
          <w:szCs w:val="24"/>
          <w:lang w:val="hr-HR"/>
        </w:rPr>
      </w:pPr>
      <w:r>
        <w:rPr>
          <w:rFonts w:ascii="Times New Roman" w:hAnsi="Times New Roman" w:cs="Times New Roman"/>
          <w:sz w:val="24"/>
          <w:szCs w:val="24"/>
          <w:lang w:val="hr-HR"/>
        </w:rPr>
        <w:t>Pouzdanost i zaštita prava moraju biti sastavni dio oblikovanja, nabave i uporabe UI sustava, a ne naknadno ugrađene značajke.</w:t>
      </w:r>
    </w:p>
    <w:p w14:paraId="2E3ADCC3" w14:textId="77777777" w:rsidR="00BE05A7" w:rsidRPr="00A609CA" w:rsidRDefault="00BE05A7" w:rsidP="007729A8">
      <w:pPr>
        <w:pStyle w:val="Grafikeoznake"/>
        <w:shd w:val="clear" w:color="auto" w:fill="EDEDED" w:themeFill="accent3" w:themeFillTint="33"/>
        <w:spacing w:after="40" w:line="276" w:lineRule="auto"/>
        <w:ind w:left="0" w:right="283" w:firstLine="0"/>
        <w:rPr>
          <w:rFonts w:ascii="Times New Roman" w:hAnsi="Times New Roman" w:cs="Times New Roman"/>
          <w:sz w:val="24"/>
          <w:szCs w:val="24"/>
          <w:lang w:val="hr-HR"/>
        </w:rPr>
      </w:pPr>
      <w:r>
        <w:rPr>
          <w:rFonts w:ascii="Times New Roman" w:hAnsi="Times New Roman" w:cs="Times New Roman"/>
          <w:sz w:val="24"/>
          <w:szCs w:val="24"/>
          <w:lang w:val="hr-HR"/>
        </w:rPr>
        <w:t>Odgovornost za odluke mora ostati jasno određena i razumljiva korisnicima, osobito u javnom sektoru.</w:t>
      </w:r>
    </w:p>
    <w:p w14:paraId="2333F949" w14:textId="43BFD7C6" w:rsidR="00BE05A7" w:rsidRPr="00A609CA" w:rsidRDefault="00BE05A7" w:rsidP="007729A8">
      <w:pPr>
        <w:pStyle w:val="Grafikeoznake"/>
        <w:shd w:val="clear" w:color="auto" w:fill="EDEDED" w:themeFill="accent3" w:themeFillTint="33"/>
        <w:spacing w:after="40" w:line="276" w:lineRule="auto"/>
        <w:ind w:left="0" w:right="283" w:firstLine="0"/>
        <w:rPr>
          <w:rFonts w:ascii="Times New Roman" w:hAnsi="Times New Roman" w:cs="Times New Roman"/>
          <w:sz w:val="24"/>
          <w:szCs w:val="24"/>
          <w:lang w:val="hr-HR"/>
        </w:rPr>
      </w:pPr>
      <w:r>
        <w:rPr>
          <w:rFonts w:ascii="Times New Roman" w:hAnsi="Times New Roman" w:cs="Times New Roman"/>
          <w:sz w:val="24"/>
          <w:szCs w:val="24"/>
          <w:lang w:val="hr-HR"/>
        </w:rPr>
        <w:t>Praćenje učinaka korištenja UI-ja treba obuhvatiti gospodarske rezultate, kvalitetu javnih usluga, tržište rada, prava, sigurnost i povjerenje.</w:t>
      </w:r>
    </w:p>
    <w:p w14:paraId="1BEF3432" w14:textId="77777777" w:rsidR="00BE05A7" w:rsidRPr="00A609CA" w:rsidRDefault="00BE05A7" w:rsidP="007729A8">
      <w:pPr>
        <w:pStyle w:val="Grafikeoznake"/>
        <w:shd w:val="clear" w:color="auto" w:fill="EDEDED" w:themeFill="accent3" w:themeFillTint="33"/>
        <w:spacing w:after="40" w:line="276" w:lineRule="auto"/>
        <w:ind w:left="0" w:right="283" w:firstLine="0"/>
        <w:rPr>
          <w:rFonts w:ascii="Times New Roman" w:hAnsi="Times New Roman" w:cs="Times New Roman"/>
          <w:sz w:val="24"/>
          <w:szCs w:val="24"/>
          <w:lang w:val="hr-HR"/>
        </w:rPr>
      </w:pPr>
      <w:r>
        <w:rPr>
          <w:rFonts w:ascii="Times New Roman" w:hAnsi="Times New Roman" w:cs="Times New Roman"/>
          <w:sz w:val="24"/>
          <w:szCs w:val="24"/>
          <w:lang w:val="hr-HR"/>
        </w:rPr>
        <w:t>Prioritete i mjere potrebno je redovito prilagođavati na temelju podataka, evaluacija i dijaloga s dionicima.</w:t>
      </w:r>
    </w:p>
    <w:p w14:paraId="7701C0F0" w14:textId="77777777" w:rsidR="00BE05A7" w:rsidRDefault="00BE05A7" w:rsidP="00150056">
      <w:pPr>
        <w:rPr>
          <w:lang w:val="hr-HR"/>
        </w:rPr>
      </w:pPr>
    </w:p>
    <w:p w14:paraId="4AB35B5A" w14:textId="77777777" w:rsidR="00E33A96" w:rsidRDefault="00E33A96" w:rsidP="00150056">
      <w:pPr>
        <w:rPr>
          <w:lang w:val="hr-HR"/>
        </w:rPr>
      </w:pPr>
    </w:p>
    <w:p w14:paraId="301D9E1E" w14:textId="77777777" w:rsidR="00E33A96" w:rsidRDefault="00E33A96" w:rsidP="00150056">
      <w:pPr>
        <w:rPr>
          <w:lang w:val="hr-HR"/>
        </w:rPr>
      </w:pPr>
    </w:p>
    <w:p w14:paraId="1709B1C1" w14:textId="77777777" w:rsidR="00E33A96" w:rsidRPr="00A609CA" w:rsidRDefault="00E33A96" w:rsidP="00150056">
      <w:pPr>
        <w:rPr>
          <w:lang w:val="hr-HR"/>
        </w:rPr>
      </w:pPr>
    </w:p>
    <w:p w14:paraId="7DF5E69A" w14:textId="68A7088B" w:rsidR="00C3145C" w:rsidRPr="00A609CA" w:rsidRDefault="003A2A69" w:rsidP="00896667">
      <w:pPr>
        <w:pStyle w:val="Naslov3"/>
        <w:keepNext w:val="0"/>
        <w:keepLines w:val="0"/>
        <w:widowControl w:val="0"/>
        <w:numPr>
          <w:ilvl w:val="1"/>
          <w:numId w:val="2"/>
        </w:numPr>
        <w:autoSpaceDE w:val="0"/>
        <w:autoSpaceDN w:val="0"/>
        <w:spacing w:before="364" w:line="240" w:lineRule="auto"/>
        <w:jc w:val="both"/>
        <w:rPr>
          <w:rFonts w:ascii="Times New Roman" w:eastAsia="Times New Roman" w:hAnsi="Times New Roman" w:cs="Times New Roman"/>
          <w:b/>
          <w:bCs/>
          <w:color w:val="auto"/>
          <w:lang w:val="hr-HR"/>
        </w:rPr>
      </w:pPr>
      <w:bookmarkStart w:id="35" w:name="_Toc236064834"/>
      <w:bookmarkStart w:id="36" w:name="_Toc242947263"/>
      <w:r>
        <w:rPr>
          <w:rFonts w:ascii="Times New Roman" w:eastAsia="Times New Roman" w:hAnsi="Times New Roman" w:cs="Times New Roman"/>
          <w:b/>
          <w:bCs/>
          <w:color w:val="auto"/>
          <w:lang w:val="hr-HR"/>
        </w:rPr>
        <w:lastRenderedPageBreak/>
        <w:t>Strateška dijagnoza i sažeta SWOT analiza</w:t>
      </w:r>
      <w:bookmarkEnd w:id="35"/>
      <w:bookmarkEnd w:id="36"/>
    </w:p>
    <w:p w14:paraId="1292AEDA" w14:textId="77777777" w:rsidR="00B05205" w:rsidRPr="00A609CA" w:rsidRDefault="00B05205" w:rsidP="00B05205">
      <w:pPr>
        <w:rPr>
          <w:lang w:val="hr-HR"/>
        </w:rPr>
      </w:pPr>
    </w:p>
    <w:p w14:paraId="52D10D2A" w14:textId="29E3C32F" w:rsidR="00B05205" w:rsidRPr="009D0F6F" w:rsidRDefault="00332D05" w:rsidP="001A1226">
      <w:pPr>
        <w:pStyle w:val="Tijeloteksta"/>
        <w:spacing w:before="301" w:line="276" w:lineRule="auto"/>
        <w:ind w:right="283"/>
        <w:jc w:val="both"/>
        <w:rPr>
          <w:color w:val="000000"/>
        </w:rPr>
      </w:pPr>
      <w:r>
        <w:rPr>
          <w:color w:val="000000"/>
        </w:rPr>
        <w:t>Republika Hrvatska u razvoj UI-ja ulazi s kvalitetnom digitalnom povezanošću, relevantnom akademskom i stručnom bazom, iskustvom u provedbi digitalnih projekata te jasnim europskim regulatornim i financijskim okvirom. Istodobno, primjena UI-ja još je nedovoljno raširena i strateški organizirana, dok su računalni kapaciteti, dostupnost kvalitetnih podataka, specijalizirane vještine i koordinacija između institucija ograničeni.</w:t>
      </w:r>
    </w:p>
    <w:p w14:paraId="38F2E84A" w14:textId="51720E04" w:rsidR="00B05205" w:rsidRPr="009D0F6F" w:rsidRDefault="008E7106" w:rsidP="001A1226">
      <w:pPr>
        <w:pStyle w:val="Tijeloteksta"/>
        <w:spacing w:before="301" w:line="276" w:lineRule="auto"/>
        <w:ind w:right="283"/>
        <w:jc w:val="both"/>
        <w:rPr>
          <w:color w:val="000000"/>
        </w:rPr>
      </w:pPr>
      <w:r>
        <w:rPr>
          <w:color w:val="000000"/>
        </w:rPr>
        <w:t>Ključni izazov Nacionalnog plana nije pokretanje razvoja od početka, nego povezivanje postojećih kapaciteta i ulaganja u usklađeni ekosustav. Takav ekosustav treba omogućiti sigurnu i zakonitu primjenu UI-ja, mjerljive koristi za građane i gospodarstvo te sposobnost dugoročne prilagodbe. Uspjeh će ovisiti o jasno utvrđenim prioritetima i redoslijedu provedbe, odgovornim nositeljima, realnom financiranju, kvalitetnim podacima za praćenje te kontinuiranom učenju iz rezultata i iskustava.</w:t>
      </w:r>
    </w:p>
    <w:p w14:paraId="31D2C01A" w14:textId="51FAD04E" w:rsidR="00C608EC" w:rsidRPr="009D0F6F" w:rsidRDefault="00B05205" w:rsidP="001A1226">
      <w:pPr>
        <w:pStyle w:val="Tijeloteksta"/>
        <w:spacing w:before="301" w:line="276" w:lineRule="auto"/>
        <w:ind w:right="283"/>
        <w:jc w:val="both"/>
        <w:rPr>
          <w:color w:val="000000"/>
        </w:rPr>
      </w:pPr>
      <w:r>
        <w:rPr>
          <w:color w:val="000000"/>
        </w:rPr>
        <w:t xml:space="preserve">Sažeta SWOT (eng. </w:t>
      </w:r>
      <w:r>
        <w:rPr>
          <w:rFonts w:eastAsia="Arial"/>
          <w:i/>
          <w:color w:val="000000"/>
        </w:rPr>
        <w:t>Strengths/Weaknesses/Opportunities/Threats</w:t>
      </w:r>
      <w:r>
        <w:rPr>
          <w:rFonts w:eastAsia="Arial"/>
          <w:color w:val="000000"/>
        </w:rPr>
        <w:t>)</w:t>
      </w:r>
      <w:r>
        <w:rPr>
          <w:color w:val="000000"/>
        </w:rPr>
        <w:t xml:space="preserve"> analiza u nastavku prikazuje najvažnije unutarnje i vanjske okolnosti koje Nacionalni plan uzima u obzir. Analiza ne predstavlja samo opis postojećeg stanja, nego i polazište za odabir posebnih ciljeva i ključnih ulaganja: snage treba pretvoriti u razvojne prednosti, slabosti sustavno smanjivati, prilike usmjeriti prema područjima najveće javne i gospodarske vrijednosti, a prijetnjama upravljati pravodobno i koordinirano.</w:t>
      </w:r>
    </w:p>
    <w:p w14:paraId="6B2A5A24" w14:textId="37FBA08A" w:rsidR="00B05205" w:rsidRPr="00A609CA" w:rsidRDefault="00C608EC" w:rsidP="001A1226">
      <w:pPr>
        <w:pStyle w:val="Tijeloteksta"/>
        <w:spacing w:before="301" w:line="276" w:lineRule="auto"/>
        <w:ind w:right="283"/>
        <w:jc w:val="both"/>
      </w:pPr>
      <w:r>
        <w:t>SWOT tablica:</w:t>
      </w:r>
    </w:p>
    <w:tbl>
      <w:tblPr>
        <w:tblW w:w="0" w:type="auto"/>
        <w:tblLayout w:type="fixed"/>
        <w:tblLook w:val="04A0" w:firstRow="1" w:lastRow="0" w:firstColumn="1" w:lastColumn="0" w:noHBand="0" w:noVBand="1"/>
      </w:tblPr>
      <w:tblGrid>
        <w:gridCol w:w="4535"/>
        <w:gridCol w:w="4535"/>
      </w:tblGrid>
      <w:tr w:rsidR="007761AE" w:rsidRPr="00E070B0" w14:paraId="0DF240A0" w14:textId="77777777" w:rsidTr="0061553E">
        <w:trPr>
          <w:cantSplit/>
        </w:trPr>
        <w:tc>
          <w:tcPr>
            <w:tcW w:w="4535" w:type="dxa"/>
            <w:tcBorders>
              <w:top w:val="single" w:sz="6" w:space="0" w:color="A6A6A6"/>
              <w:left w:val="single" w:sz="6" w:space="0" w:color="A6A6A6"/>
              <w:bottom w:val="single" w:sz="6" w:space="0" w:color="A6A6A6"/>
              <w:right w:val="single" w:sz="6" w:space="0" w:color="A6A6A6"/>
            </w:tcBorders>
            <w:shd w:val="clear" w:color="auto" w:fill="E2F0D9"/>
            <w:tcMar>
              <w:top w:w="145" w:type="dxa"/>
              <w:left w:w="160" w:type="dxa"/>
              <w:bottom w:w="145" w:type="dxa"/>
              <w:right w:w="160" w:type="dxa"/>
            </w:tcMar>
          </w:tcPr>
          <w:p w14:paraId="4E1A6F20" w14:textId="77777777" w:rsidR="007761AE" w:rsidRPr="00A609CA" w:rsidRDefault="007761AE" w:rsidP="00BA2682">
            <w:pPr>
              <w:spacing w:after="80"/>
              <w:rPr>
                <w:rFonts w:ascii="Times New Roman" w:hAnsi="Times New Roman" w:cs="Times New Roman"/>
                <w:sz w:val="24"/>
                <w:szCs w:val="24"/>
                <w:lang w:val="hr-HR"/>
              </w:rPr>
            </w:pPr>
            <w:r>
              <w:rPr>
                <w:rFonts w:ascii="Times New Roman" w:hAnsi="Times New Roman" w:cs="Times New Roman"/>
                <w:b/>
                <w:color w:val="1F4E79"/>
                <w:sz w:val="24"/>
                <w:szCs w:val="24"/>
                <w:lang w:val="hr-HR"/>
              </w:rPr>
              <w:t>SNAGE</w:t>
            </w:r>
          </w:p>
          <w:p w14:paraId="6725FD7B" w14:textId="63164C5C"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kvalitetna digitalna povezanost i postojeća ulaganja u državnu informacijsku infrastrukturu</w:t>
            </w:r>
          </w:p>
          <w:p w14:paraId="377A563D" w14:textId="7EEDA579"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regulatorna usklađenost s okvirom Europske unije i iskustvo u razvoju digitalnih javnih usluga</w:t>
            </w:r>
          </w:p>
          <w:p w14:paraId="6B4B33FB"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relevantna akademska, istraživačka i stručna baza u računarstvu, podatkovnoj znanosti i povezanim područjima</w:t>
            </w:r>
          </w:p>
          <w:p w14:paraId="3F160B83"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aktivno sudjelovanje u europskim programima, istraživačkim mrežama i digitalnim inicijativama</w:t>
            </w:r>
          </w:p>
          <w:p w14:paraId="4BC466A6"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postojeći primjeri primjene UI-ja u javnom sektoru i rastući interes gospodarstva</w:t>
            </w:r>
          </w:p>
        </w:tc>
        <w:tc>
          <w:tcPr>
            <w:tcW w:w="4535" w:type="dxa"/>
            <w:tcBorders>
              <w:top w:val="single" w:sz="6" w:space="0" w:color="A6A6A6"/>
              <w:left w:val="single" w:sz="6" w:space="0" w:color="A6A6A6"/>
              <w:bottom w:val="single" w:sz="6" w:space="0" w:color="A6A6A6"/>
              <w:right w:val="single" w:sz="6" w:space="0" w:color="A6A6A6"/>
            </w:tcBorders>
            <w:shd w:val="clear" w:color="auto" w:fill="FCE4D6"/>
            <w:tcMar>
              <w:top w:w="145" w:type="dxa"/>
              <w:left w:w="160" w:type="dxa"/>
              <w:bottom w:w="145" w:type="dxa"/>
              <w:right w:w="160" w:type="dxa"/>
            </w:tcMar>
          </w:tcPr>
          <w:p w14:paraId="48A2C1C6" w14:textId="77777777" w:rsidR="007761AE" w:rsidRPr="00A609CA" w:rsidRDefault="007761AE" w:rsidP="00BA2682">
            <w:pPr>
              <w:spacing w:after="80"/>
              <w:rPr>
                <w:rFonts w:ascii="Times New Roman" w:hAnsi="Times New Roman" w:cs="Times New Roman"/>
                <w:sz w:val="24"/>
                <w:szCs w:val="24"/>
                <w:lang w:val="hr-HR"/>
              </w:rPr>
            </w:pPr>
            <w:r>
              <w:rPr>
                <w:rFonts w:ascii="Times New Roman" w:hAnsi="Times New Roman" w:cs="Times New Roman"/>
                <w:b/>
                <w:color w:val="1F4E79"/>
                <w:sz w:val="24"/>
                <w:szCs w:val="24"/>
                <w:lang w:val="hr-HR"/>
              </w:rPr>
              <w:t>SLABOSTI</w:t>
            </w:r>
          </w:p>
          <w:p w14:paraId="26F0B01C" w14:textId="1F907D9B" w:rsidR="007761AE" w:rsidRPr="00A609CA" w:rsidRDefault="00BC5C58" w:rsidP="0002461E">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rascjepkano upravljanje i nedovoljno jasne odgovornosti za koordinaciju politika UI-ja</w:t>
            </w:r>
          </w:p>
          <w:p w14:paraId="7AA0DA37" w14:textId="77777777" w:rsidR="007761AE" w:rsidRPr="00A609CA" w:rsidRDefault="007761AE" w:rsidP="0002461E">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ograničen pristup naprednim računalnim i kvalitetnim podatkovnim resursima</w:t>
            </w:r>
          </w:p>
          <w:p w14:paraId="07E06B17" w14:textId="77777777" w:rsidR="007761AE" w:rsidRPr="00A609CA" w:rsidRDefault="007761AE" w:rsidP="0002461E">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nedostatak specijaliziranih, interdisciplinarnih i upravljačkih kompetencija</w:t>
            </w:r>
          </w:p>
          <w:p w14:paraId="4779159D" w14:textId="489137C4" w:rsidR="007761AE" w:rsidRPr="00A609CA" w:rsidRDefault="007761AE" w:rsidP="0002461E">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niska razina strateškog usvajanja UI-ja, osobito u MSP-ovima</w:t>
            </w:r>
          </w:p>
          <w:p w14:paraId="0B3F1416" w14:textId="77777777" w:rsidR="007761AE" w:rsidRPr="00A609CA" w:rsidRDefault="007761AE" w:rsidP="0002461E">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slaba povezanost istraživanja, javnog sektora i tržišnih primjena te ograničena privatna ulaganja u istraživanje i razvoj</w:t>
            </w:r>
          </w:p>
        </w:tc>
      </w:tr>
      <w:tr w:rsidR="007761AE" w:rsidRPr="00E070B0" w14:paraId="07484007" w14:textId="77777777" w:rsidTr="0061553E">
        <w:trPr>
          <w:cantSplit/>
        </w:trPr>
        <w:tc>
          <w:tcPr>
            <w:tcW w:w="4535" w:type="dxa"/>
            <w:tcBorders>
              <w:top w:val="single" w:sz="6" w:space="0" w:color="A6A6A6"/>
              <w:left w:val="single" w:sz="6" w:space="0" w:color="A6A6A6"/>
              <w:bottom w:val="single" w:sz="6" w:space="0" w:color="A6A6A6"/>
              <w:right w:val="single" w:sz="6" w:space="0" w:color="A6A6A6"/>
            </w:tcBorders>
            <w:shd w:val="clear" w:color="auto" w:fill="DDEBF7"/>
            <w:tcMar>
              <w:top w:w="145" w:type="dxa"/>
              <w:left w:w="160" w:type="dxa"/>
              <w:bottom w:w="145" w:type="dxa"/>
              <w:right w:w="160" w:type="dxa"/>
            </w:tcMar>
          </w:tcPr>
          <w:p w14:paraId="21A5E92F" w14:textId="77777777" w:rsidR="007761AE" w:rsidRPr="00A609CA" w:rsidRDefault="007761AE" w:rsidP="00BA2682">
            <w:pPr>
              <w:spacing w:after="80"/>
              <w:rPr>
                <w:rFonts w:ascii="Times New Roman" w:hAnsi="Times New Roman" w:cs="Times New Roman"/>
                <w:sz w:val="24"/>
                <w:szCs w:val="24"/>
                <w:lang w:val="hr-HR"/>
              </w:rPr>
            </w:pPr>
            <w:r>
              <w:rPr>
                <w:rFonts w:ascii="Times New Roman" w:hAnsi="Times New Roman" w:cs="Times New Roman"/>
                <w:b/>
                <w:color w:val="1F4E79"/>
                <w:sz w:val="24"/>
                <w:szCs w:val="24"/>
                <w:lang w:val="hr-HR"/>
              </w:rPr>
              <w:lastRenderedPageBreak/>
              <w:t>PRILIKE</w:t>
            </w:r>
          </w:p>
          <w:p w14:paraId="74EF663F"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korištenje europskih financijskih, podatkovnih i računalnih kapaciteta za ubrzavanje nacionalnog razvoja</w:t>
            </w:r>
          </w:p>
          <w:p w14:paraId="1F32653E" w14:textId="052F6819"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povećanje produktivnosti, inovativnosti i kvalitete javnih usluga primjenom pouzdanih UI sustava</w:t>
            </w:r>
          </w:p>
          <w:p w14:paraId="6B62B3CB"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razvoj hrvatskih jezičnih tehnologija i specijaliziranih područja u kojima postoje znanje i podaci</w:t>
            </w:r>
          </w:p>
          <w:p w14:paraId="44985C65" w14:textId="77CA783E"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regulatorna izolirana okruženja, inovativna javna nabava i drugi mehanizmi za brže eksperimentiranje i širenje uspješnih UI rješenja</w:t>
            </w:r>
          </w:p>
          <w:p w14:paraId="241D6D07" w14:textId="3A20000D"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pozicioniranje Republike Hrvatske kao zemlje odgovorne, sigurne i prema čovjeku usmjerene primjene UI-ja</w:t>
            </w:r>
          </w:p>
        </w:tc>
        <w:tc>
          <w:tcPr>
            <w:tcW w:w="4535" w:type="dxa"/>
            <w:tcBorders>
              <w:top w:val="single" w:sz="6" w:space="0" w:color="A6A6A6"/>
              <w:left w:val="single" w:sz="6" w:space="0" w:color="A6A6A6"/>
              <w:bottom w:val="single" w:sz="6" w:space="0" w:color="A6A6A6"/>
              <w:right w:val="single" w:sz="6" w:space="0" w:color="A6A6A6"/>
            </w:tcBorders>
            <w:shd w:val="clear" w:color="auto" w:fill="FFF2CC"/>
            <w:tcMar>
              <w:top w:w="145" w:type="dxa"/>
              <w:left w:w="160" w:type="dxa"/>
              <w:bottom w:w="145" w:type="dxa"/>
              <w:right w:w="160" w:type="dxa"/>
            </w:tcMar>
          </w:tcPr>
          <w:p w14:paraId="17EC7352" w14:textId="77777777" w:rsidR="007761AE" w:rsidRPr="00A609CA" w:rsidRDefault="007761AE" w:rsidP="00BA2682">
            <w:pPr>
              <w:spacing w:after="80"/>
              <w:rPr>
                <w:rFonts w:ascii="Times New Roman" w:hAnsi="Times New Roman" w:cs="Times New Roman"/>
                <w:sz w:val="24"/>
                <w:szCs w:val="24"/>
                <w:lang w:val="hr-HR"/>
              </w:rPr>
            </w:pPr>
            <w:r>
              <w:rPr>
                <w:rFonts w:ascii="Times New Roman" w:hAnsi="Times New Roman" w:cs="Times New Roman"/>
                <w:b/>
                <w:color w:val="1F4E79"/>
                <w:sz w:val="24"/>
                <w:szCs w:val="24"/>
                <w:lang w:val="hr-HR"/>
              </w:rPr>
              <w:t>PRIJETNJE</w:t>
            </w:r>
          </w:p>
          <w:p w14:paraId="73266A9E" w14:textId="06B930D2" w:rsidR="008E7106" w:rsidRPr="009D0F6F" w:rsidRDefault="008E7106" w:rsidP="00BA2682">
            <w:pPr>
              <w:pStyle w:val="Grafikeoznake"/>
              <w:spacing w:after="40" w:line="240" w:lineRule="auto"/>
              <w:ind w:left="0" w:firstLine="0"/>
              <w:rPr>
                <w:rFonts w:ascii="Times New Roman" w:hAnsi="Times New Roman"/>
                <w:color w:val="000000"/>
                <w:sz w:val="24"/>
                <w:lang w:val="hr-HR"/>
              </w:rPr>
            </w:pPr>
            <w:r>
              <w:rPr>
                <w:rFonts w:ascii="Times New Roman" w:hAnsi="Times New Roman"/>
                <w:color w:val="000000"/>
                <w:sz w:val="24"/>
                <w:lang w:val="hr-HR"/>
              </w:rPr>
              <w:t xml:space="preserve">produbljivanje razvojnog jaza u odnosu na države koje brže ulažu </w:t>
            </w:r>
            <w:r>
              <w:rPr>
                <w:rFonts w:ascii="Times New Roman" w:hAnsi="Times New Roman" w:cs="Times New Roman"/>
                <w:color w:val="000000"/>
                <w:sz w:val="24"/>
                <w:szCs w:val="24"/>
                <w:lang w:val="hr-HR"/>
              </w:rPr>
              <w:t xml:space="preserve">u UI </w:t>
            </w:r>
            <w:r>
              <w:rPr>
                <w:rFonts w:ascii="Times New Roman" w:hAnsi="Times New Roman"/>
                <w:color w:val="000000"/>
                <w:sz w:val="24"/>
                <w:lang w:val="hr-HR"/>
              </w:rPr>
              <w:t xml:space="preserve">i primjenjuju </w:t>
            </w:r>
            <w:r>
              <w:rPr>
                <w:rFonts w:ascii="Times New Roman" w:hAnsi="Times New Roman" w:cs="Times New Roman"/>
                <w:color w:val="000000"/>
                <w:sz w:val="24"/>
                <w:szCs w:val="24"/>
                <w:lang w:val="hr-HR"/>
              </w:rPr>
              <w:t>ga</w:t>
            </w:r>
          </w:p>
          <w:p w14:paraId="5265526C" w14:textId="25FCED40"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odljev stručnjaka i rast nejednakosti u pristupu znanju, infrastrukturi i koristima od UI-ja</w:t>
            </w:r>
          </w:p>
          <w:p w14:paraId="1417D7DF"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ovisnost o vanjskim platformama, modelima i računalnoj infrastrukturi</w:t>
            </w:r>
          </w:p>
          <w:p w14:paraId="71C1494B" w14:textId="77777777" w:rsidR="007761AE" w:rsidRPr="00A609CA" w:rsidRDefault="007761AE" w:rsidP="00BA2682">
            <w:pPr>
              <w:pStyle w:val="Grafikeoznake"/>
              <w:spacing w:after="40" w:line="240" w:lineRule="auto"/>
              <w:ind w:left="0" w:firstLine="0"/>
              <w:rPr>
                <w:rFonts w:ascii="Times New Roman" w:hAnsi="Times New Roman" w:cs="Times New Roman"/>
                <w:sz w:val="24"/>
                <w:szCs w:val="24"/>
                <w:lang w:val="hr-HR"/>
              </w:rPr>
            </w:pPr>
            <w:r>
              <w:rPr>
                <w:rFonts w:ascii="Times New Roman" w:hAnsi="Times New Roman" w:cs="Times New Roman"/>
                <w:sz w:val="24"/>
                <w:szCs w:val="24"/>
                <w:lang w:val="hr-HR"/>
              </w:rPr>
              <w:t>sigurnosni incidenti, diskriminirajući učinci ili netransparentna primjena koji mogu narušiti prava i povjerenje</w:t>
            </w:r>
          </w:p>
          <w:p w14:paraId="1F25C6CC" w14:textId="78A75E08" w:rsidR="007761AE" w:rsidRPr="009D0F6F" w:rsidRDefault="008E7106" w:rsidP="00BA2682">
            <w:pPr>
              <w:pStyle w:val="Grafikeoznake"/>
              <w:spacing w:after="40" w:line="240" w:lineRule="auto"/>
              <w:ind w:left="0" w:firstLine="0"/>
              <w:rPr>
                <w:rFonts w:ascii="Times New Roman" w:hAnsi="Times New Roman"/>
                <w:color w:val="000000"/>
                <w:sz w:val="24"/>
                <w:lang w:val="hr-HR"/>
              </w:rPr>
            </w:pPr>
            <w:r>
              <w:rPr>
                <w:rFonts w:ascii="Times New Roman" w:hAnsi="Times New Roman" w:cs="Times New Roman"/>
                <w:color w:val="000000"/>
                <w:sz w:val="24"/>
                <w:szCs w:val="24"/>
                <w:lang w:val="hr-HR"/>
              </w:rPr>
              <w:t>nedovoljno koordinirano</w:t>
            </w:r>
            <w:r>
              <w:rPr>
                <w:rFonts w:ascii="Times New Roman" w:hAnsi="Times New Roman"/>
                <w:color w:val="000000"/>
                <w:sz w:val="24"/>
                <w:lang w:val="hr-HR"/>
              </w:rPr>
              <w:t xml:space="preserve"> ili </w:t>
            </w:r>
            <w:r>
              <w:rPr>
                <w:rFonts w:ascii="Times New Roman" w:hAnsi="Times New Roman" w:cs="Times New Roman"/>
                <w:color w:val="000000"/>
                <w:sz w:val="24"/>
                <w:szCs w:val="24"/>
                <w:lang w:val="hr-HR"/>
              </w:rPr>
              <w:t>presporo djelovanje institucija</w:t>
            </w:r>
            <w:r>
              <w:rPr>
                <w:rFonts w:ascii="Times New Roman" w:hAnsi="Times New Roman"/>
                <w:color w:val="000000"/>
                <w:sz w:val="24"/>
                <w:lang w:val="hr-HR"/>
              </w:rPr>
              <w:t xml:space="preserve"> koje ne mogu pratiti tehnološke i tržišne promjene</w:t>
            </w:r>
          </w:p>
        </w:tc>
      </w:tr>
    </w:tbl>
    <w:p w14:paraId="22DE882A" w14:textId="77777777" w:rsidR="007761AE" w:rsidRPr="00A609CA" w:rsidRDefault="007761AE" w:rsidP="00B05205">
      <w:pPr>
        <w:rPr>
          <w:lang w:val="hr-HR"/>
        </w:rPr>
      </w:pPr>
    </w:p>
    <w:p w14:paraId="4AE2003A" w14:textId="47CF4879" w:rsidR="007729A8" w:rsidRPr="009D0F6F" w:rsidRDefault="008E7106" w:rsidP="001A1226">
      <w:pPr>
        <w:pStyle w:val="Tijeloteksta"/>
        <w:spacing w:before="301" w:line="276" w:lineRule="auto"/>
        <w:ind w:right="283"/>
        <w:jc w:val="both"/>
        <w:rPr>
          <w:color w:val="000000"/>
        </w:rPr>
        <w:sectPr w:rsidR="007729A8" w:rsidRPr="009D0F6F">
          <w:pgSz w:w="11906" w:h="16838"/>
          <w:pgMar w:top="1417" w:right="1417" w:bottom="1417" w:left="1417" w:header="708" w:footer="708" w:gutter="0"/>
          <w:cols w:space="708"/>
          <w:docGrid w:linePitch="360"/>
        </w:sectPr>
      </w:pPr>
      <w:r>
        <w:rPr>
          <w:color w:val="000000"/>
        </w:rPr>
        <w:t>Nacionalni plan uspostavlja zajednički smjer djelovanja, ali i provedbeni sustav sposoban pretvoriti odabrane posebne ciljeve u konkretne ishode, a to podrazumijeva povezivanje ulaganja u ljude, podatke, suverenu infrastrukturu, istraživanje, inovacije i sigurnost, usklađivanje djelovanja državnih tijela i ostalih institucija te transparentno praćenje gospodarskih i društvenih učinaka. Na taj način Republika Hrvatska će postupno prijeći iz faze pojedinačnih projekata u fazu sustavne, odgovorne i konkurentne primjene UI-ja.</w:t>
      </w:r>
    </w:p>
    <w:p w14:paraId="640BC9A5" w14:textId="784D1121" w:rsidR="00F51225" w:rsidRPr="00A609CA" w:rsidRDefault="00957AAB" w:rsidP="00957AAB">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37" w:name="_Toc236064835"/>
      <w:bookmarkStart w:id="38" w:name="_Toc242947264"/>
      <w:r>
        <w:rPr>
          <w:rFonts w:ascii="Times New Roman" w:eastAsia="Times New Roman" w:hAnsi="Times New Roman" w:cs="Times New Roman"/>
          <w:b/>
          <w:bCs/>
          <w:color w:val="auto"/>
          <w:sz w:val="24"/>
          <w:szCs w:val="24"/>
          <w:lang w:val="hr-HR"/>
        </w:rPr>
        <w:lastRenderedPageBreak/>
        <w:t>Vizija, ciljevi i pokazatelji ishoda</w:t>
      </w:r>
      <w:bookmarkEnd w:id="37"/>
      <w:bookmarkEnd w:id="38"/>
    </w:p>
    <w:p w14:paraId="56CA265F" w14:textId="77777777" w:rsidR="005215C3" w:rsidRPr="00A609CA" w:rsidRDefault="005215C3" w:rsidP="005215C3">
      <w:pPr>
        <w:rPr>
          <w:lang w:val="hr-HR"/>
        </w:rPr>
      </w:pPr>
    </w:p>
    <w:p w14:paraId="3393F437" w14:textId="22BCDCC9" w:rsidR="00F83982" w:rsidRPr="00A609CA" w:rsidRDefault="00BA455B" w:rsidP="005215C3">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39" w:name="_Toc236064836"/>
      <w:bookmarkStart w:id="40" w:name="_Toc242947265"/>
      <w:r>
        <w:rPr>
          <w:rFonts w:ascii="Times New Roman" w:eastAsia="Times New Roman" w:hAnsi="Times New Roman" w:cs="Times New Roman"/>
          <w:b/>
          <w:bCs/>
          <w:color w:val="auto"/>
          <w:lang w:val="hr-HR"/>
        </w:rPr>
        <w:t>3</w:t>
      </w:r>
      <w:r w:rsidR="00F83982">
        <w:rPr>
          <w:rFonts w:ascii="Times New Roman" w:eastAsia="Times New Roman" w:hAnsi="Times New Roman" w:cs="Times New Roman"/>
          <w:b/>
          <w:bCs/>
          <w:color w:val="auto"/>
          <w:lang w:val="hr-HR"/>
        </w:rPr>
        <w:t>.1. Vizija i strateško usmjerenje</w:t>
      </w:r>
      <w:bookmarkEnd w:id="39"/>
      <w:bookmarkEnd w:id="40"/>
    </w:p>
    <w:p w14:paraId="72BA3378" w14:textId="77777777" w:rsidR="005215C3" w:rsidRPr="00A609CA" w:rsidRDefault="005215C3" w:rsidP="005215C3">
      <w:pPr>
        <w:rPr>
          <w:lang w:val="hr-HR"/>
        </w:rPr>
      </w:pPr>
    </w:p>
    <w:p w14:paraId="35F70D4C" w14:textId="77777777" w:rsidR="00BF2813" w:rsidRPr="00A609CA" w:rsidRDefault="00BF2813" w:rsidP="00FF7A74">
      <w:pPr>
        <w:pStyle w:val="Istaknutonaslov"/>
        <w:shd w:val="clear" w:color="auto" w:fill="EDEDED" w:themeFill="accent3" w:themeFillTint="33"/>
        <w:ind w:right="283"/>
        <w:rPr>
          <w:rFonts w:ascii="Times New Roman" w:hAnsi="Times New Roman" w:cs="Times New Roman"/>
          <w:sz w:val="24"/>
          <w:szCs w:val="24"/>
          <w:lang w:val="hr-HR"/>
        </w:rPr>
      </w:pPr>
      <w:r>
        <w:rPr>
          <w:rFonts w:ascii="Times New Roman" w:hAnsi="Times New Roman" w:cs="Times New Roman"/>
          <w:sz w:val="24"/>
          <w:szCs w:val="24"/>
          <w:lang w:val="hr-HR"/>
        </w:rPr>
        <w:t>VIZIJA REPUBLIKE HRVATSKE</w:t>
      </w:r>
    </w:p>
    <w:p w14:paraId="05FFC878" w14:textId="589B13D2" w:rsidR="00957AAB" w:rsidRPr="009D0F6F" w:rsidRDefault="008E7106" w:rsidP="00FF7A74">
      <w:pPr>
        <w:pStyle w:val="Istaknutonaslov"/>
        <w:shd w:val="clear" w:color="auto" w:fill="EDEDED" w:themeFill="accent3" w:themeFillTint="33"/>
        <w:ind w:right="283"/>
        <w:jc w:val="both"/>
        <w:rPr>
          <w:rFonts w:ascii="Times New Roman" w:hAnsi="Times New Roman"/>
          <w:b w:val="0"/>
          <w:color w:val="000000"/>
          <w:sz w:val="24"/>
          <w:lang w:val="hr-HR"/>
        </w:rPr>
      </w:pPr>
      <w:r>
        <w:rPr>
          <w:rFonts w:ascii="Times New Roman" w:hAnsi="Times New Roman"/>
          <w:b w:val="0"/>
          <w:color w:val="000000"/>
          <w:sz w:val="24"/>
          <w:lang w:val="hr-HR"/>
        </w:rPr>
        <w:t>Vizija Republike Hrvatske jest postati društvo koje UI koristi u službi čovjeka, kao sredstvo za stvaranje javne vrijednosti, gospodarskog rasta i društvene dobrobiti, uz istodobno očuvanje temeljnih prava, demokratskih načela i povjerenja građana.</w:t>
      </w:r>
    </w:p>
    <w:p w14:paraId="19D3C171" w14:textId="42C7DED8" w:rsidR="00480AB5" w:rsidRPr="009D0F6F" w:rsidRDefault="008E7106" w:rsidP="001A1226">
      <w:pPr>
        <w:pStyle w:val="Tijeloteksta"/>
        <w:spacing w:before="301" w:line="276" w:lineRule="auto"/>
        <w:ind w:right="283"/>
        <w:jc w:val="both"/>
        <w:rPr>
          <w:color w:val="000000"/>
        </w:rPr>
      </w:pPr>
      <w:r>
        <w:rPr>
          <w:color w:val="000000"/>
        </w:rPr>
        <w:t>Razvoj i primjena UI-ja za Republiku Hrvatsku strateško su pitanje dugoročne konkurentnosti, sigurnosti, društvene uključenosti i digitalne suverenosti. UI nije cilj sam po sebi, nego alat za povećanje produktivnosti i inovacijskog kapaciteta gospodarstva, modernizaciju javne uprave, učinkovitije korištenje resursa, unapređenje javnih usluga i kvalitetnije donošenje odluka. Navedene koristi mogu biti održive samo uz zaštitu temeljnih prava, jasnu odgovornost čovjeka te siguran, zakonit i etičan razvoj i uporabu tehnologije.</w:t>
      </w:r>
    </w:p>
    <w:p w14:paraId="6BB0CB37" w14:textId="59A64A55" w:rsidR="00480AB5" w:rsidRPr="009D0F6F" w:rsidRDefault="008E7106" w:rsidP="001A1226">
      <w:pPr>
        <w:pStyle w:val="Tijeloteksta"/>
        <w:spacing w:before="301" w:line="276" w:lineRule="auto"/>
        <w:ind w:right="283"/>
        <w:jc w:val="both"/>
        <w:rPr>
          <w:color w:val="000000"/>
        </w:rPr>
      </w:pPr>
      <w:r>
        <w:rPr>
          <w:color w:val="000000"/>
        </w:rPr>
        <w:t xml:space="preserve">Republika Hrvatska će svoje razvojne ciljeve ostvarivati unutar zajedničkog europskog regulatornog, podatkovnog i infrastrukturnog prostora. </w:t>
      </w:r>
      <w:r w:rsidR="002950C8" w:rsidRPr="002950C8">
        <w:rPr>
          <w:color w:val="000000"/>
        </w:rPr>
        <w:t>Usklađenost s Aktom o umjetnoj inteligenciji (Uredba (EU) 2024/1689 Europskog parlamenta i Vijeća od 13. lipnja 2024. o utvrđivanju usklađenih pravila o umjetnoj inteligenciji, kako je izmijenjena Uredbom (EU) 2026/1744)</w:t>
      </w:r>
      <w:r>
        <w:rPr>
          <w:color w:val="000000"/>
        </w:rPr>
        <w:t>, povezivanje s europskim podatkovnim prostorima, Zajedničkim poduzećem za europsko računalstvo visokih performansi (EuroHPC</w:t>
      </w:r>
      <w:r w:rsidR="000D298C">
        <w:rPr>
          <w:color w:val="000000"/>
        </w:rPr>
        <w:t xml:space="preserve"> JU</w:t>
      </w:r>
      <w:r>
        <w:rPr>
          <w:color w:val="000000"/>
        </w:rPr>
        <w:t>), mrežom UI tvornica i strateškim europskim projektima omogućit će korištenje zajedničkih kapaciteta i tržišta, uz istodobno jačanje nacionalne sposobnosti upravljanja ključnim podacima, računalnim resursima, modelima i pravilima njihove uporabe.</w:t>
      </w:r>
    </w:p>
    <w:p w14:paraId="7870DB89" w14:textId="4F6D1C99" w:rsidR="00480AB5" w:rsidRPr="009D0F6F" w:rsidRDefault="008E7106" w:rsidP="001A1226">
      <w:pPr>
        <w:pStyle w:val="Tijeloteksta"/>
        <w:spacing w:before="301" w:line="276" w:lineRule="auto"/>
        <w:ind w:right="283"/>
        <w:jc w:val="both"/>
        <w:rPr>
          <w:color w:val="000000"/>
        </w:rPr>
      </w:pPr>
      <w:r>
        <w:rPr>
          <w:color w:val="000000"/>
        </w:rPr>
        <w:t>Radi učinkovitog korištenja raspoloživih resursa Republika Hrvatska će sustavno jačati horizontalne preduvjete za razvoj i sigurnu primjenu UI-ja. To uključuje sigurnu i suverenu računalnu i podatkovnu infrastrukturu, dostupnost kvalitetnih i interoperabilnih podataka, razvoj ljudskih i institucionalnih kapaciteta, hrvatske jezične resurse te pouzdan regulatorni i upravljački okvir. Istodobno će se osigurati poticajno okruženje i ciljani instrumenti potpore kako bi poduzeća, osobito MSP-ovi, brže razvijala, usvajala i primjenjivala UI, povećavala produktivnost i inovacijski kapacitet te jačala svoju konkurentnost na domaćem i međunarodnom tržištu.</w:t>
      </w:r>
    </w:p>
    <w:p w14:paraId="1CA31FF7" w14:textId="3439086F" w:rsidR="00480AB5" w:rsidRPr="009D0F6F" w:rsidRDefault="008E7106" w:rsidP="001A1226">
      <w:pPr>
        <w:pStyle w:val="Tijeloteksta"/>
        <w:spacing w:before="301" w:line="276" w:lineRule="auto"/>
        <w:ind w:right="283"/>
        <w:jc w:val="both"/>
        <w:rPr>
          <w:color w:val="000000"/>
        </w:rPr>
      </w:pPr>
      <w:r>
        <w:rPr>
          <w:color w:val="000000"/>
        </w:rPr>
        <w:t>Na tako izgrađenim temeljima Republika Hrvatska će usmjeravati ulaganja u odabrana područja primjene i specijalizirana tehnološka područja u kojima može ostvariti osobitu gospodarsku i društvenu vrijednost. Njihov odabir temeljit će se na raspoloživom znanju i podacima, potrebama građana, javnog sektora i gospodarstva, tržišnom potencijalu te mogućnosti stvaranja veće dodane vrijednosti. Prioritetna područja primjene UI-ja periodično će se preispitivati kako bi se provedba Nacionalnog plana prilagođavala tehnološkim promjenama, novim razvojnim potrebama i prilikama.</w:t>
      </w:r>
    </w:p>
    <w:p w14:paraId="54E927AC" w14:textId="77777777" w:rsidR="00480AB5" w:rsidRPr="00A609CA" w:rsidRDefault="00480AB5" w:rsidP="00FF7A74">
      <w:pPr>
        <w:ind w:right="283"/>
        <w:rPr>
          <w:lang w:val="hr-HR"/>
        </w:rPr>
      </w:pPr>
    </w:p>
    <w:p w14:paraId="3B82A499" w14:textId="77777777" w:rsidR="008260F4" w:rsidRPr="00A609CA" w:rsidRDefault="008260F4" w:rsidP="00185A15">
      <w:pPr>
        <w:shd w:val="clear" w:color="auto" w:fill="EDEDED" w:themeFill="accent3" w:themeFillTint="33"/>
        <w:spacing w:after="80"/>
        <w:ind w:right="283"/>
        <w:rPr>
          <w:rFonts w:ascii="Times New Roman" w:eastAsiaTheme="minorEastAsia" w:hAnsi="Times New Roman" w:cs="Times New Roman"/>
          <w:sz w:val="24"/>
          <w:szCs w:val="24"/>
          <w:lang w:val="hr-HR"/>
        </w:rPr>
      </w:pPr>
      <w:r>
        <w:rPr>
          <w:rFonts w:ascii="Times New Roman" w:hAnsi="Times New Roman" w:cs="Times New Roman"/>
          <w:b/>
          <w:color w:val="1E4A62"/>
          <w:sz w:val="24"/>
          <w:szCs w:val="24"/>
          <w:lang w:val="hr-HR"/>
        </w:rPr>
        <w:t>STRATEŠKI DOPRINOS RAZVOJA I PRIMJENE UI-JA</w:t>
      </w:r>
    </w:p>
    <w:p w14:paraId="1DF1549B" w14:textId="315D43E8" w:rsidR="008260F4" w:rsidRPr="00A609CA" w:rsidRDefault="002B5E38" w:rsidP="001E3284">
      <w:pPr>
        <w:pStyle w:val="Grafikeoznake"/>
        <w:shd w:val="clear" w:color="auto" w:fill="EDEDED" w:themeFill="accent3" w:themeFillTint="33"/>
        <w:spacing w:after="40"/>
        <w:ind w:right="283"/>
        <w:rPr>
          <w:rFonts w:ascii="Times New Roman" w:hAnsi="Times New Roman" w:cs="Times New Roman"/>
          <w:sz w:val="24"/>
          <w:szCs w:val="24"/>
          <w:lang w:val="hr-HR"/>
        </w:rPr>
      </w:pPr>
      <w:r>
        <w:rPr>
          <w:rFonts w:ascii="Times New Roman" w:hAnsi="Times New Roman" w:cs="Times New Roman"/>
          <w:sz w:val="24"/>
          <w:szCs w:val="24"/>
          <w:lang w:val="hr-HR"/>
        </w:rPr>
        <w:t>Konkurentno i inovativno gospodarstvo, sposobno za razvoj proizvoda i usluga visoke dodane vrijednosti, rast produktivnosti i jačanje izvoznog potencijala.</w:t>
      </w:r>
    </w:p>
    <w:p w14:paraId="4E477BAD" w14:textId="67CC7D58" w:rsidR="008260F4" w:rsidRPr="009D0F6F" w:rsidRDefault="00AC2B0C" w:rsidP="001E3284">
      <w:pPr>
        <w:pStyle w:val="Grafikeoznake"/>
        <w:shd w:val="clear" w:color="auto" w:fill="EDEDED" w:themeFill="accent3" w:themeFillTint="33"/>
        <w:spacing w:after="40"/>
        <w:ind w:right="283"/>
        <w:rPr>
          <w:rFonts w:ascii="Times New Roman" w:hAnsi="Times New Roman"/>
          <w:color w:val="000000"/>
          <w:sz w:val="24"/>
          <w:lang w:val="hr-HR"/>
        </w:rPr>
      </w:pPr>
      <w:r>
        <w:rPr>
          <w:rFonts w:ascii="Times New Roman" w:hAnsi="Times New Roman"/>
          <w:color w:val="000000"/>
          <w:sz w:val="24"/>
          <w:lang w:val="hr-HR"/>
        </w:rPr>
        <w:t xml:space="preserve">Učinkovita, otporna i </w:t>
      </w:r>
      <w:r>
        <w:rPr>
          <w:rFonts w:ascii="Times New Roman" w:hAnsi="Times New Roman" w:cs="Times New Roman"/>
          <w:color w:val="000000"/>
          <w:sz w:val="24"/>
          <w:szCs w:val="24"/>
          <w:lang w:val="hr-HR"/>
        </w:rPr>
        <w:t>digitalno</w:t>
      </w:r>
      <w:r>
        <w:rPr>
          <w:rFonts w:ascii="Times New Roman" w:hAnsi="Times New Roman"/>
          <w:color w:val="000000"/>
          <w:sz w:val="24"/>
          <w:lang w:val="hr-HR"/>
        </w:rPr>
        <w:t xml:space="preserve"> transformirana javna uprava, s javnim uslugama usmjerenima na potrebe građana i poduzetnika.</w:t>
      </w:r>
    </w:p>
    <w:p w14:paraId="27606C9F" w14:textId="252C1261" w:rsidR="008260F4" w:rsidRPr="00A609CA" w:rsidRDefault="002B5E38" w:rsidP="001E3284">
      <w:pPr>
        <w:pStyle w:val="Grafikeoznake"/>
        <w:shd w:val="clear" w:color="auto" w:fill="EDEDED" w:themeFill="accent3" w:themeFillTint="33"/>
        <w:spacing w:after="40"/>
        <w:ind w:right="283"/>
        <w:rPr>
          <w:rFonts w:ascii="Times New Roman" w:hAnsi="Times New Roman" w:cs="Times New Roman"/>
          <w:sz w:val="24"/>
          <w:szCs w:val="24"/>
          <w:lang w:val="hr-HR"/>
        </w:rPr>
      </w:pPr>
      <w:r>
        <w:rPr>
          <w:rFonts w:ascii="Times New Roman" w:hAnsi="Times New Roman" w:cs="Times New Roman"/>
          <w:sz w:val="24"/>
          <w:szCs w:val="24"/>
          <w:lang w:val="hr-HR"/>
        </w:rPr>
        <w:t>Sigurno i otporno društvo, uz jaču kibernetičku sigurnost, zaštitu kritične infrastrukture i sposobnost odgovora na hibridne prijetnje.</w:t>
      </w:r>
    </w:p>
    <w:p w14:paraId="3933E242" w14:textId="0A4949EE" w:rsidR="008260F4" w:rsidRPr="009D0F6F" w:rsidRDefault="00AC2B0C" w:rsidP="001E3284">
      <w:pPr>
        <w:pStyle w:val="Grafikeoznake"/>
        <w:shd w:val="clear" w:color="auto" w:fill="EDEDED" w:themeFill="accent3" w:themeFillTint="33"/>
        <w:spacing w:after="40"/>
        <w:ind w:right="283"/>
        <w:rPr>
          <w:rFonts w:ascii="Times New Roman" w:hAnsi="Times New Roman"/>
          <w:color w:val="000000"/>
          <w:sz w:val="24"/>
          <w:lang w:val="hr-HR"/>
        </w:rPr>
      </w:pPr>
      <w:r>
        <w:rPr>
          <w:rFonts w:ascii="Times New Roman" w:hAnsi="Times New Roman"/>
          <w:color w:val="000000"/>
          <w:sz w:val="24"/>
          <w:lang w:val="hr-HR"/>
        </w:rPr>
        <w:t>Održivi razvoj i učinkovitije upravljanje energijom, infrastrukturom, okolišem i drugim resursima.</w:t>
      </w:r>
    </w:p>
    <w:p w14:paraId="167BD74B" w14:textId="2AF17E59" w:rsidR="008260F4" w:rsidRPr="00A609CA" w:rsidRDefault="002B5E38" w:rsidP="001E3284">
      <w:pPr>
        <w:pStyle w:val="Grafikeoznake"/>
        <w:shd w:val="clear" w:color="auto" w:fill="EDEDED" w:themeFill="accent3" w:themeFillTint="33"/>
        <w:spacing w:after="40"/>
        <w:ind w:right="283"/>
        <w:rPr>
          <w:rFonts w:ascii="Times New Roman" w:hAnsi="Times New Roman" w:cs="Times New Roman"/>
          <w:sz w:val="24"/>
          <w:szCs w:val="24"/>
          <w:lang w:val="hr-HR"/>
        </w:rPr>
      </w:pPr>
      <w:r>
        <w:rPr>
          <w:rFonts w:ascii="Times New Roman" w:hAnsi="Times New Roman" w:cs="Times New Roman"/>
          <w:sz w:val="24"/>
          <w:szCs w:val="24"/>
          <w:lang w:val="hr-HR"/>
        </w:rPr>
        <w:t>Društvo jednakih mogućnosti u kojem su UI pismenost, kritičko mišljenje i pristup naprednim tehnologijama dostupni svim građanima.</w:t>
      </w:r>
    </w:p>
    <w:p w14:paraId="7719820D" w14:textId="77777777" w:rsidR="008260F4" w:rsidRPr="00A609CA" w:rsidRDefault="008260F4" w:rsidP="00FF7A74">
      <w:pPr>
        <w:ind w:right="283"/>
        <w:rPr>
          <w:lang w:val="hr-HR"/>
        </w:rPr>
      </w:pPr>
    </w:p>
    <w:p w14:paraId="14A80F2D" w14:textId="3057BFBD" w:rsidR="0011130F" w:rsidRPr="00A609CA" w:rsidRDefault="00BA455B" w:rsidP="0011130F">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41" w:name="_Toc236064837"/>
      <w:bookmarkStart w:id="42" w:name="_Toc242947266"/>
      <w:r>
        <w:rPr>
          <w:rFonts w:ascii="Times New Roman" w:eastAsia="Times New Roman" w:hAnsi="Times New Roman" w:cs="Times New Roman"/>
          <w:b/>
          <w:bCs/>
          <w:color w:val="auto"/>
          <w:lang w:val="hr-HR"/>
        </w:rPr>
        <w:t>3</w:t>
      </w:r>
      <w:r w:rsidR="0011130F">
        <w:rPr>
          <w:rFonts w:ascii="Times New Roman" w:eastAsia="Times New Roman" w:hAnsi="Times New Roman" w:cs="Times New Roman"/>
          <w:b/>
          <w:bCs/>
          <w:color w:val="auto"/>
          <w:lang w:val="hr-HR"/>
        </w:rPr>
        <w:t>.2. Intervencijska logika</w:t>
      </w:r>
      <w:bookmarkEnd w:id="41"/>
      <w:bookmarkEnd w:id="42"/>
    </w:p>
    <w:p w14:paraId="20BC551F" w14:textId="77777777" w:rsidR="007C06E3" w:rsidRPr="00A609CA" w:rsidRDefault="007C06E3" w:rsidP="007C06E3">
      <w:pPr>
        <w:rPr>
          <w:lang w:val="hr-HR"/>
        </w:rPr>
      </w:pPr>
    </w:p>
    <w:p w14:paraId="22F13D9E" w14:textId="140869A1" w:rsidR="00C31CFE" w:rsidRDefault="00336574" w:rsidP="00C31CFE">
      <w:pPr>
        <w:pStyle w:val="Tijeloteksta"/>
        <w:spacing w:before="301" w:line="276" w:lineRule="auto"/>
        <w:ind w:right="283"/>
        <w:jc w:val="both"/>
        <w:rPr>
          <w:color w:val="000000"/>
        </w:rPr>
      </w:pPr>
      <w:r>
        <w:rPr>
          <w:color w:val="000000"/>
        </w:rPr>
        <w:t>Četiri posebna cilja međusobno su povezana. Razvoj vještina bez dostupne infrastrukture i kvalitetnih podataka ne može dovesti do naprednih primjena, ulaganja u infrastrukturu bez jasnih pravila te bez korisnika ne stvaraju javnu vrijednost, a inovacije i šira primjena ne mogu se održivo razvijati bez povjerenja, pravne sigurnosti i stručnih kapaciteta. Nacionalni plan stoga povezuje ljude, infrastrukturu i podatke, upravljanje i prava te istraživanje, inovacije i gospodarsku primjenu.</w:t>
      </w:r>
    </w:p>
    <w:p w14:paraId="37543E46" w14:textId="4C290C45" w:rsidR="001A1226" w:rsidRPr="00C31CFE" w:rsidRDefault="001A1226" w:rsidP="00C31CFE">
      <w:pPr>
        <w:pStyle w:val="Tijeloteksta"/>
        <w:spacing w:before="301" w:line="276" w:lineRule="auto"/>
        <w:ind w:right="283"/>
        <w:jc w:val="both"/>
        <w:rPr>
          <w:color w:val="000000"/>
        </w:rPr>
      </w:pPr>
      <w:r>
        <w:rPr>
          <w:color w:val="000000"/>
        </w:rPr>
        <w:t>Tablica intervencijske logike:</w:t>
      </w:r>
    </w:p>
    <w:tbl>
      <w:tblPr>
        <w:tblStyle w:val="Obinatablica2"/>
        <w:tblW w:w="5000" w:type="pct"/>
        <w:tblLayout w:type="fixed"/>
        <w:tblLook w:val="0020" w:firstRow="1" w:lastRow="0" w:firstColumn="0" w:lastColumn="0" w:noHBand="0" w:noVBand="0"/>
      </w:tblPr>
      <w:tblGrid>
        <w:gridCol w:w="3020"/>
        <w:gridCol w:w="3021"/>
        <w:gridCol w:w="3021"/>
      </w:tblGrid>
      <w:tr w:rsidR="003C56B9" w:rsidRPr="00C31CFE" w14:paraId="6D3B0A09" w14:textId="77777777" w:rsidTr="002D2A0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A11D1B5" w14:textId="74EE17D5"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Identificirani ključni izazovi</w:t>
            </w:r>
          </w:p>
        </w:tc>
        <w:tc>
          <w:tcPr>
            <w:cnfStyle w:val="000001000000" w:firstRow="0" w:lastRow="0" w:firstColumn="0" w:lastColumn="0" w:oddVBand="0" w:evenVBand="1" w:oddHBand="0" w:evenHBand="0" w:firstRowFirstColumn="0" w:firstRowLastColumn="0" w:lastRowFirstColumn="0" w:lastRowLastColumn="0"/>
            <w:tcW w:w="2640" w:type="dxa"/>
          </w:tcPr>
          <w:p w14:paraId="58A6F1AE"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Odgovor Nacionalnog plana</w:t>
            </w:r>
          </w:p>
        </w:tc>
        <w:tc>
          <w:tcPr>
            <w:cnfStyle w:val="000010000000" w:firstRow="0" w:lastRow="0" w:firstColumn="0" w:lastColumn="0" w:oddVBand="1" w:evenVBand="0" w:oddHBand="0" w:evenHBand="0" w:firstRowFirstColumn="0" w:firstRowLastColumn="0" w:lastRowFirstColumn="0" w:lastRowLastColumn="0"/>
            <w:tcW w:w="2640" w:type="dxa"/>
          </w:tcPr>
          <w:p w14:paraId="179293C1"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Pokazatelji ishoda kojima se prati promjena</w:t>
            </w:r>
          </w:p>
        </w:tc>
      </w:tr>
      <w:tr w:rsidR="003C56B9" w:rsidRPr="00C31CFE" w14:paraId="047223F4" w14:textId="77777777" w:rsidTr="002D2A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CFCDA95"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Nedovoljno široka dostupnost primjenjivih digitalnih i UI vještina te potreba za jačanjem sposobnosti građana i zaposlenih za korištenje UI-ja u privatnom i profesionalnom kontekstu.</w:t>
            </w:r>
          </w:p>
        </w:tc>
        <w:tc>
          <w:tcPr>
            <w:cnfStyle w:val="000001000000" w:firstRow="0" w:lastRow="0" w:firstColumn="0" w:lastColumn="0" w:oddVBand="0" w:evenVBand="1" w:oddHBand="0" w:evenHBand="0" w:firstRowFirstColumn="0" w:firstRowLastColumn="0" w:lastRowFirstColumn="0" w:lastRowLastColumn="0"/>
            <w:tcW w:w="2640" w:type="dxa"/>
          </w:tcPr>
          <w:p w14:paraId="5B5A3B67"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Posebni cilj 1. Osnažiti ljudske potencijale za razvoj i primjenu UI-ja</w:t>
            </w:r>
          </w:p>
        </w:tc>
        <w:tc>
          <w:tcPr>
            <w:cnfStyle w:val="000010000000" w:firstRow="0" w:lastRow="0" w:firstColumn="0" w:lastColumn="0" w:oddVBand="1" w:evenVBand="0" w:oddHBand="0" w:evenHBand="0" w:firstRowFirstColumn="0" w:firstRowLastColumn="0" w:lastRowFirstColumn="0" w:lastRowLastColumn="0"/>
            <w:tcW w:w="2640" w:type="dxa"/>
          </w:tcPr>
          <w:p w14:paraId="1560A229" w14:textId="23215293" w:rsidR="00537F57" w:rsidRDefault="00954C86" w:rsidP="00537F57">
            <w:pPr>
              <w:pStyle w:val="Compact"/>
              <w:rPr>
                <w:rFonts w:ascii="Times New Roman" w:hAnsi="Times New Roman" w:cs="Times New Roman"/>
                <w:lang w:val="hr-HR"/>
              </w:rPr>
            </w:pPr>
            <w:r w:rsidRPr="00954C86">
              <w:rPr>
                <w:rFonts w:ascii="Times New Roman" w:hAnsi="Times New Roman" w:cs="Times New Roman"/>
                <w:lang w:val="hr-HR"/>
              </w:rPr>
              <w:t>1.1. Udio stanovništva u dobi od 16 do 74 godina s barem osnovnom razinom digitalnih vještina, OI.02.7.48</w:t>
            </w:r>
          </w:p>
          <w:p w14:paraId="6C8C2B97" w14:textId="779FE4D4" w:rsidR="00537F57" w:rsidRPr="00537F57" w:rsidRDefault="00537F57" w:rsidP="00537F57">
            <w:pPr>
              <w:pStyle w:val="Compact"/>
              <w:rPr>
                <w:rFonts w:ascii="Times New Roman" w:hAnsi="Times New Roman" w:cs="Times New Roman"/>
                <w:lang w:val="hr-HR"/>
              </w:rPr>
            </w:pPr>
            <w:r w:rsidRPr="00537F57">
              <w:rPr>
                <w:rFonts w:ascii="Times New Roman" w:hAnsi="Times New Roman" w:cs="Times New Roman"/>
                <w:lang w:val="hr-HR"/>
              </w:rPr>
              <w:t>1.2. Udio stanovništva u dobi od 16 do 74 godina koji je koristio generativne alate UI-ja, OI.02.7.49</w:t>
            </w:r>
          </w:p>
          <w:p w14:paraId="2FA5BDE1" w14:textId="373CC6C9" w:rsidR="003C56B9" w:rsidRPr="00C31CFE" w:rsidRDefault="00537F57" w:rsidP="00537F57">
            <w:pPr>
              <w:pStyle w:val="Compact"/>
              <w:rPr>
                <w:rFonts w:ascii="Times New Roman" w:hAnsi="Times New Roman" w:cs="Times New Roman"/>
                <w:lang w:val="hr-HR"/>
              </w:rPr>
            </w:pPr>
            <w:r w:rsidRPr="00537F57">
              <w:rPr>
                <w:rFonts w:ascii="Times New Roman" w:hAnsi="Times New Roman" w:cs="Times New Roman"/>
                <w:lang w:val="hr-HR"/>
              </w:rPr>
              <w:t>1.3. Udio stanovništva u dobi od 16 do 74 godine koji je koristio generativne alate UI-ja u profesionalne svrhe (za posao), OI.02.7.47</w:t>
            </w:r>
          </w:p>
        </w:tc>
      </w:tr>
      <w:tr w:rsidR="003C56B9" w:rsidRPr="00C31CFE" w14:paraId="61E99C16" w14:textId="77777777" w:rsidTr="002D2A08">
        <w:tc>
          <w:tcPr>
            <w:cnfStyle w:val="000010000000" w:firstRow="0" w:lastRow="0" w:firstColumn="0" w:lastColumn="0" w:oddVBand="1" w:evenVBand="0" w:oddHBand="0" w:evenHBand="0" w:firstRowFirstColumn="0" w:firstRowLastColumn="0" w:lastRowFirstColumn="0" w:lastRowLastColumn="0"/>
            <w:tcW w:w="2640" w:type="dxa"/>
          </w:tcPr>
          <w:p w14:paraId="29D9F87F"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 xml:space="preserve">Ograničeni napredni računalni kapaciteti i njihova uporaba za razvoj i primjenu UI-ja te potreba za većom </w:t>
            </w:r>
            <w:r w:rsidRPr="00C31CFE">
              <w:rPr>
                <w:rFonts w:ascii="Times New Roman" w:hAnsi="Times New Roman" w:cs="Times New Roman"/>
                <w:lang w:val="hr-HR"/>
              </w:rPr>
              <w:lastRenderedPageBreak/>
              <w:t>dostupnošću, uporabom i interoperabilnošću podataka i informacijskih resursa javnog sektora.</w:t>
            </w:r>
          </w:p>
        </w:tc>
        <w:tc>
          <w:tcPr>
            <w:cnfStyle w:val="000001000000" w:firstRow="0" w:lastRow="0" w:firstColumn="0" w:lastColumn="0" w:oddVBand="0" w:evenVBand="1" w:oddHBand="0" w:evenHBand="0" w:firstRowFirstColumn="0" w:firstRowLastColumn="0" w:lastRowFirstColumn="0" w:lastRowLastColumn="0"/>
            <w:tcW w:w="2640" w:type="dxa"/>
          </w:tcPr>
          <w:p w14:paraId="2A1EE419"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lastRenderedPageBreak/>
              <w:t>Posebni cilj 2. Osigurati suverenu, sigurnu i otpornu računalnu infrastrukturu i podatke</w:t>
            </w:r>
          </w:p>
        </w:tc>
        <w:tc>
          <w:tcPr>
            <w:cnfStyle w:val="000010000000" w:firstRow="0" w:lastRow="0" w:firstColumn="0" w:lastColumn="0" w:oddVBand="1" w:evenVBand="0" w:oddHBand="0" w:evenHBand="0" w:firstRowFirstColumn="0" w:firstRowLastColumn="0" w:lastRowFirstColumn="0" w:lastRowLastColumn="0"/>
            <w:tcW w:w="2640" w:type="dxa"/>
          </w:tcPr>
          <w:p w14:paraId="719F442B" w14:textId="77777777" w:rsidR="00E864D0" w:rsidRPr="00E864D0"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 xml:space="preserve">2.1. Udio zona u oblaku s visokom razinom UI računalne sposobnosti (Sloj </w:t>
            </w:r>
            <w:r w:rsidRPr="00E864D0">
              <w:rPr>
                <w:rFonts w:ascii="Times New Roman" w:hAnsi="Times New Roman" w:cs="Times New Roman"/>
                <w:lang w:val="hr-HR"/>
              </w:rPr>
              <w:lastRenderedPageBreak/>
              <w:t>1 / Tier 1 prema OECD metodologiji), OI.02.7.50</w:t>
            </w:r>
          </w:p>
          <w:p w14:paraId="0607260D" w14:textId="77777777" w:rsidR="00E864D0" w:rsidRPr="00E864D0"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2.2. Dostupnost i uporaba informacija javnog sektora, OI.02.7.52</w:t>
            </w:r>
          </w:p>
          <w:p w14:paraId="7E216340" w14:textId="5B4B8116" w:rsidR="003C56B9" w:rsidRPr="00C31CFE"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2.3. Broj projekata razvoja ili primjene umjetne inteligencije podržanih nacionalnim resursima za napredno računanje, OI.02.7.51</w:t>
            </w:r>
          </w:p>
        </w:tc>
      </w:tr>
      <w:tr w:rsidR="003C56B9" w:rsidRPr="00C31CFE" w14:paraId="2A77B4C3" w14:textId="77777777" w:rsidTr="002D2A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A15F259"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lastRenderedPageBreak/>
              <w:t>Rascjepkane institucionalne odgovornosti, regulatorna neizvjesnost, nedovoljno razvijeno upravljanje rizicima i incidentima te potreba za jačanjem zaštite temeljnih prava i povjerenja građana u primjenu UI-ja.</w:t>
            </w:r>
          </w:p>
        </w:tc>
        <w:tc>
          <w:tcPr>
            <w:cnfStyle w:val="000001000000" w:firstRow="0" w:lastRow="0" w:firstColumn="0" w:lastColumn="0" w:oddVBand="0" w:evenVBand="1" w:oddHBand="0" w:evenHBand="0" w:firstRowFirstColumn="0" w:firstRowLastColumn="0" w:lastRowFirstColumn="0" w:lastRowLastColumn="0"/>
            <w:tcW w:w="2640" w:type="dxa"/>
          </w:tcPr>
          <w:p w14:paraId="16FF31ED"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Posebni cilj 3. Uspostaviti sustav etične i zakonite primjene UI-ja</w:t>
            </w:r>
          </w:p>
        </w:tc>
        <w:tc>
          <w:tcPr>
            <w:cnfStyle w:val="000010000000" w:firstRow="0" w:lastRow="0" w:firstColumn="0" w:lastColumn="0" w:oddVBand="1" w:evenVBand="0" w:oddHBand="0" w:evenHBand="0" w:firstRowFirstColumn="0" w:firstRowLastColumn="0" w:lastRowFirstColumn="0" w:lastRowLastColumn="0"/>
            <w:tcW w:w="2640" w:type="dxa"/>
          </w:tcPr>
          <w:p w14:paraId="2200954D" w14:textId="77777777" w:rsidR="00E864D0" w:rsidRPr="00E864D0"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3.1. Udio prijavljenih ozbiljnih incidenata visokorizičnih sustava umjetne inteligencije za koje je nadležno tijelo poduzelo odgovarajuće mjere u roku od sedam dana od zaprimanja prijave, sukladno članku 73. stavku 8. Akta o UI-ju, OI.02.7.54</w:t>
            </w:r>
          </w:p>
          <w:p w14:paraId="0B6C77B4" w14:textId="77777777" w:rsidR="00E864D0" w:rsidRPr="00E864D0"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3.2. Udio građana koji smatraju da se digitalna prava i načela dobro primjenjuju u smislu ostvarivanja učinkovite slobode izbora na internetu, uključujući interakciju sa sustavima umjetne inteligencije, OI.02.7.55</w:t>
            </w:r>
          </w:p>
          <w:p w14:paraId="572B12A9" w14:textId="5B38E7DD" w:rsidR="00E864D0" w:rsidRPr="00C31CFE" w:rsidRDefault="00E864D0" w:rsidP="00E864D0">
            <w:pPr>
              <w:pStyle w:val="Compact"/>
              <w:rPr>
                <w:rFonts w:ascii="Times New Roman" w:hAnsi="Times New Roman" w:cs="Times New Roman"/>
                <w:lang w:val="hr-HR"/>
              </w:rPr>
            </w:pPr>
            <w:r w:rsidRPr="00E864D0">
              <w:rPr>
                <w:rFonts w:ascii="Times New Roman" w:hAnsi="Times New Roman" w:cs="Times New Roman"/>
                <w:lang w:val="hr-HR"/>
              </w:rPr>
              <w:t>3.3. Udio visokorizičnih sustava umjetne inteligencije koje uvode tijela javnog prava i na koje se primjenjuje obveza iz članka 27. Akta o UI-ju, za koje je prije prve uporabe provedena procjena učinka na temeljna prava, OI.02.7.53</w:t>
            </w:r>
          </w:p>
        </w:tc>
      </w:tr>
      <w:tr w:rsidR="003C56B9" w:rsidRPr="00C31CFE" w14:paraId="418E4781" w14:textId="77777777" w:rsidTr="002D2A08">
        <w:tc>
          <w:tcPr>
            <w:cnfStyle w:val="000010000000" w:firstRow="0" w:lastRow="0" w:firstColumn="0" w:lastColumn="0" w:oddVBand="1" w:evenVBand="0" w:oddHBand="0" w:evenHBand="0" w:firstRowFirstColumn="0" w:firstRowLastColumn="0" w:lastRowFirstColumn="0" w:lastRowLastColumn="0"/>
            <w:tcW w:w="2640" w:type="dxa"/>
          </w:tcPr>
          <w:p w14:paraId="4D5E6EBC"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Sporije i nedovoljno strateško usvajanje UI-ja u poduzećima, nedostatna ulaganja u UI te ograničena primjena UI-ja u proizvodnim procesima i stvaranju mjerljive gospodarske vrijednosti.</w:t>
            </w:r>
          </w:p>
        </w:tc>
        <w:tc>
          <w:tcPr>
            <w:cnfStyle w:val="000001000000" w:firstRow="0" w:lastRow="0" w:firstColumn="0" w:lastColumn="0" w:oddVBand="0" w:evenVBand="1" w:oddHBand="0" w:evenHBand="0" w:firstRowFirstColumn="0" w:firstRowLastColumn="0" w:lastRowFirstColumn="0" w:lastRowLastColumn="0"/>
            <w:tcW w:w="2640" w:type="dxa"/>
          </w:tcPr>
          <w:p w14:paraId="3ACB1098" w14:textId="77777777" w:rsidR="003C56B9" w:rsidRPr="00C31CFE" w:rsidRDefault="003C56B9" w:rsidP="002D2A08">
            <w:pPr>
              <w:pStyle w:val="Compact"/>
              <w:rPr>
                <w:rFonts w:ascii="Times New Roman" w:hAnsi="Times New Roman" w:cs="Times New Roman"/>
                <w:lang w:val="hr-HR"/>
              </w:rPr>
            </w:pPr>
            <w:r w:rsidRPr="00C31CFE">
              <w:rPr>
                <w:rFonts w:ascii="Times New Roman" w:hAnsi="Times New Roman" w:cs="Times New Roman"/>
                <w:lang w:val="hr-HR"/>
              </w:rPr>
              <w:t>Posebni cilj 4. Poticati istraživanje, inovacije, razvoj i primjenu UI-ja u gospodarstvu</w:t>
            </w:r>
          </w:p>
        </w:tc>
        <w:tc>
          <w:tcPr>
            <w:cnfStyle w:val="000010000000" w:firstRow="0" w:lastRow="0" w:firstColumn="0" w:lastColumn="0" w:oddVBand="1" w:evenVBand="0" w:oddHBand="0" w:evenHBand="0" w:firstRowFirstColumn="0" w:firstRowLastColumn="0" w:lastRowFirstColumn="0" w:lastRowLastColumn="0"/>
            <w:tcW w:w="2640" w:type="dxa"/>
          </w:tcPr>
          <w:p w14:paraId="6CD84358" w14:textId="77777777" w:rsidR="00FB547E" w:rsidRDefault="00FB547E" w:rsidP="00FB547E">
            <w:pPr>
              <w:pStyle w:val="Compact"/>
              <w:rPr>
                <w:rFonts w:ascii="Times New Roman" w:hAnsi="Times New Roman" w:cs="Times New Roman"/>
                <w:lang w:val="hr-HR"/>
              </w:rPr>
            </w:pPr>
            <w:r w:rsidRPr="00FB547E">
              <w:rPr>
                <w:rFonts w:ascii="Times New Roman" w:hAnsi="Times New Roman" w:cs="Times New Roman"/>
                <w:lang w:val="hr-HR"/>
              </w:rPr>
              <w:t>4.1. Udio poduzeća koja koriste najmanje jednu tehnologiju umjetne inteligencije, OI.02.7.58</w:t>
            </w:r>
          </w:p>
          <w:p w14:paraId="4165B907" w14:textId="407BEA4C" w:rsidR="00FB547E" w:rsidRPr="00FB547E" w:rsidRDefault="00FB547E" w:rsidP="00FB547E">
            <w:pPr>
              <w:pStyle w:val="Compact"/>
              <w:rPr>
                <w:rFonts w:ascii="Times New Roman" w:hAnsi="Times New Roman" w:cs="Times New Roman"/>
                <w:lang w:val="hr-HR"/>
              </w:rPr>
            </w:pPr>
            <w:r w:rsidRPr="00FB547E">
              <w:rPr>
                <w:rFonts w:ascii="Times New Roman" w:hAnsi="Times New Roman" w:cs="Times New Roman"/>
                <w:lang w:val="hr-HR"/>
              </w:rPr>
              <w:t>4.2. Ukupna ulaganja u umjetnu inteligenciju u Hrvatskoj, OI.02.7.56</w:t>
            </w:r>
          </w:p>
          <w:p w14:paraId="1B485915" w14:textId="767811CA" w:rsidR="003C56B9" w:rsidRPr="00C31CFE" w:rsidRDefault="00FB547E" w:rsidP="00FB547E">
            <w:pPr>
              <w:pStyle w:val="Compact"/>
              <w:rPr>
                <w:rFonts w:ascii="Times New Roman" w:hAnsi="Times New Roman" w:cs="Times New Roman"/>
                <w:lang w:val="hr-HR"/>
              </w:rPr>
            </w:pPr>
            <w:r w:rsidRPr="00FB547E">
              <w:rPr>
                <w:rFonts w:ascii="Times New Roman" w:hAnsi="Times New Roman" w:cs="Times New Roman"/>
                <w:lang w:val="hr-HR"/>
              </w:rPr>
              <w:t xml:space="preserve">4.3. Udio poduzeća koja koriste umjetnu inteligenciju </w:t>
            </w:r>
            <w:r w:rsidRPr="00FB547E">
              <w:rPr>
                <w:rFonts w:ascii="Times New Roman" w:hAnsi="Times New Roman" w:cs="Times New Roman"/>
                <w:lang w:val="hr-HR"/>
              </w:rPr>
              <w:lastRenderedPageBreak/>
              <w:t>u proizvodnim procesima, među poduzećima koja koriste najmanje jednu tehnologiju umjetne inteligencije, OI.02.7.57</w:t>
            </w:r>
          </w:p>
        </w:tc>
      </w:tr>
    </w:tbl>
    <w:p w14:paraId="4FD0B477" w14:textId="77777777" w:rsidR="0011130F" w:rsidRPr="00A609CA" w:rsidRDefault="0011130F" w:rsidP="00FF7A74">
      <w:pPr>
        <w:ind w:right="283"/>
        <w:rPr>
          <w:lang w:val="hr-HR"/>
        </w:rPr>
      </w:pPr>
    </w:p>
    <w:p w14:paraId="3C1B83D0" w14:textId="77777777" w:rsidR="006C635A" w:rsidRDefault="006C635A" w:rsidP="001A1226">
      <w:pPr>
        <w:pStyle w:val="Tijeloteksta"/>
        <w:spacing w:before="301" w:line="276" w:lineRule="auto"/>
        <w:ind w:right="283"/>
        <w:jc w:val="both"/>
        <w:rPr>
          <w:color w:val="000000"/>
        </w:rPr>
      </w:pPr>
      <w:r w:rsidRPr="006C635A">
        <w:rPr>
          <w:color w:val="000000"/>
        </w:rPr>
        <w:t>Identificirani ključni problemi iz analize stanja povezani su s posebnim ciljevima Nacionalnog plana i pokazateljima ishoda kojima će se pratiti ostvarivanje očekivanih promjena. Pojedini pokazatelj može pratiti promjenu povezanu s više međusobno povezanih izazova.</w:t>
      </w:r>
    </w:p>
    <w:p w14:paraId="1BCF5991" w14:textId="1E8053CC" w:rsidR="00910685" w:rsidRDefault="00910685" w:rsidP="001A1226">
      <w:pPr>
        <w:pStyle w:val="Tijeloteksta"/>
        <w:spacing w:before="301" w:line="276" w:lineRule="auto"/>
        <w:ind w:right="283"/>
        <w:jc w:val="both"/>
        <w:rPr>
          <w:color w:val="000000"/>
        </w:rPr>
      </w:pPr>
      <w:r w:rsidRPr="00910685">
        <w:rPr>
          <w:color w:val="000000"/>
        </w:rPr>
        <w:t>Ključna područja primjene UI-ja opisana u poglavlju 3. nisu zasebna provedbena cjelina izvan posebnih ciljeva, nego predstavljaju područja u kojima se posebni ciljevi Nacionalnog plana konkretiziraju kroz sektorske i međusektorske primjene. Mjere kojima se podupiru pojedina područja primjene pridružuju se posebnom cilju kojem prema svojoj pretežitoj svrsi izravno doprinose, pri čemu pojedina mjera može istodobno doprinositi i drugim posebnim ciljevima i područjima primjene.</w:t>
      </w:r>
    </w:p>
    <w:p w14:paraId="66D316E7" w14:textId="563A760B" w:rsidR="001D66A8" w:rsidRPr="009D0F6F" w:rsidRDefault="00336574" w:rsidP="001A1226">
      <w:pPr>
        <w:pStyle w:val="Tijeloteksta"/>
        <w:spacing w:before="301" w:line="276" w:lineRule="auto"/>
        <w:ind w:right="283"/>
        <w:jc w:val="both"/>
        <w:rPr>
          <w:color w:val="000000"/>
        </w:rPr>
      </w:pPr>
      <w:r>
        <w:rPr>
          <w:color w:val="000000"/>
        </w:rPr>
        <w:t>Prvi Akcijski plan za razdoblje do kraja 2028. godine operacionalizira ovu logiku kroz mjere koje su kombinacija reformi i ulaganja. Mjere prvog provedbenog razdoblja ne predstavljaju zatvoren popis aktivnosti do 2032. godine, nego prvi slijed intervencija za izgradnju osnovnih kapaciteta, pokretanje spremnih ulaganja i testiranje konkretnih primjena. Sljedeći Akcijski plan za razdoblje nakon 2028. godine proširit će popis mjera na temelju rezultata provedbe, tehnološkog razvoja, projektne spremnosti i raspoloživih izvora financiranja.</w:t>
      </w:r>
    </w:p>
    <w:p w14:paraId="68C77E50" w14:textId="77777777" w:rsidR="001D66A8" w:rsidRPr="00A609CA" w:rsidRDefault="001D66A8" w:rsidP="00FF7A74">
      <w:pPr>
        <w:ind w:right="283"/>
        <w:rPr>
          <w:lang w:val="hr-HR"/>
        </w:rPr>
      </w:pPr>
    </w:p>
    <w:p w14:paraId="32078D95" w14:textId="624F4215" w:rsidR="00504EC6" w:rsidRPr="00A609CA" w:rsidRDefault="00BA455B" w:rsidP="009E2143">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43" w:name="_Toc236064838"/>
      <w:bookmarkStart w:id="44" w:name="_Toc242947267"/>
      <w:r>
        <w:rPr>
          <w:rFonts w:ascii="Times New Roman" w:eastAsia="Times New Roman" w:hAnsi="Times New Roman" w:cs="Times New Roman"/>
          <w:b/>
          <w:bCs/>
          <w:color w:val="auto"/>
          <w:lang w:val="hr-HR"/>
        </w:rPr>
        <w:t>3</w:t>
      </w:r>
      <w:r w:rsidR="00504EC6">
        <w:rPr>
          <w:rFonts w:ascii="Times New Roman" w:eastAsia="Times New Roman" w:hAnsi="Times New Roman" w:cs="Times New Roman"/>
          <w:b/>
          <w:bCs/>
          <w:color w:val="auto"/>
          <w:lang w:val="hr-HR"/>
        </w:rPr>
        <w:t>.3. Posebni cilj 1. Osnažiti ljudske potencijale za razvoj i primjenu UI-ja</w:t>
      </w:r>
      <w:bookmarkEnd w:id="43"/>
      <w:bookmarkEnd w:id="44"/>
    </w:p>
    <w:p w14:paraId="6BA90FF2" w14:textId="77777777" w:rsidR="001312D1" w:rsidRPr="00A609CA" w:rsidRDefault="001312D1" w:rsidP="001312D1">
      <w:pPr>
        <w:rPr>
          <w:lang w:val="hr-HR"/>
        </w:rPr>
      </w:pPr>
    </w:p>
    <w:p w14:paraId="453A5C30" w14:textId="58F73790" w:rsidR="001312D1" w:rsidRPr="009D0F6F" w:rsidRDefault="00336574" w:rsidP="001A1226">
      <w:pPr>
        <w:pStyle w:val="Tijeloteksta"/>
        <w:spacing w:before="301" w:line="276" w:lineRule="auto"/>
        <w:ind w:right="283"/>
        <w:jc w:val="both"/>
        <w:rPr>
          <w:color w:val="000000"/>
        </w:rPr>
      </w:pPr>
      <w:r>
        <w:rPr>
          <w:color w:val="000000"/>
        </w:rPr>
        <w:t>Ovim posebnim ciljem odgovara se na nedovoljnu širinu i brzinu razvoja primjenjivih UI vještina izvan uskog kruga IKT stručnjaka, manjak specijaliziranih kadrova te regionalne i društvene razlike u pristupu znanju. U uvjetima demografskih ograničenja i globalne konkurencije za stručnjake, ljudski potencijali jednako su važan element nacionalne digitalne suverenosti kao računalna infrastruktura i podaci.</w:t>
      </w:r>
    </w:p>
    <w:p w14:paraId="6AEF7819" w14:textId="33C17E17" w:rsidR="001312D1" w:rsidRPr="009D0F6F" w:rsidRDefault="00336574" w:rsidP="001A1226">
      <w:pPr>
        <w:pStyle w:val="Tijeloteksta"/>
        <w:spacing w:before="301" w:line="276" w:lineRule="auto"/>
        <w:ind w:right="283"/>
        <w:jc w:val="both"/>
        <w:rPr>
          <w:color w:val="000000"/>
        </w:rPr>
      </w:pPr>
      <w:r>
        <w:rPr>
          <w:color w:val="000000"/>
        </w:rPr>
        <w:t>Cilj je do 2032. uspostaviti široku, uključivu i konkurentnu bazu znanja i vještina koja obuhvaća građane, učenike i studente, nastavno osoblje, zaposlene osobe, rukovoditelje te državne i javne službenike. Razvoj opće UI pismenosti povezat će se sa sektorskim i naprednim kompetencijama, praktičnom primjenom alata, razumijevanjem ograničenja i rizika te sposobnošću odgovornog upravljanja sustavima UI-ja.</w:t>
      </w:r>
      <w:r w:rsidR="00FB265A" w:rsidRPr="00FB265A">
        <w:rPr>
          <w:color w:val="000000"/>
        </w:rPr>
        <w:t>Posebni cilj 1 podupire i provedbu članka 4. Akta o UI-ju o pismenosti u području umjetne inteligencije, koji se primjenjuje od 2. veljače 2025. i kojim se od pružatelja i subjekata koji uvode UI sustave zahtijeva poduzimanje mjera za potporu razvoju UI pismenosti njihova osoblja i drugih osoba koje se u njihovo ime bave radom i uporabom UI sustava.</w:t>
      </w:r>
    </w:p>
    <w:p w14:paraId="5D92908A" w14:textId="223CDC3F" w:rsidR="00BA1E16" w:rsidRPr="009D0F6F" w:rsidRDefault="00336574" w:rsidP="001A1226">
      <w:pPr>
        <w:pStyle w:val="Tijeloteksta"/>
        <w:spacing w:before="301" w:line="276" w:lineRule="auto"/>
        <w:ind w:right="283"/>
        <w:jc w:val="both"/>
        <w:rPr>
          <w:color w:val="000000"/>
        </w:rPr>
      </w:pPr>
      <w:r>
        <w:rPr>
          <w:color w:val="000000"/>
        </w:rPr>
        <w:lastRenderedPageBreak/>
        <w:t>Posebni cilj 1 horizontalno podupire sve ostale ciljeve Nacionalnog plana. Obrazovni sustav stvara buduću radnu snagu i istraživače, cjeloživotno učenje omogućuje prilagodbu zaposlenih tehnološkim promjenama, a javna uprava mora razviti sposobnost da UI koristi, nabavlja i nadzire na siguran i zakonit način. Istodobno, zadržavanje i privlačenje talenata ovisit će o dostupnosti napredne infrastrukture, istraživačkih prilika i inovativnog gospodarstva.</w:t>
      </w:r>
    </w:p>
    <w:p w14:paraId="049BCE8B" w14:textId="77777777" w:rsidR="00BA1E16" w:rsidRPr="00A609CA" w:rsidRDefault="00BA1E16" w:rsidP="00CD281D">
      <w:pPr>
        <w:pStyle w:val="Tijeloteksta"/>
        <w:spacing w:line="276" w:lineRule="auto"/>
        <w:ind w:right="283"/>
        <w:jc w:val="both"/>
      </w:pPr>
    </w:p>
    <w:p w14:paraId="0650DA51" w14:textId="2477223E" w:rsidR="007E21CB" w:rsidRPr="00A609CA" w:rsidRDefault="007E21CB" w:rsidP="00562FD0">
      <w:pPr>
        <w:shd w:val="clear" w:color="auto" w:fill="DEEAF6" w:themeFill="accent5" w:themeFillTint="33"/>
        <w:spacing w:after="80"/>
        <w:rPr>
          <w:rFonts w:ascii="Times New Roman" w:eastAsiaTheme="minorEastAsia" w:hAnsi="Times New Roman" w:cs="Times New Roman"/>
          <w:sz w:val="24"/>
          <w:szCs w:val="24"/>
          <w:lang w:val="hr-HR"/>
        </w:rPr>
      </w:pPr>
      <w:r>
        <w:rPr>
          <w:rFonts w:ascii="Times New Roman" w:hAnsi="Times New Roman" w:cs="Times New Roman"/>
          <w:b/>
          <w:color w:val="1E4A62"/>
          <w:sz w:val="24"/>
          <w:szCs w:val="24"/>
          <w:lang w:val="hr-HR"/>
        </w:rPr>
        <w:t>OČEKIVANE PROMJENE DO 2032. GODINE</w:t>
      </w:r>
    </w:p>
    <w:p w14:paraId="66D40BAC" w14:textId="128CCD6B" w:rsidR="007E21CB" w:rsidRPr="00A609CA" w:rsidRDefault="002B5E38" w:rsidP="00562FD0">
      <w:pPr>
        <w:pStyle w:val="Grafikeoznake"/>
        <w:shd w:val="clear" w:color="auto" w:fill="DEEAF6" w:themeFill="accent5" w:themeFillTint="33"/>
        <w:spacing w:after="40"/>
        <w:jc w:val="left"/>
        <w:rPr>
          <w:rFonts w:ascii="Times New Roman" w:hAnsi="Times New Roman" w:cs="Times New Roman"/>
          <w:sz w:val="24"/>
          <w:szCs w:val="24"/>
          <w:lang w:val="hr-HR"/>
        </w:rPr>
      </w:pPr>
      <w:r>
        <w:rPr>
          <w:rFonts w:ascii="Times New Roman" w:hAnsi="Times New Roman" w:cs="Times New Roman"/>
          <w:sz w:val="24"/>
          <w:szCs w:val="24"/>
          <w:lang w:val="hr-HR"/>
        </w:rPr>
        <w:t>Veći udio građana s osnovnim digitalnim vještinama i iskustvom korištenja generativnih UI alata.</w:t>
      </w:r>
    </w:p>
    <w:p w14:paraId="6FD0B2CD" w14:textId="7AC5E184" w:rsidR="007E21CB" w:rsidRPr="009D0F6F" w:rsidRDefault="00336574" w:rsidP="00562FD0">
      <w:pPr>
        <w:pStyle w:val="Grafikeoznake"/>
        <w:shd w:val="clear" w:color="auto" w:fill="DEEAF6" w:themeFill="accent5" w:themeFillTint="33"/>
        <w:spacing w:after="40"/>
        <w:jc w:val="left"/>
        <w:rPr>
          <w:rFonts w:ascii="Times New Roman" w:hAnsi="Times New Roman"/>
          <w:color w:val="000000"/>
          <w:sz w:val="24"/>
          <w:lang w:val="hr-HR"/>
        </w:rPr>
      </w:pPr>
      <w:r>
        <w:rPr>
          <w:rFonts w:ascii="Times New Roman" w:hAnsi="Times New Roman"/>
          <w:color w:val="000000"/>
          <w:sz w:val="24"/>
          <w:lang w:val="hr-HR"/>
        </w:rPr>
        <w:t>Sustavna integracija sadržaja</w:t>
      </w:r>
      <w:r>
        <w:rPr>
          <w:rFonts w:ascii="Times New Roman" w:hAnsi="Times New Roman" w:cs="Times New Roman"/>
          <w:color w:val="000000"/>
          <w:sz w:val="24"/>
          <w:szCs w:val="24"/>
          <w:lang w:val="hr-HR"/>
        </w:rPr>
        <w:t xml:space="preserve"> o UI-ju</w:t>
      </w:r>
      <w:r>
        <w:rPr>
          <w:rFonts w:ascii="Times New Roman" w:hAnsi="Times New Roman"/>
          <w:color w:val="000000"/>
          <w:sz w:val="24"/>
          <w:lang w:val="hr-HR"/>
        </w:rPr>
        <w:t xml:space="preserve"> i odgovorne primjene UI-ja u obrazovanju.</w:t>
      </w:r>
    </w:p>
    <w:p w14:paraId="34686333" w14:textId="47A26426" w:rsidR="007E21CB" w:rsidRPr="009D0F6F" w:rsidRDefault="00336574" w:rsidP="00562FD0">
      <w:pPr>
        <w:pStyle w:val="Grafikeoznake"/>
        <w:shd w:val="clear" w:color="auto" w:fill="DEEAF6" w:themeFill="accent5" w:themeFillTint="33"/>
        <w:spacing w:after="40"/>
        <w:jc w:val="left"/>
        <w:rPr>
          <w:rFonts w:ascii="Times New Roman" w:hAnsi="Times New Roman"/>
          <w:color w:val="000000"/>
          <w:sz w:val="24"/>
          <w:lang w:val="hr-HR"/>
        </w:rPr>
      </w:pPr>
      <w:r>
        <w:rPr>
          <w:rFonts w:ascii="Times New Roman" w:hAnsi="Times New Roman"/>
          <w:color w:val="000000"/>
          <w:sz w:val="24"/>
          <w:lang w:val="hr-HR"/>
        </w:rPr>
        <w:t>Veća dostupnost praktičnih, sektorski usmjerenih programa cjeloživotnog učenja.</w:t>
      </w:r>
    </w:p>
    <w:p w14:paraId="23B277C4" w14:textId="181A7F8C" w:rsidR="007E21CB" w:rsidRPr="009D0F6F" w:rsidRDefault="00336574" w:rsidP="00562FD0">
      <w:pPr>
        <w:pStyle w:val="Grafikeoznake"/>
        <w:shd w:val="clear" w:color="auto" w:fill="DEEAF6" w:themeFill="accent5" w:themeFillTint="33"/>
        <w:spacing w:after="40"/>
        <w:jc w:val="left"/>
        <w:rPr>
          <w:rFonts w:ascii="Times New Roman" w:hAnsi="Times New Roman"/>
          <w:color w:val="000000"/>
          <w:sz w:val="24"/>
          <w:lang w:val="hr-HR"/>
        </w:rPr>
      </w:pPr>
      <w:r>
        <w:rPr>
          <w:rFonts w:ascii="Times New Roman" w:hAnsi="Times New Roman"/>
          <w:color w:val="000000"/>
          <w:sz w:val="24"/>
          <w:lang w:val="hr-HR"/>
        </w:rPr>
        <w:t>Osposobljena javna uprava koja može odgovorno koristiti, nabavljati i nadzirati sustave</w:t>
      </w:r>
      <w:r>
        <w:rPr>
          <w:rFonts w:ascii="Times New Roman" w:hAnsi="Times New Roman" w:cs="Times New Roman"/>
          <w:color w:val="000000"/>
          <w:sz w:val="24"/>
          <w:szCs w:val="24"/>
          <w:lang w:val="hr-HR"/>
        </w:rPr>
        <w:t xml:space="preserve"> UI-a.</w:t>
      </w:r>
      <w:r>
        <w:rPr>
          <w:rFonts w:ascii="Times New Roman" w:hAnsi="Times New Roman"/>
          <w:color w:val="000000"/>
          <w:sz w:val="24"/>
          <w:lang w:val="hr-HR"/>
        </w:rPr>
        <w:t xml:space="preserve"> </w:t>
      </w:r>
    </w:p>
    <w:p w14:paraId="1C697CDD" w14:textId="48FC8CF0" w:rsidR="00987539" w:rsidRPr="009D0F6F" w:rsidRDefault="00336574" w:rsidP="00562FD0">
      <w:pPr>
        <w:pStyle w:val="Grafikeoznake"/>
        <w:shd w:val="clear" w:color="auto" w:fill="DEEAF6" w:themeFill="accent5" w:themeFillTint="33"/>
        <w:spacing w:after="40"/>
        <w:jc w:val="left"/>
        <w:rPr>
          <w:rFonts w:ascii="Times New Roman" w:hAnsi="Times New Roman"/>
          <w:color w:val="000000"/>
          <w:sz w:val="24"/>
          <w:lang w:val="hr-HR"/>
        </w:rPr>
      </w:pPr>
      <w:r>
        <w:rPr>
          <w:rFonts w:ascii="Times New Roman" w:hAnsi="Times New Roman"/>
          <w:color w:val="000000"/>
          <w:sz w:val="24"/>
          <w:lang w:val="hr-HR"/>
        </w:rPr>
        <w:t>Šira baza specijaliziranih i interdisciplinarnih stručnjaka i istraživača u području IKT-a i UI-ja.</w:t>
      </w:r>
    </w:p>
    <w:p w14:paraId="201651C0" w14:textId="48DA2BEA" w:rsidR="00987539" w:rsidRPr="00A609CA" w:rsidRDefault="00987539" w:rsidP="0073250E">
      <w:pPr>
        <w:pStyle w:val="Tijeloteksta"/>
        <w:spacing w:before="301" w:line="276" w:lineRule="auto"/>
        <w:ind w:right="283"/>
        <w:jc w:val="both"/>
        <w:rPr>
          <w:b/>
          <w:bCs/>
        </w:rPr>
      </w:pPr>
      <w:r>
        <w:rPr>
          <w:b/>
          <w:bCs/>
        </w:rPr>
        <w:t>Prioriteti Posebnog cilja 1:</w:t>
      </w:r>
    </w:p>
    <w:p w14:paraId="757E176B" w14:textId="358C4CF7" w:rsidR="000E2C9D" w:rsidRPr="00132768" w:rsidRDefault="008243E6" w:rsidP="001A1226">
      <w:pPr>
        <w:pStyle w:val="Tijeloteksta"/>
        <w:spacing w:before="301" w:line="276" w:lineRule="auto"/>
        <w:ind w:right="283"/>
        <w:jc w:val="both"/>
      </w:pPr>
      <w:r>
        <w:rPr>
          <w:b/>
          <w:bCs/>
        </w:rPr>
        <w:t>Prioritet 1.1. UI u formalnom obrazovanju i rani razvoj kompetencija</w:t>
      </w:r>
      <w:r>
        <w:t xml:space="preserve"> –</w:t>
      </w:r>
      <w:r>
        <w:rPr>
          <w:color w:val="000000"/>
        </w:rPr>
        <w:t xml:space="preserve"> Sadržaji o UI-ju postupno će se integrirati u osnovnoškolsko, srednjoškolsko i visoko obrazovanje, uz uvažavanje razvojne dobi učenika i pedagoških ciljeva. Naglasak će biti na razumijevanju temeljnih načela, kritičkoj procjeni sadržaja i rezultata UI sustava, medijskoj i UI pismenosti te sigurnoj, etičnoj i stvaralačkoj primjeni tehnologije. Razvoj kurikuluma i obrazovnih sadržaja pratit će sustavno osposobljavanje nastavnog osoblja, pružanje podrške obrazovnim ustanovama i razvoj naprednih programa za rano prepoznavanje i razvoj talenata. Visoka učilišta poticat će se na razvoj studijskih programa, mikrokvalifikacija i modularnih sadržaja oblikovanih u suradnji s gospodarstvom i javnim sektorom.</w:t>
      </w:r>
    </w:p>
    <w:p w14:paraId="323A4E09" w14:textId="5289B431" w:rsidR="00987539" w:rsidRPr="009D0F6F" w:rsidRDefault="008243E6" w:rsidP="001A1226">
      <w:pPr>
        <w:pStyle w:val="Tijeloteksta"/>
        <w:spacing w:before="301" w:line="276" w:lineRule="auto"/>
        <w:ind w:right="283"/>
        <w:jc w:val="both"/>
        <w:rPr>
          <w:color w:val="000000"/>
        </w:rPr>
      </w:pPr>
      <w:r>
        <w:rPr>
          <w:b/>
          <w:bCs/>
        </w:rPr>
        <w:t>Prioritet 1.2. Razvoj i jačanje UI kompetencija kroz cjeloživotno učenje</w:t>
      </w:r>
      <w:r>
        <w:t xml:space="preserve"> – </w:t>
      </w:r>
      <w:r>
        <w:rPr>
          <w:color w:val="000000"/>
        </w:rPr>
        <w:t>Građanima i radno aktivnom stanovništvu osigurat će se dostupni i kvalitetni programi za stjecanje UI kompetencija, od opće pismenosti do specijaliziranih znanja povezanih s konkretnim zanimanjima i poslovnim funkcijama. Programi će se oblikovati modularno, uz praktičnu primjenu alata i mogućnost priznavanja stečenih kompetencija. Financijske, geografske i organizacijske prepreke smanjivat će se korištenjem vaučera, mikrokvalifikacija, online i hibridnih oblika učenja te suradnjom obrazovnih ustanova, poslodavaca i službi tržišta rada. Posebna će se pozornost usmjeriti na skupine i djelatnosti najizloženije promjenama sadržaja rada.</w:t>
      </w:r>
      <w:r w:rsidR="00240A39">
        <w:rPr>
          <w:color w:val="000000"/>
        </w:rPr>
        <w:t xml:space="preserve"> </w:t>
      </w:r>
      <w:r w:rsidR="00240A39" w:rsidRPr="00240A39">
        <w:rPr>
          <w:color w:val="000000"/>
        </w:rPr>
        <w:t>U suradnji sa socijalnim partnerima sustavno će se pratiti učinci primjene UI-ja na sadržaj i organizaciju rada, potrebe za vještinama, radne uvjete i kvalitetu radnih mjesta te će se ta pitanja uključivati u postojeće mehanizme socijalnog dijaloga.</w:t>
      </w:r>
      <w:r w:rsidR="00BC4F27">
        <w:rPr>
          <w:color w:val="000000"/>
        </w:rPr>
        <w:t xml:space="preserve"> </w:t>
      </w:r>
    </w:p>
    <w:p w14:paraId="38B88261" w14:textId="39824077" w:rsidR="00987539" w:rsidRPr="00A609CA" w:rsidRDefault="00B854F9" w:rsidP="000001DA">
      <w:pPr>
        <w:pStyle w:val="Tijeloteksta"/>
        <w:spacing w:before="301" w:line="276" w:lineRule="auto"/>
        <w:ind w:right="283"/>
        <w:jc w:val="both"/>
      </w:pPr>
      <w:r>
        <w:rPr>
          <w:b/>
          <w:bCs/>
        </w:rPr>
        <w:t>Prioritet 1.3. Jačanje UI kompetencija državnih i javnih</w:t>
      </w:r>
      <w:r>
        <w:t xml:space="preserve"> </w:t>
      </w:r>
      <w:r>
        <w:rPr>
          <w:b/>
          <w:bCs/>
        </w:rPr>
        <w:t>službenika</w:t>
      </w:r>
      <w:r>
        <w:t xml:space="preserve"> – </w:t>
      </w:r>
      <w:r>
        <w:rPr>
          <w:color w:val="000000"/>
        </w:rPr>
        <w:t xml:space="preserve">Razvoj kompetencija u javnom sektoru obuhvatit će osnovnu UI pismenost, praktičnu uporabu alata, upravljanje podacima, nabavu i upravljanje sustavima UI-ja te primjenu etičkih, pravnih i </w:t>
      </w:r>
      <w:r>
        <w:rPr>
          <w:color w:val="000000"/>
        </w:rPr>
        <w:lastRenderedPageBreak/>
        <w:t>sigurnosnih zahtjeva. Programi će se razlikovati prema ulozi i razini odgovornosti: od općih sadržaja za službenike do specijaliziranih programa za rukovoditelje, stručnjake za javnu nabavu, podatke, kibernetičku sigurnost, regulaciju i nadzor. Središnja stručna potpora omogućit će razmjenu znanja, razvoj standardiziranih sadržaja i širenje provjerenih primjera primjene među institucijama.</w:t>
      </w:r>
    </w:p>
    <w:p w14:paraId="41598A4A" w14:textId="0F5966C3" w:rsidR="00987539" w:rsidRPr="009D0F6F" w:rsidRDefault="00987539" w:rsidP="000001DA">
      <w:pPr>
        <w:pStyle w:val="Tijeloteksta"/>
        <w:spacing w:before="301" w:line="276" w:lineRule="auto"/>
        <w:ind w:right="283"/>
        <w:jc w:val="both"/>
        <w:rPr>
          <w:color w:val="000000"/>
        </w:rPr>
      </w:pPr>
      <w:r>
        <w:rPr>
          <w:b/>
          <w:bCs/>
        </w:rPr>
        <w:t>Prio</w:t>
      </w:r>
      <w:r>
        <w:rPr>
          <w:b/>
          <w:color w:val="000000"/>
        </w:rPr>
        <w:t>ritet 1.4. Podizanje svijesti, UI pismenost i društveno povjerenje</w:t>
      </w:r>
      <w:r>
        <w:rPr>
          <w:color w:val="000000"/>
        </w:rPr>
        <w:t xml:space="preserve"> – Razvoj UI-ja bit će popraćen koordiniranim informativnim i edukativnim aktivnostima usmjerenima na jasno informiranje građana o mogućnostima, ograničenjima i rizicima povezanim s ovom tehnologijom. Uz nacionalne kampanje, provodit će se istraživanja percepcije i povjerenja, javne rasprave te aktivnosti prilagođene različitim dobnim, regionalnim i društvenim skupinama. Povjerenje će se graditi povezivanjem informiranja s konkretnim pravilima zaštite prava, transparentnošću institucija i uključivanjem civilnog društva, akademske zajednice, gospodarstva i socijalnih partnera u raspravu o društvenim učincima UI-ja.</w:t>
      </w:r>
    </w:p>
    <w:p w14:paraId="5F8D81AE" w14:textId="73C800AF" w:rsidR="00987539" w:rsidRPr="009D0F6F" w:rsidRDefault="00987539" w:rsidP="000001DA">
      <w:pPr>
        <w:pStyle w:val="Tijeloteksta"/>
        <w:spacing w:before="301" w:line="276" w:lineRule="auto"/>
        <w:ind w:right="283"/>
        <w:jc w:val="both"/>
        <w:rPr>
          <w:color w:val="000000"/>
        </w:rPr>
      </w:pPr>
      <w:r>
        <w:rPr>
          <w:b/>
          <w:color w:val="000000"/>
        </w:rPr>
        <w:t>Prioritet 1.5. Razvoj, privlačenje i zadržavanje UI talenata te međunarodna suradnja</w:t>
      </w:r>
      <w:r>
        <w:rPr>
          <w:color w:val="000000"/>
        </w:rPr>
        <w:t xml:space="preserve"> – Republika Hrvatska će jačati razvoj i zadržavanje visoko specijaliziranih stručnjaka i istraživača povezivanjem obrazovanja, znanosti i gospodarstva, razvojem interdisciplinarnih profila te stvaranjem kvalitetnih istraživačkih i karijernih prilika. Poticat će se međunarodna mobilnost, uključivanje u europske mreže izvrsnosti i zajedničke projekte, suradnja s hrvatskom dijasporom te instrumenti za povratak i dugoročan rad stručnjaka u Republici Hrvatskoj. Ovaj je prioritet izravno povezan s razvojem nacionalne računalne infrastrukture, inovacijskog ekosustava i mogućnostima sudjelovanja u europskim strateškim projektima.</w:t>
      </w:r>
    </w:p>
    <w:p w14:paraId="2FD304D9" w14:textId="5ACF1C1B" w:rsidR="00603DE3" w:rsidRPr="00A609CA" w:rsidRDefault="00987539" w:rsidP="00603DE3">
      <w:pPr>
        <w:pStyle w:val="Tijeloteksta"/>
        <w:spacing w:before="301" w:line="276" w:lineRule="auto"/>
        <w:ind w:right="283"/>
        <w:jc w:val="both"/>
        <w:rPr>
          <w:b/>
          <w:bCs/>
        </w:rPr>
      </w:pPr>
      <w:r>
        <w:rPr>
          <w:b/>
          <w:bCs/>
        </w:rPr>
        <w:t>Prvo razdoblje provedbe 2026. – 2028.</w:t>
      </w:r>
    </w:p>
    <w:p w14:paraId="322E9BA2" w14:textId="122D8F5C" w:rsidR="00A95A24" w:rsidRPr="009D0F6F" w:rsidRDefault="00A95A24" w:rsidP="000001DA">
      <w:pPr>
        <w:pStyle w:val="Tijeloteksta"/>
        <w:spacing w:before="301" w:line="276" w:lineRule="auto"/>
        <w:ind w:right="283"/>
        <w:jc w:val="both"/>
        <w:rPr>
          <w:color w:val="000000"/>
        </w:rPr>
      </w:pPr>
      <w:r>
        <w:rPr>
          <w:color w:val="000000"/>
        </w:rPr>
        <w:t>Prioriteti Posebnog cilja 1 u prvom će se provedbenom razdoblju operacionalizirati reformama i ulaganjima utvrđenima Prvim akcijskim planom za razvoj i primjenu UI-ja do kraja 2028. godine. Početni portfelj mjera usmjeren je na podizanje UI pismenosti građana i jačanje društvenog povjerenja, integraciju i odgovornu primjenu UI-ja u obrazovnom sustavu, razvoj kompetencija nastavnika i zaposlenih osoba te uspostavu sustavne podrške za razvoj i primjenu UI kompetencija u javnoj upravi</w:t>
      </w:r>
      <w:r w:rsidR="00BC4F27">
        <w:rPr>
          <w:color w:val="000000"/>
        </w:rPr>
        <w:t xml:space="preserve">. </w:t>
      </w:r>
    </w:p>
    <w:p w14:paraId="5A176DA8" w14:textId="63882CAB" w:rsidR="00F90086" w:rsidRPr="009D0F6F" w:rsidRDefault="00336574" w:rsidP="000001DA">
      <w:pPr>
        <w:pStyle w:val="Tijeloteksta"/>
        <w:spacing w:before="301" w:line="276" w:lineRule="auto"/>
        <w:ind w:right="283"/>
        <w:jc w:val="both"/>
        <w:rPr>
          <w:color w:val="000000"/>
        </w:rPr>
      </w:pPr>
      <w:r>
        <w:rPr>
          <w:color w:val="000000"/>
        </w:rPr>
        <w:t>Tim se mjerama neposredno pokreće provedba prioriteta koji se odnose na formalno obrazovanje, cjeloživotno učenje, kompetencije državnih i javnih službenika te UI pismenost i društveno povjerenje. Prioritet razvoja, privlačenja i zadržavanja UI talenata u prvom će se razdoblju podupirati i kroz mjere istraživanja, inovacija, razvoja kompetencija i međunarodnog povezivanja, dok će se dodatni ciljani instrumenti razraditi u sljedećem akcijskom planu.</w:t>
      </w:r>
    </w:p>
    <w:p w14:paraId="466FCD00" w14:textId="77777777" w:rsidR="00BD4E80" w:rsidRPr="00A609CA" w:rsidRDefault="00BD4E80" w:rsidP="00A95A24">
      <w:pPr>
        <w:pStyle w:val="Tijeloteksta"/>
        <w:spacing w:before="301"/>
        <w:ind w:right="283"/>
        <w:jc w:val="both"/>
        <w:sectPr w:rsidR="00BD4E80" w:rsidRPr="00A609CA">
          <w:pgSz w:w="11906" w:h="16838"/>
          <w:pgMar w:top="1417" w:right="1417" w:bottom="1417" w:left="1417" w:header="708" w:footer="708" w:gutter="0"/>
          <w:cols w:space="708"/>
          <w:docGrid w:linePitch="360"/>
        </w:sectPr>
      </w:pPr>
    </w:p>
    <w:p w14:paraId="35BBB0E5" w14:textId="4058ACF0" w:rsidR="00BD4E80" w:rsidRPr="00A609CA" w:rsidRDefault="00CD281D" w:rsidP="000001DA">
      <w:pPr>
        <w:pStyle w:val="Tijeloteksta"/>
        <w:spacing w:before="301" w:line="276" w:lineRule="auto"/>
        <w:ind w:right="283"/>
        <w:jc w:val="both"/>
      </w:pPr>
      <w:r>
        <w:lastRenderedPageBreak/>
        <w:t>Pokazatelji ishoda</w:t>
      </w:r>
      <w:r w:rsidR="006E7F43">
        <w:t xml:space="preserve"> Posebnog cilja 1</w:t>
      </w:r>
      <w:r w:rsidR="000001DA">
        <w:t>:</w:t>
      </w:r>
    </w:p>
    <w:tbl>
      <w:tblPr>
        <w:tblW w:w="14255" w:type="dxa"/>
        <w:jc w:val="center"/>
        <w:tblBorders>
          <w:top w:val="single" w:sz="4" w:space="0" w:color="AABEC9"/>
          <w:left w:val="single" w:sz="4" w:space="0" w:color="AABEC9"/>
          <w:bottom w:val="single" w:sz="4" w:space="0" w:color="AABEC9"/>
          <w:right w:val="single" w:sz="4" w:space="0" w:color="AABEC9"/>
          <w:insideH w:val="single" w:sz="4" w:space="0" w:color="AABEC9"/>
          <w:insideV w:val="single" w:sz="4" w:space="0" w:color="AABEC9"/>
        </w:tblBorders>
        <w:tblLayout w:type="fixed"/>
        <w:tblLook w:val="04A0" w:firstRow="1" w:lastRow="0" w:firstColumn="1" w:lastColumn="0" w:noHBand="0" w:noVBand="1"/>
      </w:tblPr>
      <w:tblGrid>
        <w:gridCol w:w="5903"/>
        <w:gridCol w:w="1224"/>
        <w:gridCol w:w="3096"/>
        <w:gridCol w:w="2246"/>
        <w:gridCol w:w="1786"/>
      </w:tblGrid>
      <w:tr w:rsidR="0050202F" w:rsidRPr="00A609CA" w14:paraId="17CC51D0" w14:textId="77777777" w:rsidTr="002A50A1">
        <w:trPr>
          <w:tblHeader/>
          <w:jc w:val="center"/>
        </w:trPr>
        <w:tc>
          <w:tcPr>
            <w:tcW w:w="5903"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11D59A7E" w14:textId="6263B468" w:rsidR="00BD4E80" w:rsidRPr="00A609CA" w:rsidRDefault="00BD4E80">
            <w:pPr>
              <w:jc w:val="center"/>
              <w:rPr>
                <w:rFonts w:ascii="Times New Roman" w:hAnsi="Times New Roman" w:cs="Times New Roman"/>
                <w:sz w:val="24"/>
                <w:szCs w:val="24"/>
                <w:lang w:val="hr-HR"/>
              </w:rPr>
            </w:pPr>
            <w:r>
              <w:rPr>
                <w:rFonts w:ascii="Times New Roman" w:hAnsi="Times New Roman" w:cs="Times New Roman"/>
                <w:b/>
                <w:sz w:val="24"/>
                <w:szCs w:val="24"/>
                <w:lang w:val="hr-HR"/>
              </w:rPr>
              <w:t>Pokazatelj ishoda</w:t>
            </w:r>
            <w:r w:rsidR="00AA2CCC">
              <w:rPr>
                <w:rFonts w:ascii="Times New Roman" w:hAnsi="Times New Roman" w:cs="Times New Roman"/>
                <w:b/>
                <w:sz w:val="24"/>
                <w:szCs w:val="24"/>
                <w:lang w:val="hr-HR"/>
              </w:rPr>
              <w:t xml:space="preserve">, </w:t>
            </w:r>
            <w:r w:rsidR="00AA2CCC" w:rsidRPr="00AA2CCC">
              <w:rPr>
                <w:rFonts w:ascii="Times New Roman" w:hAnsi="Times New Roman" w:cs="Times New Roman"/>
                <w:b/>
                <w:sz w:val="24"/>
                <w:szCs w:val="24"/>
                <w:lang w:val="hr-HR"/>
              </w:rPr>
              <w:t>kod u Biblioteci pokazatelja</w:t>
            </w:r>
          </w:p>
        </w:tc>
        <w:tc>
          <w:tcPr>
            <w:tcW w:w="122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4A9490C4" w14:textId="77777777" w:rsidR="00BD4E80" w:rsidRPr="00A609CA" w:rsidRDefault="00BD4E80">
            <w:pPr>
              <w:jc w:val="center"/>
              <w:rPr>
                <w:rFonts w:ascii="Times New Roman" w:hAnsi="Times New Roman" w:cs="Times New Roman"/>
                <w:sz w:val="24"/>
                <w:szCs w:val="24"/>
                <w:lang w:val="hr-HR"/>
              </w:rPr>
            </w:pPr>
            <w:r>
              <w:rPr>
                <w:rFonts w:ascii="Times New Roman" w:hAnsi="Times New Roman" w:cs="Times New Roman"/>
                <w:b/>
                <w:sz w:val="24"/>
                <w:szCs w:val="24"/>
                <w:lang w:val="hr-HR"/>
              </w:rPr>
              <w:t>Jedinica mjere</w:t>
            </w:r>
          </w:p>
        </w:tc>
        <w:tc>
          <w:tcPr>
            <w:tcW w:w="309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4082837F" w14:textId="77777777" w:rsidR="00BD4E80" w:rsidRPr="00A609CA" w:rsidRDefault="00BD4E80">
            <w:pPr>
              <w:jc w:val="center"/>
              <w:rPr>
                <w:rFonts w:ascii="Times New Roman" w:hAnsi="Times New Roman" w:cs="Times New Roman"/>
                <w:sz w:val="24"/>
                <w:szCs w:val="24"/>
                <w:lang w:val="hr-HR"/>
              </w:rPr>
            </w:pPr>
            <w:r>
              <w:rPr>
                <w:rFonts w:ascii="Times New Roman" w:hAnsi="Times New Roman" w:cs="Times New Roman"/>
                <w:b/>
                <w:sz w:val="24"/>
                <w:szCs w:val="24"/>
                <w:lang w:val="hr-HR"/>
              </w:rPr>
              <w:t>Izvor podataka</w:t>
            </w:r>
          </w:p>
        </w:tc>
        <w:tc>
          <w:tcPr>
            <w:tcW w:w="224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69FB863C" w14:textId="77777777" w:rsidR="00BD4E80" w:rsidRPr="00A609CA" w:rsidRDefault="00BD4E80">
            <w:pPr>
              <w:jc w:val="center"/>
              <w:rPr>
                <w:rFonts w:ascii="Times New Roman" w:hAnsi="Times New Roman" w:cs="Times New Roman"/>
                <w:sz w:val="24"/>
                <w:szCs w:val="24"/>
                <w:lang w:val="hr-HR"/>
              </w:rPr>
            </w:pPr>
            <w:r>
              <w:rPr>
                <w:rFonts w:ascii="Times New Roman" w:hAnsi="Times New Roman" w:cs="Times New Roman"/>
                <w:b/>
                <w:sz w:val="24"/>
                <w:szCs w:val="24"/>
                <w:lang w:val="hr-HR"/>
              </w:rPr>
              <w:t>Polazna vrijednost (godina)</w:t>
            </w:r>
          </w:p>
        </w:tc>
        <w:tc>
          <w:tcPr>
            <w:tcW w:w="178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7159A999" w14:textId="77777777" w:rsidR="00BD4E80" w:rsidRPr="00A609CA" w:rsidRDefault="00BD4E80">
            <w:pPr>
              <w:jc w:val="center"/>
              <w:rPr>
                <w:rFonts w:ascii="Times New Roman" w:hAnsi="Times New Roman" w:cs="Times New Roman"/>
                <w:sz w:val="24"/>
                <w:szCs w:val="24"/>
                <w:lang w:val="hr-HR"/>
              </w:rPr>
            </w:pPr>
            <w:r>
              <w:rPr>
                <w:rFonts w:ascii="Times New Roman" w:hAnsi="Times New Roman" w:cs="Times New Roman"/>
                <w:b/>
                <w:sz w:val="24"/>
                <w:szCs w:val="24"/>
                <w:lang w:val="hr-HR"/>
              </w:rPr>
              <w:t>Ciljna vrijednost (2032.)</w:t>
            </w:r>
          </w:p>
        </w:tc>
      </w:tr>
      <w:tr w:rsidR="00DA026A" w:rsidRPr="00A609CA" w14:paraId="6F7C9B91" w14:textId="77777777" w:rsidTr="009D0F6F">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46B5C87" w14:textId="2AF68868" w:rsidR="00DA026A" w:rsidRPr="00A609CA" w:rsidRDefault="00DA026A" w:rsidP="00DA026A">
            <w:pPr>
              <w:rPr>
                <w:rFonts w:ascii="Times New Roman" w:hAnsi="Times New Roman" w:cs="Times New Roman"/>
                <w:sz w:val="24"/>
                <w:szCs w:val="24"/>
                <w:lang w:val="hr-HR"/>
              </w:rPr>
            </w:pPr>
            <w:r w:rsidRPr="00DA026A">
              <w:rPr>
                <w:rFonts w:ascii="Times New Roman" w:hAnsi="Times New Roman" w:cs="Times New Roman"/>
                <w:sz w:val="24"/>
                <w:szCs w:val="24"/>
                <w:lang w:val="hr-HR"/>
              </w:rPr>
              <w:t>1.1. Udio stanovništva u dobi od 16 do 74 godina s barem osnovnom razinom digitalnih vještina, OI.02.7.48</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5C950DA"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72FA2AC" w14:textId="2F72CA2D" w:rsidR="00DA026A" w:rsidRPr="00A609CA" w:rsidRDefault="00DA026A" w:rsidP="00DA026A">
            <w:pPr>
              <w:rPr>
                <w:rFonts w:ascii="Times New Roman" w:hAnsi="Times New Roman" w:cs="Times New Roman"/>
                <w:sz w:val="24"/>
                <w:szCs w:val="24"/>
                <w:lang w:val="hr-HR"/>
              </w:rPr>
            </w:pPr>
            <w:r>
              <w:rPr>
                <w:rFonts w:ascii="Times New Roman" w:hAnsi="Times New Roman" w:cs="Times New Roman"/>
                <w:sz w:val="24"/>
                <w:szCs w:val="24"/>
                <w:lang w:val="hr-HR"/>
              </w:rPr>
              <w:t xml:space="preserve">DZS, Eurostat </w:t>
            </w:r>
          </w:p>
        </w:tc>
        <w:tc>
          <w:tcPr>
            <w:tcW w:w="224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9FF5D47"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63,38 % (2025.)</w:t>
            </w:r>
          </w:p>
          <w:p w14:paraId="0980747C" w14:textId="0F5E1C9D" w:rsidR="00DA026A" w:rsidRPr="00A609CA" w:rsidRDefault="00DA026A" w:rsidP="00DA026A">
            <w:pPr>
              <w:jc w:val="center"/>
              <w:rPr>
                <w:rFonts w:ascii="Times New Roman" w:hAnsi="Times New Roman" w:cs="Times New Roman"/>
                <w:sz w:val="24"/>
                <w:szCs w:val="24"/>
                <w:lang w:val="hr-HR"/>
              </w:rPr>
            </w:pPr>
          </w:p>
        </w:tc>
        <w:tc>
          <w:tcPr>
            <w:tcW w:w="178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0015DEA"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80 %</w:t>
            </w:r>
          </w:p>
        </w:tc>
      </w:tr>
      <w:tr w:rsidR="00DA026A" w:rsidRPr="00A609CA" w14:paraId="03DC6523" w14:textId="77777777" w:rsidTr="009D0F6F">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A690768" w14:textId="5DDE3AA1" w:rsidR="00DA026A" w:rsidRPr="00DA026A" w:rsidRDefault="00DA026A" w:rsidP="00DA026A">
            <w:pPr>
              <w:rPr>
                <w:rFonts w:ascii="Times New Roman" w:hAnsi="Times New Roman" w:cs="Times New Roman"/>
                <w:sz w:val="24"/>
                <w:szCs w:val="24"/>
                <w:lang w:val="hr-HR"/>
              </w:rPr>
            </w:pPr>
            <w:r w:rsidRPr="00DA026A">
              <w:rPr>
                <w:rFonts w:ascii="Times New Roman" w:hAnsi="Times New Roman" w:cs="Times New Roman"/>
                <w:sz w:val="24"/>
                <w:szCs w:val="24"/>
                <w:lang w:val="hr-HR"/>
              </w:rPr>
              <w:t>1.2. Udio stanovništva u dobi od 16 do 74 godina koji je koristio generativne alate UI-ja, OI.02.7.49</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A4DF2D4"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B6984E3" w14:textId="77777777" w:rsidR="00DA026A" w:rsidRPr="00A609CA" w:rsidRDefault="00DA026A" w:rsidP="00DA026A">
            <w:pPr>
              <w:rPr>
                <w:rFonts w:ascii="Times New Roman" w:hAnsi="Times New Roman" w:cs="Times New Roman"/>
                <w:sz w:val="24"/>
                <w:szCs w:val="24"/>
                <w:lang w:val="hr-HR"/>
              </w:rPr>
            </w:pPr>
            <w:r>
              <w:rPr>
                <w:rFonts w:ascii="Times New Roman" w:hAnsi="Times New Roman" w:cs="Times New Roman"/>
                <w:sz w:val="24"/>
                <w:szCs w:val="24"/>
                <w:lang w:val="hr-HR"/>
              </w:rPr>
              <w:t>DZS, Eurostat</w:t>
            </w:r>
          </w:p>
        </w:tc>
        <w:tc>
          <w:tcPr>
            <w:tcW w:w="224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E174FF9"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27,52 % (2025.)</w:t>
            </w:r>
          </w:p>
          <w:p w14:paraId="0A1BB217" w14:textId="509655CD" w:rsidR="00DA026A" w:rsidRPr="009D0F6F" w:rsidRDefault="00DA026A" w:rsidP="00DA026A">
            <w:pPr>
              <w:spacing w:after="0"/>
              <w:jc w:val="center"/>
              <w:rPr>
                <w:rFonts w:ascii="Times New Roman" w:hAnsi="Times New Roman"/>
                <w:color w:val="000000"/>
                <w:sz w:val="24"/>
                <w:lang w:val="hr-HR"/>
              </w:rPr>
            </w:pPr>
          </w:p>
        </w:tc>
        <w:tc>
          <w:tcPr>
            <w:tcW w:w="178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38BC39E" w14:textId="32668C7D"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50 %</w:t>
            </w:r>
          </w:p>
        </w:tc>
      </w:tr>
      <w:tr w:rsidR="00DA026A" w:rsidRPr="00A609CA" w14:paraId="660FDA8F" w14:textId="77777777" w:rsidTr="009D0F6F">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9208FEF" w14:textId="00D4AE77" w:rsidR="00DA026A" w:rsidRPr="00DA026A" w:rsidRDefault="00DA026A" w:rsidP="00DA026A">
            <w:pPr>
              <w:rPr>
                <w:rFonts w:ascii="Times New Roman" w:hAnsi="Times New Roman" w:cs="Times New Roman"/>
                <w:sz w:val="24"/>
                <w:szCs w:val="24"/>
                <w:lang w:val="hr-HR"/>
              </w:rPr>
            </w:pPr>
            <w:r w:rsidRPr="00DA026A">
              <w:rPr>
                <w:rFonts w:ascii="Times New Roman" w:hAnsi="Times New Roman" w:cs="Times New Roman"/>
                <w:sz w:val="24"/>
                <w:szCs w:val="24"/>
                <w:lang w:val="hr-HR"/>
              </w:rPr>
              <w:t>1.3. Udio stanovništva u dobi od 16 do 74 godine koji je koristio generativne alate UI-ja u profesionalne svrhe (za posao), OI.02.7.47</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13EA1B6" w14:textId="77777777"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ACE8D72" w14:textId="608221F3" w:rsidR="00DA026A" w:rsidRPr="00A609CA" w:rsidRDefault="00DA026A" w:rsidP="00DA026A">
            <w:pPr>
              <w:rPr>
                <w:rFonts w:ascii="Times New Roman" w:hAnsi="Times New Roman" w:cs="Times New Roman"/>
                <w:sz w:val="24"/>
                <w:szCs w:val="24"/>
                <w:lang w:val="hr-HR"/>
              </w:rPr>
            </w:pPr>
            <w:r>
              <w:rPr>
                <w:rFonts w:ascii="Times New Roman" w:hAnsi="Times New Roman" w:cs="Times New Roman"/>
                <w:sz w:val="24"/>
                <w:szCs w:val="24"/>
                <w:lang w:val="hr-HR"/>
              </w:rPr>
              <w:t xml:space="preserve">DZS, Eurostat </w:t>
            </w:r>
          </w:p>
        </w:tc>
        <w:tc>
          <w:tcPr>
            <w:tcW w:w="224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1152F72" w14:textId="6599D6D0"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9,01 % (2025.)</w:t>
            </w:r>
          </w:p>
        </w:tc>
        <w:tc>
          <w:tcPr>
            <w:tcW w:w="178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54CA0ADE" w14:textId="43784EFE" w:rsidR="00DA026A" w:rsidRPr="00A609CA" w:rsidRDefault="00DA026A" w:rsidP="00DA026A">
            <w:pPr>
              <w:jc w:val="center"/>
              <w:rPr>
                <w:rFonts w:ascii="Times New Roman" w:hAnsi="Times New Roman" w:cs="Times New Roman"/>
                <w:sz w:val="24"/>
                <w:szCs w:val="24"/>
                <w:lang w:val="hr-HR"/>
              </w:rPr>
            </w:pPr>
            <w:r>
              <w:rPr>
                <w:rFonts w:ascii="Times New Roman" w:hAnsi="Times New Roman" w:cs="Times New Roman"/>
                <w:sz w:val="24"/>
                <w:szCs w:val="24"/>
                <w:lang w:val="hr-HR"/>
              </w:rPr>
              <w:t>25 %</w:t>
            </w:r>
          </w:p>
        </w:tc>
      </w:tr>
    </w:tbl>
    <w:p w14:paraId="62709BE6" w14:textId="77777777" w:rsidR="00BD4E80" w:rsidRPr="00A609CA" w:rsidRDefault="00BD4E80" w:rsidP="00BD4E80">
      <w:pPr>
        <w:spacing w:after="0"/>
        <w:rPr>
          <w:rFonts w:ascii="Times New Roman" w:hAnsi="Times New Roman" w:cs="Times New Roman"/>
          <w:sz w:val="24"/>
          <w:szCs w:val="24"/>
          <w:lang w:val="hr-HR"/>
        </w:rPr>
      </w:pPr>
    </w:p>
    <w:p w14:paraId="2E547FC0" w14:textId="77777777" w:rsidR="00B57DB8" w:rsidRPr="009D0F6F" w:rsidRDefault="00B57DB8" w:rsidP="00BD4E80">
      <w:pPr>
        <w:spacing w:after="0"/>
        <w:rPr>
          <w:lang w:val="hr-HR"/>
        </w:rPr>
        <w:sectPr w:rsidR="00B57DB8" w:rsidRPr="009D0F6F" w:rsidSect="00BD4E80">
          <w:pgSz w:w="15840" w:h="12240" w:orient="landscape"/>
          <w:pgMar w:top="792" w:right="792" w:bottom="720" w:left="792" w:header="360" w:footer="360" w:gutter="0"/>
          <w:cols w:space="720"/>
        </w:sectPr>
      </w:pPr>
    </w:p>
    <w:p w14:paraId="0DCB90FD" w14:textId="39732CBF" w:rsidR="00343841" w:rsidRPr="00A609CA" w:rsidRDefault="007B30D5" w:rsidP="000F678E">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45" w:name="_Toc236064839"/>
      <w:bookmarkStart w:id="46" w:name="_Toc242947268"/>
      <w:r>
        <w:rPr>
          <w:rFonts w:ascii="Times New Roman" w:eastAsia="Times New Roman" w:hAnsi="Times New Roman" w:cs="Times New Roman"/>
          <w:b/>
          <w:bCs/>
          <w:color w:val="auto"/>
          <w:lang w:val="hr-HR"/>
        </w:rPr>
        <w:lastRenderedPageBreak/>
        <w:t>3</w:t>
      </w:r>
      <w:r w:rsidR="00343841">
        <w:rPr>
          <w:rFonts w:ascii="Times New Roman" w:eastAsia="Times New Roman" w:hAnsi="Times New Roman" w:cs="Times New Roman"/>
          <w:b/>
          <w:bCs/>
          <w:color w:val="auto"/>
          <w:lang w:val="hr-HR"/>
        </w:rPr>
        <w:t>.4. Posebni cilj 2. Osigurati suverenu, sigurnu i otpornu računalnu infrastrukturu i podatke</w:t>
      </w:r>
      <w:bookmarkEnd w:id="45"/>
      <w:bookmarkEnd w:id="46"/>
    </w:p>
    <w:p w14:paraId="5585E272" w14:textId="0C93EFE3" w:rsidR="00343841" w:rsidRPr="009D0F6F" w:rsidRDefault="00843103" w:rsidP="000001DA">
      <w:pPr>
        <w:pStyle w:val="Tijeloteksta"/>
        <w:spacing w:before="301" w:line="276" w:lineRule="auto"/>
        <w:ind w:right="283"/>
        <w:jc w:val="both"/>
        <w:rPr>
          <w:color w:val="000000"/>
        </w:rPr>
      </w:pPr>
      <w:r>
        <w:rPr>
          <w:color w:val="000000"/>
        </w:rPr>
        <w:t>Ovim posebnim ciljem odgovara se na ograničenu dostupnost naprednih računalnih resursa, nedovoljnu interoperabilnost i kvalitetu podataka, nedostatne hrvatske jezične resurse te rastuće kibernetičke i geopolitičke rizike. Računalna i podatkovna infrastruktura za UI nije samo tehničko pitanje; ona određuje sposobnost države, znanstvene zajednice i gospodarstva da razvijaju, testiraju i primjenjuju napredna rješenja te da zadrže kontrolu nad podacima i pravilima uporabe u područjima od javnog i sigurnosnog interesa.</w:t>
      </w:r>
    </w:p>
    <w:p w14:paraId="0C4D1386" w14:textId="00A18BA6" w:rsidR="00343841" w:rsidRPr="009D0F6F" w:rsidRDefault="00843103" w:rsidP="000001DA">
      <w:pPr>
        <w:pStyle w:val="Tijeloteksta"/>
        <w:spacing w:before="301" w:line="276" w:lineRule="auto"/>
        <w:ind w:right="283"/>
        <w:jc w:val="both"/>
        <w:rPr>
          <w:color w:val="000000"/>
        </w:rPr>
      </w:pPr>
      <w:r>
        <w:rPr>
          <w:color w:val="000000"/>
        </w:rPr>
        <w:t>Suverenost se u ovom Nacionalnom planu ne tumači kao tehnološka izolacija ili potpuna samodostatnost. Ona podrazumijeva siguran i predvidiv pristup ključnim kapacitetima, mogućnost upravljanja osjetljivim podacima i modelima unutar hrvatskog i europskog pravnog okvira, interoperabilnost s europskim inicijativama te smanjenje neprihvatljive ovisnosti o pojedinačnim vanjskim dobavljačima. Nacionalna ulaganja zato će se razvijati povezano s EuroHPC</w:t>
      </w:r>
      <w:r w:rsidR="000D298C">
        <w:rPr>
          <w:color w:val="000000"/>
        </w:rPr>
        <w:t xml:space="preserve"> JU</w:t>
      </w:r>
      <w:r>
        <w:rPr>
          <w:color w:val="000000"/>
        </w:rPr>
        <w:t>-om, UI tvornicama, europskim podatkovnim prostorima i regionalnim konzorcijima.</w:t>
      </w:r>
    </w:p>
    <w:p w14:paraId="61DE3825" w14:textId="3A2D1814" w:rsidR="00562FD0" w:rsidRPr="009D0F6F" w:rsidRDefault="00843103" w:rsidP="000001DA">
      <w:pPr>
        <w:pStyle w:val="Tijeloteksta"/>
        <w:spacing w:before="301" w:line="276" w:lineRule="auto"/>
        <w:ind w:right="283"/>
        <w:jc w:val="both"/>
        <w:rPr>
          <w:color w:val="000000"/>
        </w:rPr>
      </w:pPr>
      <w:r>
        <w:rPr>
          <w:color w:val="000000"/>
        </w:rPr>
        <w:t>Do 2032. cilj je uspostaviti funkcionalan, siguran i energetski učinkovit infrastrukturni ekosustav koji povezuje računalne kapacitete, podatkovne centre, državni oblak, interoperabilnost, kibernetičku sigurnost i jezične tehnologije te osigurava jasno upravljanje i pristup relevantnim korisnicima. Pristup resursima mora biti transparentan i usmjeren na projekte s najvećom javnom, istraživačkom i gospodarskom vrijednošću, uz jasna pravila zaštite podataka, intelektualnog vlasništva i ponovne uporabe razvijenih rješenja.</w:t>
      </w:r>
    </w:p>
    <w:p w14:paraId="00966565" w14:textId="7736E7DF" w:rsidR="00E1235E" w:rsidRDefault="00CC2B92" w:rsidP="000001DA">
      <w:pPr>
        <w:pStyle w:val="Tijeloteksta"/>
        <w:spacing w:before="301" w:line="276" w:lineRule="auto"/>
        <w:ind w:right="283"/>
        <w:jc w:val="both"/>
      </w:pPr>
      <w:r w:rsidRPr="00CC2B92">
        <w:rPr>
          <w:color w:val="000000"/>
        </w:rPr>
        <w:t>Pouzdanost nacionalne UI infrastrukture ovisit će i o fizičkim i komunikacijskim sustavima na kojima se ona temelji. Ključni preduvjeti uključuju stabilnu i sigurnu opskrbu električnom energijom, visoku raspoloživost izvora napajanja te redundanciju prijenosnih i pričuvnih energetskih sustava. Potrebno je osigurati i svjetlovodnu povezanost vrlo velikih brzina, po mogućnosti preko više neovisnih komunikacijskih pravaca, kako bi se smanjio rizik prekida rada i gubitka pristupa podacima i računalnim kapacitetima. Objekti u kojima se smještaju računalna i podatkovna infrastruktura moraju imati odgovarajuću razinu fizičke zaštite, uključujući kontrolu pristupa, zaštitu od požara, poplava, sabotaže i drugih prijetnji te, prema procjeni rizika, zaštitu od neovlaštene uporabe besposadnih letjelica. Planiranje, razvoj i zaštita nacionalne UI infrastrukture provodit će se u skladu s primjenjivim zahtjevima Direktive NIS 2 i Zakona o kibernetičkoj sigurnosti (NN 14/24) te Direktive (EU) 2022/2557 i propisa kojima se uređuje kritična infrastruktura.</w:t>
      </w:r>
    </w:p>
    <w:p w14:paraId="5860C5D6" w14:textId="77777777" w:rsidR="000001DA" w:rsidRPr="00A609CA" w:rsidRDefault="000001DA" w:rsidP="000001DA">
      <w:pPr>
        <w:pStyle w:val="Tijeloteksta"/>
        <w:spacing w:before="301" w:line="276" w:lineRule="auto"/>
        <w:ind w:right="283"/>
        <w:jc w:val="both"/>
      </w:pPr>
    </w:p>
    <w:tbl>
      <w:tblPr>
        <w:tblW w:w="0" w:type="auto"/>
        <w:jc w:val="center"/>
        <w:tblBorders>
          <w:top w:val="single" w:sz="6" w:space="0" w:color="8FAFC2"/>
          <w:left w:val="single" w:sz="6" w:space="0" w:color="8FAFC2"/>
          <w:bottom w:val="single" w:sz="6" w:space="0" w:color="8FAFC2"/>
          <w:right w:val="single" w:sz="6" w:space="0" w:color="8FAFC2"/>
          <w:insideH w:val="single" w:sz="6" w:space="0" w:color="8FAFC2"/>
          <w:insideV w:val="single" w:sz="6" w:space="0" w:color="8FAFC2"/>
        </w:tblBorders>
        <w:tblLayout w:type="fixed"/>
        <w:tblLook w:val="04A0" w:firstRow="1" w:lastRow="0" w:firstColumn="1" w:lastColumn="0" w:noHBand="0" w:noVBand="1"/>
      </w:tblPr>
      <w:tblGrid>
        <w:gridCol w:w="9432"/>
      </w:tblGrid>
      <w:tr w:rsidR="00343841" w:rsidRPr="00E070B0" w14:paraId="4A9C68AE" w14:textId="77777777" w:rsidTr="00343841">
        <w:trPr>
          <w:jc w:val="center"/>
        </w:trPr>
        <w:tc>
          <w:tcPr>
            <w:tcW w:w="9432" w:type="dxa"/>
            <w:tcBorders>
              <w:top w:val="single" w:sz="6" w:space="0" w:color="8FAFC2"/>
              <w:left w:val="single" w:sz="6" w:space="0" w:color="8FAFC2"/>
              <w:bottom w:val="single" w:sz="6" w:space="0" w:color="8FAFC2"/>
              <w:right w:val="single" w:sz="6" w:space="0" w:color="8FAFC2"/>
            </w:tcBorders>
            <w:shd w:val="clear" w:color="auto" w:fill="EAF2F7"/>
            <w:tcMar>
              <w:top w:w="150" w:type="dxa"/>
              <w:left w:w="160" w:type="dxa"/>
              <w:bottom w:w="150" w:type="dxa"/>
              <w:right w:w="160" w:type="dxa"/>
            </w:tcMar>
            <w:hideMark/>
          </w:tcPr>
          <w:p w14:paraId="0E5378EF" w14:textId="27677A9A" w:rsidR="00343841" w:rsidRPr="00A609CA" w:rsidRDefault="00343841">
            <w:pPr>
              <w:spacing w:after="80"/>
              <w:rPr>
                <w:rFonts w:ascii="Times New Roman" w:hAnsi="Times New Roman" w:cs="Times New Roman"/>
                <w:sz w:val="24"/>
                <w:szCs w:val="24"/>
                <w:lang w:val="hr-HR"/>
              </w:rPr>
            </w:pPr>
            <w:r>
              <w:rPr>
                <w:rFonts w:ascii="Times New Roman" w:hAnsi="Times New Roman" w:cs="Times New Roman"/>
                <w:b/>
                <w:color w:val="1E4A62"/>
                <w:sz w:val="24"/>
                <w:szCs w:val="24"/>
                <w:lang w:val="hr-HR"/>
              </w:rPr>
              <w:t>OČEKIVANE PROMJENE DO 2032. GODINE</w:t>
            </w:r>
          </w:p>
          <w:p w14:paraId="0FAE27A8" w14:textId="704E80A4" w:rsidR="000F678E" w:rsidRPr="00A609CA" w:rsidRDefault="00160730" w:rsidP="000E5A89">
            <w:pPr>
              <w:pStyle w:val="Grafikeoznake"/>
              <w:spacing w:after="40"/>
              <w:rPr>
                <w:rFonts w:ascii="Times New Roman" w:hAnsi="Times New Roman" w:cs="Times New Roman"/>
                <w:sz w:val="24"/>
                <w:szCs w:val="24"/>
                <w:lang w:val="hr-HR"/>
              </w:rPr>
            </w:pPr>
            <w:r>
              <w:rPr>
                <w:rFonts w:ascii="Times New Roman" w:hAnsi="Times New Roman" w:cs="Times New Roman"/>
                <w:sz w:val="24"/>
                <w:szCs w:val="24"/>
                <w:lang w:val="hr-HR"/>
              </w:rPr>
              <w:t>Veća dostupnost računalnih resursa za razvoj, testiranje i primjenu UI modela.</w:t>
            </w:r>
          </w:p>
          <w:p w14:paraId="69C8EC11" w14:textId="62CDD6D1" w:rsidR="003E3A57" w:rsidRPr="009D0F6F" w:rsidRDefault="00160730" w:rsidP="003E3A57">
            <w:pPr>
              <w:pStyle w:val="Grafikeoznake"/>
              <w:spacing w:after="40"/>
              <w:rPr>
                <w:rFonts w:ascii="Times New Roman" w:hAnsi="Times New Roman"/>
                <w:color w:val="000000"/>
                <w:sz w:val="24"/>
                <w:lang w:val="hr-HR"/>
              </w:rPr>
            </w:pPr>
            <w:r>
              <w:rPr>
                <w:rFonts w:ascii="Times New Roman" w:hAnsi="Times New Roman" w:cs="Times New Roman"/>
                <w:sz w:val="24"/>
                <w:szCs w:val="24"/>
                <w:lang w:val="hr-HR"/>
              </w:rPr>
              <w:t>S</w:t>
            </w:r>
            <w:r>
              <w:rPr>
                <w:rFonts w:ascii="Times New Roman" w:hAnsi="Times New Roman"/>
                <w:color w:val="000000"/>
                <w:sz w:val="24"/>
                <w:lang w:val="hr-HR"/>
              </w:rPr>
              <w:t>igurna i otporna nacionalna infrastruktura povezana s europskim kapacitetima.</w:t>
            </w:r>
          </w:p>
          <w:p w14:paraId="5D61105C" w14:textId="3487CD99" w:rsidR="00343841" w:rsidRPr="009D0F6F" w:rsidRDefault="00843103">
            <w:pPr>
              <w:pStyle w:val="Grafikeoznake"/>
              <w:spacing w:after="40"/>
              <w:rPr>
                <w:rFonts w:ascii="Times New Roman" w:hAnsi="Times New Roman"/>
                <w:color w:val="000000"/>
                <w:sz w:val="24"/>
                <w:lang w:val="hr-HR"/>
              </w:rPr>
            </w:pPr>
            <w:r>
              <w:rPr>
                <w:rFonts w:ascii="Times New Roman" w:hAnsi="Times New Roman"/>
                <w:color w:val="000000"/>
                <w:sz w:val="24"/>
                <w:lang w:val="hr-HR"/>
              </w:rPr>
              <w:t xml:space="preserve">Kvalitetni, interoperabilni i zakonito dostupni </w:t>
            </w:r>
            <w:r>
              <w:rPr>
                <w:rFonts w:ascii="Times New Roman" w:hAnsi="Times New Roman" w:cs="Times New Roman"/>
                <w:color w:val="000000"/>
                <w:sz w:val="24"/>
                <w:szCs w:val="24"/>
                <w:lang w:val="hr-HR"/>
              </w:rPr>
              <w:t>podaci</w:t>
            </w:r>
            <w:r>
              <w:rPr>
                <w:rFonts w:ascii="Times New Roman" w:hAnsi="Times New Roman"/>
                <w:color w:val="000000"/>
                <w:sz w:val="24"/>
                <w:lang w:val="hr-HR"/>
              </w:rPr>
              <w:t xml:space="preserve"> za potrebe UI-ja.</w:t>
            </w:r>
          </w:p>
          <w:p w14:paraId="6FBD94C0" w14:textId="661A2844" w:rsidR="00343841" w:rsidRPr="009D0F6F" w:rsidRDefault="00843103">
            <w:pPr>
              <w:pStyle w:val="Grafikeoznake"/>
              <w:spacing w:after="40"/>
              <w:rPr>
                <w:rFonts w:ascii="Times New Roman" w:hAnsi="Times New Roman"/>
                <w:color w:val="000000"/>
                <w:sz w:val="24"/>
                <w:lang w:val="hr-HR"/>
              </w:rPr>
            </w:pPr>
            <w:r>
              <w:rPr>
                <w:rFonts w:ascii="Times New Roman" w:hAnsi="Times New Roman"/>
                <w:color w:val="000000"/>
                <w:sz w:val="24"/>
                <w:lang w:val="hr-HR"/>
              </w:rPr>
              <w:t xml:space="preserve">Razvijeni hrvatski jezični resursi i veliki jezični model prilagođen nacionalnom kontekstu. </w:t>
            </w:r>
          </w:p>
          <w:p w14:paraId="0C6315DA" w14:textId="1C858438" w:rsidR="00343841" w:rsidRPr="009D0F6F" w:rsidRDefault="00843103">
            <w:pPr>
              <w:pStyle w:val="Grafikeoznake"/>
              <w:spacing w:after="40"/>
              <w:rPr>
                <w:rFonts w:ascii="Times New Roman" w:hAnsi="Times New Roman"/>
                <w:color w:val="000000"/>
                <w:sz w:val="24"/>
                <w:lang w:val="hr-HR"/>
              </w:rPr>
            </w:pPr>
            <w:r>
              <w:rPr>
                <w:rFonts w:ascii="Times New Roman" w:hAnsi="Times New Roman"/>
                <w:color w:val="000000"/>
                <w:sz w:val="24"/>
                <w:lang w:val="hr-HR"/>
              </w:rPr>
              <w:t>Transparentan sustav upravljanja i prioritetnog pristupa nacionalnoj UI infrastrukturi.</w:t>
            </w:r>
          </w:p>
          <w:p w14:paraId="57008934" w14:textId="517C9097" w:rsidR="003E3A57" w:rsidRPr="00A609CA" w:rsidRDefault="00843103">
            <w:pPr>
              <w:pStyle w:val="Grafikeoznake"/>
              <w:spacing w:after="40"/>
              <w:rPr>
                <w:rFonts w:ascii="Times New Roman" w:hAnsi="Times New Roman" w:cs="Times New Roman"/>
                <w:sz w:val="24"/>
                <w:szCs w:val="24"/>
                <w:lang w:val="hr-HR"/>
              </w:rPr>
            </w:pPr>
            <w:r>
              <w:rPr>
                <w:rFonts w:ascii="Times New Roman" w:hAnsi="Times New Roman"/>
                <w:color w:val="000000"/>
                <w:sz w:val="24"/>
                <w:lang w:val="hr-HR"/>
              </w:rPr>
              <w:t>Osigurani temeljni energetski, komunikacijski i fizičko-sigurnosni preduvjeti za visoku raspoloživost i kontinuitet rada nacionalne UI infrastrukture.</w:t>
            </w:r>
          </w:p>
        </w:tc>
      </w:tr>
    </w:tbl>
    <w:p w14:paraId="6D68BE6A" w14:textId="77777777" w:rsidR="00343841" w:rsidRPr="00A609CA" w:rsidRDefault="00343841" w:rsidP="00343841">
      <w:pPr>
        <w:spacing w:after="0"/>
        <w:rPr>
          <w:rFonts w:ascii="Calibri" w:hAnsi="Calibri"/>
          <w:sz w:val="21"/>
          <w:lang w:val="hr-HR"/>
        </w:rPr>
      </w:pPr>
    </w:p>
    <w:p w14:paraId="665DD53A" w14:textId="6491C3B6" w:rsidR="00343841" w:rsidRPr="00A609CA" w:rsidRDefault="00343841" w:rsidP="00343841">
      <w:pPr>
        <w:pStyle w:val="Tijeloteksta"/>
        <w:spacing w:before="301" w:line="276" w:lineRule="auto"/>
        <w:ind w:right="283"/>
        <w:jc w:val="both"/>
        <w:rPr>
          <w:b/>
          <w:bCs/>
        </w:rPr>
      </w:pPr>
      <w:r>
        <w:rPr>
          <w:b/>
          <w:bCs/>
        </w:rPr>
        <w:lastRenderedPageBreak/>
        <w:t>Prioriteti Posebnog cilja 2:</w:t>
      </w:r>
    </w:p>
    <w:p w14:paraId="38A7F612" w14:textId="096DDF77" w:rsidR="00343841" w:rsidRPr="00A609CA" w:rsidRDefault="00343841" w:rsidP="000001DA">
      <w:pPr>
        <w:pStyle w:val="Tijeloteksta"/>
        <w:spacing w:before="301" w:line="276" w:lineRule="auto"/>
        <w:ind w:right="283"/>
        <w:jc w:val="both"/>
      </w:pPr>
      <w:r>
        <w:rPr>
          <w:b/>
          <w:bCs/>
        </w:rPr>
        <w:t>Prioritet 2.1. Nacionalna računalna infrastruktura i UI tvornica u Republici Hrvatskoj</w:t>
      </w:r>
      <w:r>
        <w:t xml:space="preserve"> – Republika Hrvatska će razvijati nacionalne HPC i GPU kapacitete te uspostaviti UI tvornicu kao središnju istraživačku i inovacijsku infrastrukturu za razvoj, treniranje, testiranje i validaciju UI modela. Infrastruktura će povezivati računalne resurse, standardizirana razvojna okruženja i stručne usluge kako bi se istraživačima, javnom sektoru i poduzećima skratio put od ideje i prototipa do sigurne produkcijske primjene. </w:t>
      </w:r>
      <w:r w:rsidR="00364FF2" w:rsidRPr="00364FF2">
        <w:t>Nacionalni kapaciteti razvijat će se u koordinaciji s europskom mrežom UI tvornica, EuroHPC</w:t>
      </w:r>
      <w:r w:rsidR="000D298C">
        <w:t xml:space="preserve"> JU</w:t>
      </w:r>
      <w:r w:rsidR="00364FF2" w:rsidRPr="00364FF2">
        <w:t>-om i regionalnim inicijativama, uz mogućnost sudjelovanja Republike Hrvatske u budućim europskim pozivima i inicijativama za daljnje povećanje dostupnih UI i HPC kapaciteta</w:t>
      </w:r>
      <w:r w:rsidR="00364FF2">
        <w:t>.</w:t>
      </w:r>
      <w:r>
        <w:t>.</w:t>
      </w:r>
    </w:p>
    <w:p w14:paraId="4552198C" w14:textId="18E85A4B" w:rsidR="00343841" w:rsidRPr="00A609CA" w:rsidRDefault="00343841" w:rsidP="000001DA">
      <w:pPr>
        <w:pStyle w:val="Tijeloteksta"/>
        <w:spacing w:before="301" w:line="276" w:lineRule="auto"/>
        <w:ind w:right="283"/>
        <w:jc w:val="both"/>
      </w:pPr>
      <w:r>
        <w:rPr>
          <w:b/>
          <w:bCs/>
        </w:rPr>
        <w:t>Prioritet 2.2. Mreža suverenih podatkovnih centara</w:t>
      </w:r>
      <w:r>
        <w:t xml:space="preserve"> –</w:t>
      </w:r>
      <w:r>
        <w:rPr>
          <w:color w:val="000000"/>
        </w:rPr>
        <w:t xml:space="preserve"> </w:t>
      </w:r>
      <w:r w:rsidR="009166CA">
        <w:rPr>
          <w:color w:val="000000"/>
        </w:rPr>
        <w:t>P</w:t>
      </w:r>
      <w:r w:rsidR="009166CA" w:rsidRPr="009166CA">
        <w:rPr>
          <w:color w:val="000000"/>
        </w:rPr>
        <w:t>ostojeći i novi podatkovni centri postupno će se povezivati u sigurnu, otpornu i energetski učinkovitu mrežu sposobnu za smještaj UI radnih opterećenja i podataka od posebnog javnog interesa. Razvoj mreže uključivat će pouzdanu i redundantnu opskrbu električnom energijom, višestruku svjetlovodnu povezanost vrlo velikih brzina, pričuvne sustave i planove kontinuiteta poslovanja te visoku razinu fizičke i kibernetičke zaštite, u skladu s primjenjivim zahtjevima Direktive NIS 2, Zakona o kibernetičkoj sigurnosti, Direktive (EU) 2022/2557 i propisa kojima se uređuje kritična infrastruktura. Fizička zaštita objekata prilagođavat će se procijenjenim rizicima, uključujući požare, poplave, sabotažu, neovlašteni pristup i nove vrste prijetnji, poput zlouporabe besposadnih letjelica. Pri nabavi, razvoju i uporabi proizvoda s digitalnim elementima primjenjivat će se, gdje je primjenjivo, zahtjevi Akta o kibernetičkoj otpornosti. Posebna će se pozornost posvetiti racionalnom korištenju kapaciteta, interoperabilnosti i mogućnosti zajedničkog korištenja infrastrukture kako bi se izbjegla rascjepkana ulaganja i višestruko financiranje usporedivih rješenja.</w:t>
      </w:r>
    </w:p>
    <w:p w14:paraId="2DF3BCC5" w14:textId="0297A765" w:rsidR="00343841" w:rsidRPr="009D0F6F" w:rsidRDefault="00343841" w:rsidP="000001DA">
      <w:pPr>
        <w:pStyle w:val="Tijeloteksta"/>
        <w:spacing w:before="301" w:line="276" w:lineRule="auto"/>
        <w:ind w:right="283"/>
        <w:jc w:val="both"/>
        <w:rPr>
          <w:color w:val="000000"/>
        </w:rPr>
      </w:pPr>
      <w:r>
        <w:rPr>
          <w:b/>
          <w:bCs/>
        </w:rPr>
        <w:t>Prioritet 2.3. Suvereni podaci i interoperabilnost</w:t>
      </w:r>
      <w:r>
        <w:t xml:space="preserve"> –</w:t>
      </w:r>
      <w:r>
        <w:rPr>
          <w:color w:val="000000"/>
        </w:rPr>
        <w:t xml:space="preserve"> </w:t>
      </w:r>
      <w:r w:rsidR="00CA4748" w:rsidRPr="00CA4748">
        <w:t>Razvoj UI-ja temeljit će se na jasnim pravilima upravljanja podacima, utvrđenim odgovornostima vlasnika i korisnika podataka, standardima kvalitete te sigurnim i zakonitim načinima razmjene i ponovne uporabe. Postojeća ulaganja u CDU, podatkovno jezero (</w:t>
      </w:r>
      <w:r w:rsidR="00CA4748" w:rsidRPr="000001DA">
        <w:rPr>
          <w:i/>
          <w:iCs/>
        </w:rPr>
        <w:t>Data lake</w:t>
      </w:r>
      <w:r w:rsidR="00CA4748" w:rsidRPr="00CA4748">
        <w:t>) i SSI nadogradit će se za potrebe razvoja i primjene UI-ja. Referentna arhitektura nacionalne UI platforme definirat će zajedničke slojeve za podatke, modele, sučelja i sigurnosni nadzor, uz interoperabilnost s europskim podatkovnim prostorima i primjenu relevantnog okvira utvrđenog Aktom o upravljanju podacima, Aktom o podacima i Aktom o interoperabilnoj Europi te uz smanjenje rizika tehnološkog zaključavanja kod pojedinačnih dobavljača.</w:t>
      </w:r>
      <w:r w:rsidR="00E02FFF">
        <w:t xml:space="preserve"> </w:t>
      </w:r>
      <w:r>
        <w:rPr>
          <w:color w:val="000000"/>
        </w:rPr>
        <w:t>.</w:t>
      </w:r>
    </w:p>
    <w:p w14:paraId="0975B81E" w14:textId="0DC3F82B" w:rsidR="00343841" w:rsidRPr="00A609CA" w:rsidRDefault="00343841" w:rsidP="000001DA">
      <w:pPr>
        <w:pStyle w:val="Tijeloteksta"/>
        <w:spacing w:before="301" w:line="276" w:lineRule="auto"/>
        <w:ind w:right="283"/>
        <w:jc w:val="both"/>
      </w:pPr>
      <w:r>
        <w:rPr>
          <w:b/>
          <w:bCs/>
        </w:rPr>
        <w:t>Prioritet 2.4. Veliki jezični model za hrvatski jezik</w:t>
      </w:r>
      <w:r>
        <w:t xml:space="preserve"> – Razvoj pouzdanog i regulatorno usklađenog velikog jezičnog modela za hrvatski jezik strateški je važan za jezičnu i digitalnu suverenost te dostupnost kvalitetnih UI rješenja u javnoj upravi, pravosuđu, obrazovanju, zdravstvu, kulturi i gospodarstvu te u vanjskim poslovima. Model će se razvijati na sigurnoj infrastrukturi, uz sustavno prikupljanje, pripremu i upravljanje jezičnim podacima, dokumentiranu kvalitetu i zaštitu prava. Predvidjet će se mogućnost ponovne uporabe modela i povezanih resursa za istraživačke i razvojne svrhe, uz pravila koja štite javni interes, sigurnost i intelektualno vlasništvo.</w:t>
      </w:r>
    </w:p>
    <w:p w14:paraId="51F3C278" w14:textId="32143D8C" w:rsidR="00BD4E80" w:rsidRPr="00A609CA" w:rsidRDefault="00343841" w:rsidP="00E57CAB">
      <w:pPr>
        <w:pStyle w:val="Tijeloteksta"/>
        <w:spacing w:before="301" w:line="276" w:lineRule="auto"/>
        <w:ind w:right="283"/>
        <w:jc w:val="both"/>
      </w:pPr>
      <w:r>
        <w:rPr>
          <w:b/>
          <w:bCs/>
        </w:rPr>
        <w:t>Prioritet 2.5. Upravljanje, prioritetna uporaba i suvereni pristup UI infrastrukturi</w:t>
      </w:r>
      <w:r>
        <w:t xml:space="preserve"> – </w:t>
      </w:r>
      <w:r>
        <w:rPr>
          <w:color w:val="000000"/>
        </w:rPr>
        <w:t xml:space="preserve">Uspostavit će se jasan model upravljanja nacionalnim računalnim i podatkovnim resursima, s definiranim ulogama institucija, kriterijima pristupa, pravilima raspodjele kapaciteta i mehanizmima praćenja korištenja. Prioritet će imati projekti od javnog i sigurnosnog interesa, istraživanja s visokom razvojnom vrijednošću te rješenja koja mogu </w:t>
      </w:r>
      <w:r>
        <w:rPr>
          <w:color w:val="000000"/>
        </w:rPr>
        <w:lastRenderedPageBreak/>
        <w:t>unaprijediti javne usluge i konkurentnost gospodarstva. Pravila će obuhvatiti zaštitu podataka, intelektualno vlasništvo, ponovnu uporabu modela, transparentnost troškova i rezultata te sigurne modele suradnje javnog, znanstvenog i privatnog sektora.</w:t>
      </w:r>
    </w:p>
    <w:p w14:paraId="434F2B34" w14:textId="5A128E08" w:rsidR="00440C81" w:rsidRPr="00A609CA" w:rsidRDefault="00440C81" w:rsidP="00562FD0">
      <w:pPr>
        <w:pStyle w:val="Tijeloteksta"/>
        <w:spacing w:before="301" w:line="276" w:lineRule="auto"/>
        <w:ind w:right="283"/>
        <w:jc w:val="both"/>
        <w:rPr>
          <w:b/>
          <w:bCs/>
        </w:rPr>
      </w:pPr>
      <w:r>
        <w:rPr>
          <w:b/>
          <w:bCs/>
        </w:rPr>
        <w:t>Prvo razdoblje provedbe 2026. – 2028.</w:t>
      </w:r>
    </w:p>
    <w:p w14:paraId="54FD9DB6" w14:textId="536992E5" w:rsidR="00D35F3C" w:rsidRPr="009D0F6F" w:rsidRDefault="00843103" w:rsidP="00E57CAB">
      <w:pPr>
        <w:pStyle w:val="Tijeloteksta"/>
        <w:spacing w:before="301" w:line="276" w:lineRule="auto"/>
        <w:ind w:right="283"/>
        <w:jc w:val="both"/>
        <w:rPr>
          <w:color w:val="000000"/>
        </w:rPr>
      </w:pPr>
      <w:r>
        <w:rPr>
          <w:color w:val="000000"/>
        </w:rPr>
        <w:t>Mjere u prvom provedbenom razdoblju usmjerene su na jačanje kibernetičke sigurnosti nacionalne UI infrastrukture, uspostavu zajedničkih pravila upravljanja, interoperabilnosti i pripreme podataka u javnom sektoru te nadogradnju CDU-a u platformu za razvoj i primjenu UI rješenja u javnoj upravi.</w:t>
      </w:r>
      <w:r w:rsidR="00CE4979">
        <w:rPr>
          <w:color w:val="000000"/>
        </w:rPr>
        <w:t xml:space="preserve"> </w:t>
      </w:r>
      <w:r w:rsidR="00CE4979" w:rsidRPr="00CE4979">
        <w:rPr>
          <w:color w:val="000000"/>
        </w:rPr>
        <w:t>Mjere kibernetičke sigurnosti i otpornosti UI infrastrukture provodit će se usklađeno s Nacionalnim planom kibernetičke sigurnosti od 2027. do 2031. godine i pripadajućim akcijskim planom, uz jasno razgraničenje mjera, nositelja i izvora financiranja.</w:t>
      </w:r>
    </w:p>
    <w:p w14:paraId="1C170F6C" w14:textId="2E3B4F9A" w:rsidR="00D57AF3" w:rsidRPr="009D0F6F" w:rsidRDefault="00843103" w:rsidP="00E57CAB">
      <w:pPr>
        <w:pStyle w:val="Tijeloteksta"/>
        <w:spacing w:before="301" w:line="276" w:lineRule="auto"/>
        <w:ind w:right="283"/>
        <w:jc w:val="both"/>
        <w:rPr>
          <w:color w:val="000000"/>
        </w:rPr>
        <w:sectPr w:rsidR="00D57AF3" w:rsidRPr="009D0F6F" w:rsidSect="00B57DB8">
          <w:pgSz w:w="12240" w:h="15840"/>
          <w:pgMar w:top="792" w:right="720" w:bottom="792" w:left="792" w:header="360" w:footer="360" w:gutter="0"/>
          <w:cols w:space="720"/>
          <w:docGrid w:linePitch="272"/>
        </w:sectPr>
      </w:pPr>
      <w:r>
        <w:rPr>
          <w:color w:val="000000"/>
        </w:rPr>
        <w:t>Istodobno će se pokrenuti razvoj nacionalnih računalnih kapaciteta kroz uspostavu hrvatske UI tvornice i uključivanje u europske i regionalne infrastrukturne inicijative, kao i prva faza razvoja velikog jezičnog modela za hrvatski jezik. Time se u prvom provedbenom razdoblju postavljaju zajednički tehnički, podatkovni, sigurnosni i jezični temelji za pouzdanu i skalabilnu primjenu UI-ja u javnom sektoru, znanosti i gospodarstvu. Daljnje širenje računalnih kapaciteta, razvoj mreže podatkovnih centara te unaprjeđenje modela pristupa i upravljanja infrastrukturom razradit će se u drugom akcijskom planu.</w:t>
      </w:r>
    </w:p>
    <w:p w14:paraId="4B085783" w14:textId="2F66CE20" w:rsidR="00854413" w:rsidRPr="00A609CA" w:rsidRDefault="00E1235E" w:rsidP="00E57CAB">
      <w:pPr>
        <w:pStyle w:val="Tijeloteksta"/>
        <w:spacing w:before="301" w:line="276" w:lineRule="auto"/>
        <w:ind w:right="283"/>
        <w:jc w:val="both"/>
      </w:pPr>
      <w:r>
        <w:lastRenderedPageBreak/>
        <w:t>P</w:t>
      </w:r>
      <w:r w:rsidR="00D57AF3">
        <w:t>okazatelj</w:t>
      </w:r>
      <w:r>
        <w:t>i</w:t>
      </w:r>
      <w:r w:rsidR="00D57AF3">
        <w:t xml:space="preserve"> ishoda Posebnog cilja 2</w:t>
      </w:r>
      <w:r w:rsidR="00E57CAB">
        <w:t>:</w:t>
      </w:r>
    </w:p>
    <w:tbl>
      <w:tblPr>
        <w:tblW w:w="14255" w:type="dxa"/>
        <w:jc w:val="center"/>
        <w:tblBorders>
          <w:top w:val="single" w:sz="4" w:space="0" w:color="AABEC9"/>
          <w:left w:val="single" w:sz="4" w:space="0" w:color="AABEC9"/>
          <w:bottom w:val="single" w:sz="4" w:space="0" w:color="AABEC9"/>
          <w:right w:val="single" w:sz="4" w:space="0" w:color="AABEC9"/>
          <w:insideH w:val="single" w:sz="4" w:space="0" w:color="AABEC9"/>
          <w:insideV w:val="single" w:sz="4" w:space="0" w:color="AABEC9"/>
        </w:tblBorders>
        <w:tblLayout w:type="fixed"/>
        <w:tblLook w:val="04A0" w:firstRow="1" w:lastRow="0" w:firstColumn="1" w:lastColumn="0" w:noHBand="0" w:noVBand="1"/>
      </w:tblPr>
      <w:tblGrid>
        <w:gridCol w:w="5903"/>
        <w:gridCol w:w="1224"/>
        <w:gridCol w:w="3096"/>
        <w:gridCol w:w="2088"/>
        <w:gridCol w:w="1944"/>
      </w:tblGrid>
      <w:tr w:rsidR="00854413" w:rsidRPr="00A609CA" w14:paraId="677E294D" w14:textId="77777777" w:rsidTr="00854413">
        <w:trPr>
          <w:tblHeader/>
          <w:jc w:val="center"/>
        </w:trPr>
        <w:tc>
          <w:tcPr>
            <w:tcW w:w="5903"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74866F77" w14:textId="67A9B964" w:rsidR="00854413" w:rsidRPr="00A609CA" w:rsidRDefault="00854413">
            <w:pPr>
              <w:jc w:val="center"/>
              <w:rPr>
                <w:rFonts w:ascii="Times New Roman" w:hAnsi="Times New Roman" w:cs="Times New Roman"/>
                <w:sz w:val="24"/>
                <w:szCs w:val="24"/>
                <w:lang w:val="hr-HR"/>
              </w:rPr>
            </w:pPr>
            <w:r>
              <w:rPr>
                <w:rFonts w:ascii="Times New Roman" w:hAnsi="Times New Roman" w:cs="Times New Roman"/>
                <w:b/>
                <w:sz w:val="24"/>
                <w:szCs w:val="24"/>
                <w:lang w:val="hr-HR"/>
              </w:rPr>
              <w:t>Pokazatelj ishoda</w:t>
            </w:r>
            <w:r w:rsidR="003A1D8D">
              <w:rPr>
                <w:rFonts w:ascii="Times New Roman" w:hAnsi="Times New Roman" w:cs="Times New Roman"/>
                <w:b/>
                <w:sz w:val="24"/>
                <w:szCs w:val="24"/>
                <w:lang w:val="hr-HR"/>
              </w:rPr>
              <w:t xml:space="preserve">, </w:t>
            </w:r>
            <w:r w:rsidR="003A1D8D" w:rsidRPr="003A1D8D">
              <w:rPr>
                <w:rFonts w:ascii="Times New Roman" w:hAnsi="Times New Roman" w:cs="Times New Roman"/>
                <w:b/>
                <w:sz w:val="24"/>
                <w:szCs w:val="24"/>
                <w:lang w:val="hr-HR"/>
              </w:rPr>
              <w:t>kod u Biblioteci pokazatelja</w:t>
            </w:r>
          </w:p>
        </w:tc>
        <w:tc>
          <w:tcPr>
            <w:tcW w:w="122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646F2F40" w14:textId="77777777" w:rsidR="00854413" w:rsidRPr="00A609CA" w:rsidRDefault="00854413">
            <w:pPr>
              <w:jc w:val="center"/>
              <w:rPr>
                <w:rFonts w:ascii="Times New Roman" w:hAnsi="Times New Roman" w:cs="Times New Roman"/>
                <w:sz w:val="24"/>
                <w:szCs w:val="24"/>
                <w:lang w:val="hr-HR"/>
              </w:rPr>
            </w:pPr>
            <w:r>
              <w:rPr>
                <w:rFonts w:ascii="Times New Roman" w:hAnsi="Times New Roman" w:cs="Times New Roman"/>
                <w:b/>
                <w:sz w:val="24"/>
                <w:szCs w:val="24"/>
                <w:lang w:val="hr-HR"/>
              </w:rPr>
              <w:t>Jedinica mjere</w:t>
            </w:r>
          </w:p>
        </w:tc>
        <w:tc>
          <w:tcPr>
            <w:tcW w:w="309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18749061" w14:textId="77777777" w:rsidR="00854413" w:rsidRPr="00A609CA" w:rsidRDefault="00854413">
            <w:pPr>
              <w:jc w:val="center"/>
              <w:rPr>
                <w:rFonts w:ascii="Times New Roman" w:hAnsi="Times New Roman" w:cs="Times New Roman"/>
                <w:sz w:val="24"/>
                <w:szCs w:val="24"/>
                <w:lang w:val="hr-HR"/>
              </w:rPr>
            </w:pPr>
            <w:r>
              <w:rPr>
                <w:rFonts w:ascii="Times New Roman" w:hAnsi="Times New Roman" w:cs="Times New Roman"/>
                <w:b/>
                <w:sz w:val="24"/>
                <w:szCs w:val="24"/>
                <w:lang w:val="hr-HR"/>
              </w:rPr>
              <w:t>Izvor podataka</w:t>
            </w:r>
          </w:p>
        </w:tc>
        <w:tc>
          <w:tcPr>
            <w:tcW w:w="2088"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4AD3A2D1" w14:textId="77777777" w:rsidR="00854413" w:rsidRPr="00A609CA" w:rsidRDefault="00854413">
            <w:pPr>
              <w:jc w:val="center"/>
              <w:rPr>
                <w:rFonts w:ascii="Times New Roman" w:hAnsi="Times New Roman" w:cs="Times New Roman"/>
                <w:sz w:val="24"/>
                <w:szCs w:val="24"/>
                <w:lang w:val="hr-HR"/>
              </w:rPr>
            </w:pPr>
            <w:r>
              <w:rPr>
                <w:rFonts w:ascii="Times New Roman" w:hAnsi="Times New Roman" w:cs="Times New Roman"/>
                <w:b/>
                <w:sz w:val="24"/>
                <w:szCs w:val="24"/>
                <w:lang w:val="hr-HR"/>
              </w:rPr>
              <w:t>Polazna vrijednost (godina)</w:t>
            </w:r>
          </w:p>
        </w:tc>
        <w:tc>
          <w:tcPr>
            <w:tcW w:w="194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341A1401" w14:textId="77777777" w:rsidR="00854413" w:rsidRPr="00A609CA" w:rsidRDefault="00854413">
            <w:pPr>
              <w:jc w:val="center"/>
              <w:rPr>
                <w:rFonts w:ascii="Times New Roman" w:hAnsi="Times New Roman" w:cs="Times New Roman"/>
                <w:sz w:val="24"/>
                <w:szCs w:val="24"/>
                <w:lang w:val="hr-HR"/>
              </w:rPr>
            </w:pPr>
            <w:r>
              <w:rPr>
                <w:rFonts w:ascii="Times New Roman" w:hAnsi="Times New Roman" w:cs="Times New Roman"/>
                <w:b/>
                <w:sz w:val="24"/>
                <w:szCs w:val="24"/>
                <w:lang w:val="hr-HR"/>
              </w:rPr>
              <w:t>Ciljna vrijednost (2032.)</w:t>
            </w:r>
          </w:p>
        </w:tc>
      </w:tr>
      <w:tr w:rsidR="002D4993" w:rsidRPr="00A609CA" w14:paraId="2A151A48" w14:textId="77777777" w:rsidTr="00854413">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E035EFD" w14:textId="76148163" w:rsidR="002D4993" w:rsidRPr="00A609CA" w:rsidRDefault="002D4993" w:rsidP="002D4993">
            <w:pPr>
              <w:rPr>
                <w:rFonts w:ascii="Times New Roman" w:hAnsi="Times New Roman" w:cs="Times New Roman"/>
                <w:sz w:val="24"/>
                <w:szCs w:val="24"/>
                <w:lang w:val="hr-HR"/>
              </w:rPr>
            </w:pPr>
            <w:r w:rsidRPr="002D4993">
              <w:rPr>
                <w:rFonts w:ascii="Times New Roman" w:hAnsi="Times New Roman" w:cs="Times New Roman"/>
                <w:sz w:val="24"/>
                <w:szCs w:val="24"/>
                <w:lang w:val="hr-HR"/>
              </w:rPr>
              <w:t>2.1. Udio zona u oblaku s visokom razinom UI računalne sposobnosti (Sloj 1 / Tier 1 prema OECD metodologiji), OI.02.7.50</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25FFEF5" w14:textId="135461D8" w:rsidR="002D4993" w:rsidRPr="00A609CA" w:rsidRDefault="002D4993" w:rsidP="002D4993">
            <w:pPr>
              <w:jc w:val="center"/>
              <w:rPr>
                <w:rFonts w:ascii="Times New Roman" w:hAnsi="Times New Roman" w:cs="Times New Roman"/>
                <w:sz w:val="24"/>
                <w:szCs w:val="24"/>
                <w:lang w:val="hr-HR"/>
              </w:rPr>
            </w:pPr>
            <w:r w:rsidRPr="00B806A9">
              <w:rPr>
                <w:rFonts w:ascii="Times New Roman" w:hAnsi="Times New Roman" w:cs="Times New Roman"/>
                <w:sz w:val="24"/>
                <w:szCs w:val="24"/>
                <w:lang w:val="hr-HR"/>
              </w:rPr>
              <w:t xml:space="preserve">% </w:t>
            </w:r>
            <w:r>
              <w:rPr>
                <w:rFonts w:ascii="Times New Roman" w:hAnsi="Times New Roman" w:cs="Times New Roman"/>
                <w:sz w:val="24"/>
                <w:szCs w:val="24"/>
                <w:lang w:val="hr-HR"/>
              </w:rPr>
              <w:t>zona u oblaku</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7C4B7FA" w14:textId="655353E0" w:rsidR="002D4993" w:rsidRPr="00A609CA" w:rsidRDefault="002D4993" w:rsidP="002D4993">
            <w:pPr>
              <w:rPr>
                <w:rFonts w:ascii="Times New Roman" w:hAnsi="Times New Roman" w:cs="Times New Roman"/>
                <w:sz w:val="24"/>
                <w:szCs w:val="24"/>
                <w:lang w:val="hr-HR"/>
              </w:rPr>
            </w:pPr>
            <w:r w:rsidRPr="00B806A9">
              <w:rPr>
                <w:rFonts w:ascii="Times New Roman" w:hAnsi="Times New Roman" w:cs="Times New Roman"/>
                <w:sz w:val="24"/>
                <w:szCs w:val="24"/>
                <w:lang w:val="hr-HR"/>
              </w:rPr>
              <w:t xml:space="preserve">OECD.AI / </w:t>
            </w:r>
            <w:r w:rsidRPr="0063073C">
              <w:rPr>
                <w:rFonts w:ascii="Times New Roman" w:hAnsi="Times New Roman" w:cs="Times New Roman"/>
                <w:i/>
                <w:iCs/>
                <w:sz w:val="24"/>
                <w:szCs w:val="24"/>
                <w:lang w:val="hr-HR"/>
              </w:rPr>
              <w:t>Oxford University Innovation</w:t>
            </w:r>
            <w:r w:rsidRPr="00B806A9">
              <w:rPr>
                <w:rFonts w:ascii="Times New Roman" w:hAnsi="Times New Roman" w:cs="Times New Roman"/>
                <w:sz w:val="24"/>
                <w:szCs w:val="24"/>
                <w:lang w:val="hr-HR"/>
              </w:rPr>
              <w:t xml:space="preserve"> </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0D2A36D" w14:textId="61E572DA"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100 % (2026.)</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BD44984" w14:textId="3A740C42"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100 %</w:t>
            </w:r>
          </w:p>
        </w:tc>
      </w:tr>
      <w:tr w:rsidR="002D4993" w:rsidRPr="00A609CA" w14:paraId="069CD22C" w14:textId="77777777" w:rsidTr="00854413">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69E0105" w14:textId="2E97E6F4" w:rsidR="002D4993" w:rsidRPr="00A609CA" w:rsidRDefault="002D4993" w:rsidP="002D4993">
            <w:pPr>
              <w:rPr>
                <w:rFonts w:ascii="Times New Roman" w:hAnsi="Times New Roman" w:cs="Times New Roman"/>
                <w:sz w:val="24"/>
                <w:szCs w:val="24"/>
                <w:lang w:val="hr-HR"/>
              </w:rPr>
            </w:pPr>
            <w:r w:rsidRPr="002D4993">
              <w:rPr>
                <w:rFonts w:ascii="Times New Roman" w:hAnsi="Times New Roman" w:cs="Times New Roman"/>
                <w:sz w:val="24"/>
                <w:szCs w:val="24"/>
                <w:lang w:val="hr-HR"/>
              </w:rPr>
              <w:t>2.2. Dostupnost i uporaba informacija javnog sektora, OI.02.7.52</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699CD84" w14:textId="77777777"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56E43B5" w14:textId="2B22C9DA" w:rsidR="002D4993" w:rsidRPr="00A609CA" w:rsidRDefault="002D4993" w:rsidP="002D4993">
            <w:pPr>
              <w:rPr>
                <w:rFonts w:ascii="Times New Roman" w:hAnsi="Times New Roman" w:cs="Times New Roman"/>
                <w:i/>
                <w:iCs/>
                <w:sz w:val="24"/>
                <w:szCs w:val="24"/>
                <w:lang w:val="hr-HR"/>
              </w:rPr>
            </w:pPr>
            <w:r w:rsidRPr="00896667">
              <w:rPr>
                <w:rFonts w:ascii="Times New Roman" w:hAnsi="Times New Roman" w:cs="Times New Roman"/>
                <w:sz w:val="24"/>
                <w:szCs w:val="24"/>
                <w:lang w:val="hr-HR"/>
              </w:rPr>
              <w:t>Europska komisija, Europski portal podataka (da</w:t>
            </w:r>
            <w:r>
              <w:rPr>
                <w:rFonts w:ascii="Times New Roman" w:hAnsi="Times New Roman" w:cs="Times New Roman"/>
                <w:sz w:val="24"/>
                <w:szCs w:val="24"/>
                <w:lang w:val="hr-HR"/>
              </w:rPr>
              <w:t>t</w:t>
            </w:r>
            <w:r w:rsidRPr="00896667">
              <w:rPr>
                <w:rFonts w:ascii="Times New Roman" w:hAnsi="Times New Roman" w:cs="Times New Roman"/>
                <w:sz w:val="24"/>
                <w:szCs w:val="24"/>
                <w:lang w:val="hr-HR"/>
              </w:rPr>
              <w:t>a.europe.eu), Izvješće o zrelosti otvorenih podataka</w:t>
            </w:r>
            <w:r w:rsidRPr="000C557B" w:rsidDel="000C557B">
              <w:rPr>
                <w:rFonts w:ascii="Times New Roman" w:hAnsi="Times New Roman" w:cs="Times New Roman"/>
                <w:i/>
                <w:iCs/>
                <w:sz w:val="24"/>
                <w:szCs w:val="24"/>
                <w:lang w:val="hr-HR"/>
              </w:rPr>
              <w:t xml:space="preserve"> </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22828E1" w14:textId="77777777"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73.5% (2025.)</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9B52D70" w14:textId="77777777"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&gt; 95%</w:t>
            </w:r>
          </w:p>
        </w:tc>
      </w:tr>
      <w:tr w:rsidR="002D4993" w:rsidRPr="00A609CA" w14:paraId="39E9F32B" w14:textId="77777777" w:rsidTr="00854413">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937831A" w14:textId="22B89CB3" w:rsidR="002D4993" w:rsidRPr="00A609CA" w:rsidRDefault="002D4993" w:rsidP="002D4993">
            <w:pPr>
              <w:rPr>
                <w:rFonts w:ascii="Times New Roman" w:hAnsi="Times New Roman" w:cs="Times New Roman"/>
                <w:sz w:val="24"/>
                <w:szCs w:val="24"/>
                <w:lang w:val="hr-HR"/>
              </w:rPr>
            </w:pPr>
            <w:r w:rsidRPr="002D4993">
              <w:rPr>
                <w:rFonts w:ascii="Times New Roman" w:hAnsi="Times New Roman" w:cs="Times New Roman"/>
                <w:sz w:val="24"/>
                <w:szCs w:val="24"/>
                <w:lang w:val="hr-HR"/>
              </w:rPr>
              <w:t>2.3. Broj projekata razvoja ili primjene umjetne inteligencije podržanih nacionalnim resursima za napredno računanje, OI.02.7.51</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1AD6139" w14:textId="3B980028"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Broj projekata godišnje</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377AD50" w14:textId="36C722B9" w:rsidR="002D4993" w:rsidRPr="00A609CA" w:rsidRDefault="002D4993" w:rsidP="002D4993">
            <w:pPr>
              <w:rPr>
                <w:rFonts w:ascii="Times New Roman" w:hAnsi="Times New Roman" w:cs="Times New Roman"/>
                <w:sz w:val="24"/>
                <w:szCs w:val="24"/>
                <w:lang w:val="hr-HR"/>
              </w:rPr>
            </w:pPr>
            <w:r w:rsidRPr="00100E1B">
              <w:rPr>
                <w:rFonts w:ascii="Times New Roman" w:hAnsi="Times New Roman" w:cs="Times New Roman"/>
                <w:sz w:val="24"/>
                <w:szCs w:val="24"/>
                <w:lang w:val="hr-HR"/>
              </w:rPr>
              <w:t>Sveučilišni računski centar (Srce)</w:t>
            </w:r>
            <w:r>
              <w:rPr>
                <w:rFonts w:ascii="Times New Roman" w:hAnsi="Times New Roman" w:cs="Times New Roman"/>
                <w:sz w:val="24"/>
                <w:szCs w:val="24"/>
                <w:lang w:val="hr-HR"/>
              </w:rPr>
              <w:t xml:space="preserve">, </w:t>
            </w:r>
            <w:r w:rsidRPr="00100E1B">
              <w:rPr>
                <w:rFonts w:ascii="Times New Roman" w:hAnsi="Times New Roman" w:cs="Times New Roman"/>
                <w:sz w:val="24"/>
                <w:szCs w:val="24"/>
                <w:lang w:val="hr-HR"/>
              </w:rPr>
              <w:t>Izvještaj o korištenju usluge Napredno računanje</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140953A" w14:textId="186F7CCB"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154 (2025.)</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5A9B0A1" w14:textId="081344B4" w:rsidR="002D4993" w:rsidRPr="00A609CA" w:rsidRDefault="002D4993" w:rsidP="002D4993">
            <w:pPr>
              <w:jc w:val="center"/>
              <w:rPr>
                <w:rFonts w:ascii="Times New Roman" w:hAnsi="Times New Roman" w:cs="Times New Roman"/>
                <w:sz w:val="24"/>
                <w:szCs w:val="24"/>
                <w:lang w:val="hr-HR"/>
              </w:rPr>
            </w:pPr>
            <w:r>
              <w:rPr>
                <w:rFonts w:ascii="Times New Roman" w:hAnsi="Times New Roman" w:cs="Times New Roman"/>
                <w:sz w:val="24"/>
                <w:szCs w:val="24"/>
                <w:lang w:val="hr-HR"/>
              </w:rPr>
              <w:t>350</w:t>
            </w:r>
          </w:p>
        </w:tc>
      </w:tr>
    </w:tbl>
    <w:p w14:paraId="1883BC77" w14:textId="77777777" w:rsidR="003A4054" w:rsidRPr="00A609CA" w:rsidRDefault="003A4054" w:rsidP="00854413">
      <w:pPr>
        <w:spacing w:after="0"/>
        <w:rPr>
          <w:lang w:val="hr-HR"/>
        </w:rPr>
        <w:sectPr w:rsidR="003A4054" w:rsidRPr="00A609CA" w:rsidSect="00D57AF3">
          <w:pgSz w:w="15840" w:h="12240" w:orient="landscape"/>
          <w:pgMar w:top="792" w:right="792" w:bottom="720" w:left="792" w:header="360" w:footer="360" w:gutter="0"/>
          <w:cols w:space="720"/>
          <w:docGrid w:linePitch="272"/>
        </w:sectPr>
      </w:pPr>
    </w:p>
    <w:p w14:paraId="545BFADF" w14:textId="17428C8A" w:rsidR="00E51208" w:rsidRPr="00A609CA" w:rsidRDefault="007B30D5" w:rsidP="00F10D8F">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47" w:name="_Toc236064840"/>
      <w:bookmarkStart w:id="48" w:name="_Toc242947269"/>
      <w:r>
        <w:rPr>
          <w:rFonts w:ascii="Times New Roman" w:eastAsia="Times New Roman" w:hAnsi="Times New Roman" w:cs="Times New Roman"/>
          <w:b/>
          <w:bCs/>
          <w:color w:val="auto"/>
          <w:lang w:val="hr-HR"/>
        </w:rPr>
        <w:lastRenderedPageBreak/>
        <w:t>3</w:t>
      </w:r>
      <w:r w:rsidR="00D635B5">
        <w:rPr>
          <w:rFonts w:ascii="Times New Roman" w:eastAsia="Times New Roman" w:hAnsi="Times New Roman" w:cs="Times New Roman"/>
          <w:b/>
          <w:bCs/>
          <w:color w:val="auto"/>
          <w:lang w:val="hr-HR"/>
        </w:rPr>
        <w:t>.5. Posebni cilj 3. Uspostaviti sustav etične i zakonite primjene UI-ja</w:t>
      </w:r>
      <w:bookmarkEnd w:id="47"/>
      <w:bookmarkEnd w:id="48"/>
    </w:p>
    <w:p w14:paraId="222B31CA" w14:textId="60FCC553" w:rsidR="00D635B5" w:rsidRPr="009D0F6F" w:rsidRDefault="00ED1EF4" w:rsidP="00E57CAB">
      <w:pPr>
        <w:pStyle w:val="Tijeloteksta"/>
        <w:spacing w:before="301" w:line="276" w:lineRule="auto"/>
        <w:ind w:right="283"/>
        <w:jc w:val="both"/>
        <w:rPr>
          <w:color w:val="000000"/>
        </w:rPr>
      </w:pPr>
      <w:r w:rsidRPr="00ED1EF4">
        <w:rPr>
          <w:color w:val="000000"/>
        </w:rPr>
        <w:t xml:space="preserve">Ovim posebnim ciljem odgovara se na potrebu za jasnom raspodjelom nadležnosti, dosljednom provedbom Akta o umjetnoj inteligenciji (Uredba (EU) 2024/1689 </w:t>
      </w:r>
      <w:r w:rsidR="003D6077">
        <w:rPr>
          <w:color w:val="000000"/>
        </w:rPr>
        <w:t>E</w:t>
      </w:r>
      <w:r w:rsidR="003D6077" w:rsidRPr="003D6077">
        <w:rPr>
          <w:color w:val="000000"/>
        </w:rPr>
        <w:t>uropskog parlamenta i Vijeća od 13. lipnja 2024. o utvrđivanju usklađenih pravila o umjetnoj inteligenciji, kako je izmijenjena Uredbom (EU) 2026/1744</w:t>
      </w:r>
      <w:r w:rsidRPr="00ED1EF4">
        <w:rPr>
          <w:color w:val="000000"/>
        </w:rPr>
        <w:t>; dalje u ovom odjeljku: Akt o UI-ju)</w:t>
      </w:r>
      <w:r w:rsidR="00843103">
        <w:rPr>
          <w:color w:val="000000"/>
        </w:rPr>
        <w:t>, upravljanjem rizicima tijekom cijelog životnog ciklusa sustava te jačanjem povjerenja građana i pravne sigurnosti za gospodarstvo. U skladu s člankom 2. stavkom 3. Akta o UI-ju, njegove se odredbe ne primjenjuju na UI sustave stavljene na tržište, u upotrebu ili korištene isključivo u vojne i obrambene svrhe ili svrhe nacionalne sigurnosti, koje se uređuju u zasebnom okviru. Zakonita i etična primjena UI-ja nije samo pitanje regulatorne usklađenosti: ona je preduvjet da ulaganja u vještine, infrastrukturu i inovacije ostvare puni društveni i gospodarski učinak.</w:t>
      </w:r>
    </w:p>
    <w:p w14:paraId="6E21E6C0" w14:textId="4B0A5A7A" w:rsidR="00D635B5" w:rsidRPr="009D0F6F" w:rsidRDefault="00843103" w:rsidP="00E57CAB">
      <w:pPr>
        <w:pStyle w:val="Tijeloteksta"/>
        <w:spacing w:before="301" w:line="276" w:lineRule="auto"/>
        <w:ind w:right="283"/>
        <w:jc w:val="both"/>
        <w:rPr>
          <w:color w:val="000000"/>
        </w:rPr>
      </w:pPr>
      <w:r>
        <w:rPr>
          <w:color w:val="000000"/>
        </w:rPr>
        <w:t>Pristup Republike Hrvatske temeljit će se na jačanju postojećih institucija, jasnom razgraničenju odgovornosti i učinkovitom međuresornom koordiniranju. Uz nadzornu funkciju, sustav mora imati snažnu savjetodavnu i provedbenu dimenziju: zajedničke smjernice, praktične alate, standardizirane procjene rizika i središnju stručnu potporu javnom sektoru i gospodarstvu. Upravljanje UI-jem obuhvatit će razvoj, nabavu, testiranje, uvođenje, uporabu, praćenje, incidente i povlačenje sustava iz uporabe.</w:t>
      </w:r>
    </w:p>
    <w:p w14:paraId="3856CFCD" w14:textId="07BCB1F7" w:rsidR="00E51208" w:rsidRPr="009D0F6F" w:rsidRDefault="00843103" w:rsidP="00E57CAB">
      <w:pPr>
        <w:pStyle w:val="Tijeloteksta"/>
        <w:spacing w:before="301" w:line="276" w:lineRule="auto"/>
        <w:ind w:right="283"/>
        <w:jc w:val="both"/>
        <w:rPr>
          <w:color w:val="000000"/>
        </w:rPr>
      </w:pPr>
      <w:r>
        <w:rPr>
          <w:color w:val="000000"/>
        </w:rPr>
        <w:t>Cilj je do 2032. uspostaviti funkcionalan, koordiniran i međunarodno usporediv sustav u kojem su pravila razumljiva i proporcionalna, institucije osposobljene, a građanima osigurani transparentnost, ljudski nadzor i učinkoviti mehanizmi zaštite prava. Takav okvir treba smanjiti regulatornu neizvjesnost i reputacijske rizike, a istodobno omogućiti odgovorno eksperimentiranje i razvoj inovacija.</w:t>
      </w:r>
      <w:r w:rsidR="00610B66">
        <w:rPr>
          <w:color w:val="000000"/>
        </w:rPr>
        <w:t xml:space="preserve"> </w:t>
      </w:r>
      <w:r w:rsidR="00610B66" w:rsidRPr="00610B66">
        <w:rPr>
          <w:color w:val="000000"/>
        </w:rPr>
        <w:t xml:space="preserve">Međunarodna usporedivost podupirat će se oslanjanjem na relevantne standarde, metodologije i pokazatelje </w:t>
      </w:r>
      <w:r w:rsidR="000015DE">
        <w:rPr>
          <w:color w:val="000000"/>
        </w:rPr>
        <w:t xml:space="preserve">Europske unije, </w:t>
      </w:r>
      <w:r w:rsidR="00610B66" w:rsidRPr="00610B66">
        <w:rPr>
          <w:color w:val="000000"/>
        </w:rPr>
        <w:t>OECD-a, Vijeća Europe, Ujedinjenih naroda i UNESCO-a.</w:t>
      </w:r>
    </w:p>
    <w:p w14:paraId="149CE0E3" w14:textId="216BDF8E" w:rsidR="000405F0" w:rsidRDefault="006E4636" w:rsidP="00E57CAB">
      <w:pPr>
        <w:pStyle w:val="Tijeloteksta"/>
        <w:spacing w:before="301" w:line="276" w:lineRule="auto"/>
        <w:ind w:right="283"/>
        <w:jc w:val="both"/>
      </w:pPr>
      <w:r w:rsidRPr="006E4636">
        <w:t>Ključni rokovi primjene Akta o UI-ju relevantni za provedbu Nacionalnog plana</w:t>
      </w:r>
    </w:p>
    <w:tbl>
      <w:tblPr>
        <w:tblStyle w:val="Obinatablica21"/>
        <w:tblW w:w="5000" w:type="pct"/>
        <w:tblLayout w:type="fixed"/>
        <w:tblLook w:val="0020" w:firstRow="1" w:lastRow="0" w:firstColumn="0" w:lastColumn="0" w:noHBand="0" w:noVBand="0"/>
      </w:tblPr>
      <w:tblGrid>
        <w:gridCol w:w="2490"/>
        <w:gridCol w:w="8228"/>
      </w:tblGrid>
      <w:tr w:rsidR="00DF07BC" w:rsidRPr="00BF5FDE" w14:paraId="11C1E024" w14:textId="77777777" w:rsidTr="00A4607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5F3B2177"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Rok</w:t>
            </w:r>
          </w:p>
        </w:tc>
        <w:tc>
          <w:tcPr>
            <w:cnfStyle w:val="000001000000" w:firstRow="0" w:lastRow="0" w:firstColumn="0" w:lastColumn="0" w:oddVBand="0" w:evenVBand="1" w:oddHBand="0" w:evenHBand="0" w:firstRowFirstColumn="0" w:firstRowLastColumn="0" w:lastRowFirstColumn="0" w:lastRowLastColumn="0"/>
            <w:tcW w:w="7387" w:type="dxa"/>
          </w:tcPr>
          <w:p w14:paraId="7A7FBEA6"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Relevantna obveza</w:t>
            </w:r>
          </w:p>
        </w:tc>
      </w:tr>
      <w:tr w:rsidR="00DF07BC" w:rsidRPr="00BF5FDE" w14:paraId="04687EB0" w14:textId="77777777" w:rsidTr="00A460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55C0860A"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veljače 2025.</w:t>
            </w:r>
          </w:p>
        </w:tc>
        <w:tc>
          <w:tcPr>
            <w:cnfStyle w:val="000001000000" w:firstRow="0" w:lastRow="0" w:firstColumn="0" w:lastColumn="0" w:oddVBand="0" w:evenVBand="1" w:oddHBand="0" w:evenHBand="0" w:firstRowFirstColumn="0" w:firstRowLastColumn="0" w:lastRowFirstColumn="0" w:lastRowLastColumn="0"/>
            <w:tcW w:w="7387" w:type="dxa"/>
          </w:tcPr>
          <w:p w14:paraId="55E319FA"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Primjena članka 4. o pismenosti u području umjetne inteligencije.</w:t>
            </w:r>
          </w:p>
        </w:tc>
      </w:tr>
      <w:tr w:rsidR="00DF07BC" w:rsidRPr="00BF5FDE" w14:paraId="7F7EE39F" w14:textId="77777777" w:rsidTr="00A46070">
        <w:tc>
          <w:tcPr>
            <w:cnfStyle w:val="000010000000" w:firstRow="0" w:lastRow="0" w:firstColumn="0" w:lastColumn="0" w:oddVBand="1" w:evenVBand="0" w:oddHBand="0" w:evenHBand="0" w:firstRowFirstColumn="0" w:firstRowLastColumn="0" w:lastRowFirstColumn="0" w:lastRowLastColumn="0"/>
            <w:tcW w:w="2235" w:type="dxa"/>
          </w:tcPr>
          <w:p w14:paraId="37D0EADF"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kolovoza 2026.</w:t>
            </w:r>
          </w:p>
        </w:tc>
        <w:tc>
          <w:tcPr>
            <w:cnfStyle w:val="000001000000" w:firstRow="0" w:lastRow="0" w:firstColumn="0" w:lastColumn="0" w:oddVBand="0" w:evenVBand="1" w:oddHBand="0" w:evenHBand="0" w:firstRowFirstColumn="0" w:firstRowLastColumn="0" w:lastRowFirstColumn="0" w:lastRowLastColumn="0"/>
            <w:tcW w:w="7387" w:type="dxa"/>
          </w:tcPr>
          <w:p w14:paraId="64CF4B0B"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Primjena obveza transparentnosti iz članka 50. Akta o UI-ju.</w:t>
            </w:r>
          </w:p>
        </w:tc>
      </w:tr>
      <w:tr w:rsidR="00DF07BC" w:rsidRPr="00BF5FDE" w14:paraId="7E80D935" w14:textId="77777777" w:rsidTr="00A460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1EF49EA"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prosinca 2026.</w:t>
            </w:r>
          </w:p>
        </w:tc>
        <w:tc>
          <w:tcPr>
            <w:cnfStyle w:val="000001000000" w:firstRow="0" w:lastRow="0" w:firstColumn="0" w:lastColumn="0" w:oddVBand="0" w:evenVBand="1" w:oddHBand="0" w:evenHBand="0" w:firstRowFirstColumn="0" w:firstRowLastColumn="0" w:lastRowFirstColumn="0" w:lastRowLastColumn="0"/>
            <w:tcW w:w="7387" w:type="dxa"/>
          </w:tcPr>
          <w:p w14:paraId="13F3794A"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Rok za usklađivanje sustava iz članka 50. stavka 2. koji su stavljeni na tržište prije 2. kolovoza 2026. te početak primjene novih zabranjenih praksi utvrđenih izmijenjenim Aktom o UI-ju.</w:t>
            </w:r>
          </w:p>
        </w:tc>
      </w:tr>
      <w:tr w:rsidR="00DF07BC" w:rsidRPr="00BF5FDE" w14:paraId="5EDFCE38" w14:textId="77777777" w:rsidTr="00A46070">
        <w:tc>
          <w:tcPr>
            <w:cnfStyle w:val="000010000000" w:firstRow="0" w:lastRow="0" w:firstColumn="0" w:lastColumn="0" w:oddVBand="1" w:evenVBand="0" w:oddHBand="0" w:evenHBand="0" w:firstRowFirstColumn="0" w:firstRowLastColumn="0" w:lastRowFirstColumn="0" w:lastRowLastColumn="0"/>
            <w:tcW w:w="2235" w:type="dxa"/>
          </w:tcPr>
          <w:p w14:paraId="3019B17A"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kolovoza 2027.</w:t>
            </w:r>
          </w:p>
        </w:tc>
        <w:tc>
          <w:tcPr>
            <w:cnfStyle w:val="000001000000" w:firstRow="0" w:lastRow="0" w:firstColumn="0" w:lastColumn="0" w:oddVBand="0" w:evenVBand="1" w:oddHBand="0" w:evenHBand="0" w:firstRowFirstColumn="0" w:firstRowLastColumn="0" w:lastRowFirstColumn="0" w:lastRowLastColumn="0"/>
            <w:tcW w:w="7387" w:type="dxa"/>
          </w:tcPr>
          <w:p w14:paraId="64BA6C76"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Najmanje jedno regulatorno izolirano okruženje za UI mora biti operativno na nacionalnoj razini.</w:t>
            </w:r>
          </w:p>
        </w:tc>
      </w:tr>
      <w:tr w:rsidR="00DF07BC" w:rsidRPr="00BF5FDE" w14:paraId="424444E3" w14:textId="77777777" w:rsidTr="00A460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5" w:type="dxa"/>
          </w:tcPr>
          <w:p w14:paraId="4AF73500"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prosinca 2027.</w:t>
            </w:r>
          </w:p>
        </w:tc>
        <w:tc>
          <w:tcPr>
            <w:cnfStyle w:val="000001000000" w:firstRow="0" w:lastRow="0" w:firstColumn="0" w:lastColumn="0" w:oddVBand="0" w:evenVBand="1" w:oddHBand="0" w:evenHBand="0" w:firstRowFirstColumn="0" w:firstRowLastColumn="0" w:lastRowFirstColumn="0" w:lastRowLastColumn="0"/>
            <w:tcW w:w="7387" w:type="dxa"/>
          </w:tcPr>
          <w:p w14:paraId="08B9281B"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Početak primjene relevantnih zahtjeva i obveza za visokorizične UI sustave iz članka 6. stavka 2. i Priloga III.</w:t>
            </w:r>
          </w:p>
        </w:tc>
      </w:tr>
      <w:tr w:rsidR="00DF07BC" w:rsidRPr="00BF5FDE" w14:paraId="3CD4A18A" w14:textId="77777777" w:rsidTr="00A46070">
        <w:tc>
          <w:tcPr>
            <w:cnfStyle w:val="000010000000" w:firstRow="0" w:lastRow="0" w:firstColumn="0" w:lastColumn="0" w:oddVBand="1" w:evenVBand="0" w:oddHBand="0" w:evenHBand="0" w:firstRowFirstColumn="0" w:firstRowLastColumn="0" w:lastRowFirstColumn="0" w:lastRowLastColumn="0"/>
            <w:tcW w:w="2235" w:type="dxa"/>
          </w:tcPr>
          <w:p w14:paraId="50139154"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2. kolovoza 2028.</w:t>
            </w:r>
          </w:p>
        </w:tc>
        <w:tc>
          <w:tcPr>
            <w:cnfStyle w:val="000001000000" w:firstRow="0" w:lastRow="0" w:firstColumn="0" w:lastColumn="0" w:oddVBand="0" w:evenVBand="1" w:oddHBand="0" w:evenHBand="0" w:firstRowFirstColumn="0" w:firstRowLastColumn="0" w:lastRowFirstColumn="0" w:lastRowLastColumn="0"/>
            <w:tcW w:w="7387" w:type="dxa"/>
          </w:tcPr>
          <w:p w14:paraId="19BB2DB1" w14:textId="77777777" w:rsidR="00DF07BC" w:rsidRPr="00BF5FDE" w:rsidRDefault="00DF07BC" w:rsidP="00DF07BC">
            <w:pPr>
              <w:spacing w:before="36" w:after="36" w:line="240" w:lineRule="auto"/>
              <w:rPr>
                <w:rFonts w:ascii="Times New Roman" w:eastAsia="Times New Roman" w:hAnsi="Times New Roman" w:cs="Times New Roman"/>
                <w:sz w:val="24"/>
                <w:lang w:val="hr-HR"/>
              </w:rPr>
            </w:pPr>
            <w:r w:rsidRPr="00BF5FDE">
              <w:rPr>
                <w:rFonts w:ascii="Times New Roman" w:eastAsia="Times New Roman" w:hAnsi="Times New Roman" w:cs="Times New Roman"/>
                <w:sz w:val="24"/>
                <w:lang w:val="hr-HR"/>
              </w:rPr>
              <w:t>Početak primjene relevantnih zahtjeva i obveza za visokorizične UI sustave iz članka 6. stavka 1. i Priloga I.</w:t>
            </w:r>
          </w:p>
        </w:tc>
      </w:tr>
    </w:tbl>
    <w:p w14:paraId="07B95E56" w14:textId="77777777" w:rsidR="006E4636" w:rsidRPr="00A609CA" w:rsidRDefault="006E4636" w:rsidP="00BF5FDE">
      <w:pPr>
        <w:pStyle w:val="Tijeloteksta"/>
        <w:spacing w:line="276" w:lineRule="auto"/>
        <w:ind w:right="283"/>
        <w:jc w:val="both"/>
      </w:pPr>
    </w:p>
    <w:p w14:paraId="39F8F77B" w14:textId="6C9F5A44" w:rsidR="002B3590" w:rsidRPr="00A609CA" w:rsidRDefault="002B3590" w:rsidP="00E51208">
      <w:pPr>
        <w:shd w:val="clear" w:color="auto" w:fill="EDEDED" w:themeFill="accent3" w:themeFillTint="33"/>
        <w:spacing w:after="80"/>
        <w:rPr>
          <w:rFonts w:ascii="Times New Roman" w:eastAsiaTheme="minorEastAsia" w:hAnsi="Times New Roman" w:cs="Times New Roman"/>
          <w:sz w:val="24"/>
          <w:szCs w:val="24"/>
          <w:lang w:val="hr-HR"/>
        </w:rPr>
      </w:pPr>
      <w:r>
        <w:rPr>
          <w:rFonts w:ascii="Times New Roman" w:hAnsi="Times New Roman" w:cs="Times New Roman"/>
          <w:b/>
          <w:color w:val="1E4A62"/>
          <w:sz w:val="24"/>
          <w:szCs w:val="24"/>
          <w:lang w:val="hr-HR"/>
        </w:rPr>
        <w:t>OČEKIVANE PROMJENE DO 2032. GODINE</w:t>
      </w:r>
    </w:p>
    <w:p w14:paraId="1F3AF7D6" w14:textId="0BEDF5A4" w:rsidR="002B3590" w:rsidRPr="009D0F6F" w:rsidRDefault="00C95245" w:rsidP="00E51208">
      <w:pPr>
        <w:pStyle w:val="Grafikeoznake"/>
        <w:shd w:val="clear" w:color="auto" w:fill="EDEDED" w:themeFill="accent3" w:themeFillTint="33"/>
        <w:spacing w:after="40" w:line="276" w:lineRule="auto"/>
        <w:jc w:val="left"/>
        <w:rPr>
          <w:rFonts w:ascii="Times New Roman" w:hAnsi="Times New Roman"/>
          <w:color w:val="000000"/>
          <w:sz w:val="24"/>
          <w:lang w:val="hr-HR"/>
        </w:rPr>
      </w:pPr>
      <w:r>
        <w:rPr>
          <w:rFonts w:ascii="Times New Roman" w:hAnsi="Times New Roman"/>
          <w:color w:val="000000"/>
          <w:sz w:val="24"/>
          <w:lang w:val="hr-HR"/>
        </w:rPr>
        <w:t>Jasno određene i operativno usklađene nadležnosti za provedbu i nadzor Akta o UI-ju.</w:t>
      </w:r>
    </w:p>
    <w:p w14:paraId="34429187" w14:textId="2FDD6E86" w:rsidR="002B3590" w:rsidRPr="009D0F6F" w:rsidRDefault="00344BF9" w:rsidP="00E51208">
      <w:pPr>
        <w:pStyle w:val="Grafikeoznake"/>
        <w:shd w:val="clear" w:color="auto" w:fill="EDEDED" w:themeFill="accent3" w:themeFillTint="33"/>
        <w:spacing w:after="40" w:line="276" w:lineRule="auto"/>
        <w:jc w:val="left"/>
        <w:rPr>
          <w:rFonts w:ascii="Times New Roman" w:hAnsi="Times New Roman"/>
          <w:color w:val="000000"/>
          <w:sz w:val="24"/>
          <w:lang w:val="hr-HR"/>
        </w:rPr>
      </w:pPr>
      <w:r>
        <w:rPr>
          <w:rFonts w:ascii="Times New Roman" w:hAnsi="Times New Roman"/>
          <w:color w:val="000000"/>
          <w:sz w:val="24"/>
          <w:lang w:val="hr-HR"/>
        </w:rPr>
        <w:t>Standardizirano upravljanje rizicima i učincima UI sustava tijekom cijelog životnog ciklusa.</w:t>
      </w:r>
    </w:p>
    <w:p w14:paraId="78D5B823" w14:textId="406FFF33" w:rsidR="002B3590" w:rsidRPr="009D0F6F" w:rsidRDefault="00344BF9" w:rsidP="00E51208">
      <w:pPr>
        <w:pStyle w:val="Grafikeoznake"/>
        <w:shd w:val="clear" w:color="auto" w:fill="EDEDED" w:themeFill="accent3" w:themeFillTint="33"/>
        <w:spacing w:after="40" w:line="276" w:lineRule="auto"/>
        <w:jc w:val="left"/>
        <w:rPr>
          <w:rFonts w:ascii="Times New Roman" w:hAnsi="Times New Roman"/>
          <w:color w:val="000000"/>
          <w:sz w:val="24"/>
          <w:lang w:val="hr-HR"/>
        </w:rPr>
      </w:pPr>
      <w:r>
        <w:rPr>
          <w:rFonts w:ascii="Times New Roman" w:hAnsi="Times New Roman"/>
          <w:color w:val="000000"/>
          <w:sz w:val="24"/>
          <w:lang w:val="hr-HR"/>
        </w:rPr>
        <w:t xml:space="preserve">Veća transparentnost UI sustava </w:t>
      </w:r>
      <w:r>
        <w:rPr>
          <w:rFonts w:ascii="Times New Roman" w:hAnsi="Times New Roman" w:cs="Times New Roman"/>
          <w:color w:val="000000"/>
          <w:sz w:val="24"/>
          <w:szCs w:val="24"/>
          <w:lang w:val="hr-HR"/>
        </w:rPr>
        <w:t xml:space="preserve"> </w:t>
      </w:r>
      <w:r>
        <w:rPr>
          <w:rFonts w:ascii="Times New Roman" w:hAnsi="Times New Roman"/>
          <w:color w:val="000000"/>
          <w:sz w:val="24"/>
          <w:lang w:val="hr-HR"/>
        </w:rPr>
        <w:t>u javnom sektoru i dostupni mehanizmi zaštite prava.</w:t>
      </w:r>
    </w:p>
    <w:p w14:paraId="3A061D96" w14:textId="0F0E09CD" w:rsidR="002B3590" w:rsidRPr="009D0F6F" w:rsidRDefault="00344BF9" w:rsidP="00E51208">
      <w:pPr>
        <w:pStyle w:val="Grafikeoznake"/>
        <w:shd w:val="clear" w:color="auto" w:fill="EDEDED" w:themeFill="accent3" w:themeFillTint="33"/>
        <w:spacing w:after="40" w:line="276" w:lineRule="auto"/>
        <w:jc w:val="left"/>
        <w:rPr>
          <w:rFonts w:ascii="Times New Roman" w:hAnsi="Times New Roman"/>
          <w:color w:val="000000"/>
          <w:sz w:val="24"/>
          <w:lang w:val="hr-HR"/>
        </w:rPr>
      </w:pPr>
      <w:r>
        <w:rPr>
          <w:rFonts w:ascii="Times New Roman" w:hAnsi="Times New Roman"/>
          <w:color w:val="000000"/>
          <w:sz w:val="24"/>
          <w:lang w:val="hr-HR"/>
        </w:rPr>
        <w:lastRenderedPageBreak/>
        <w:t>Funkcionalno regulatorno izolirano okruženje (ili više njih) za odgovorno testiranje UI rješenja.</w:t>
      </w:r>
    </w:p>
    <w:p w14:paraId="6F2662E0" w14:textId="7235BF3C" w:rsidR="002B3590" w:rsidRPr="00A609CA" w:rsidRDefault="00C95245" w:rsidP="002B3590">
      <w:pPr>
        <w:pStyle w:val="Grafikeoznake"/>
        <w:shd w:val="clear" w:color="auto" w:fill="EDEDED" w:themeFill="accent3" w:themeFillTint="33"/>
        <w:spacing w:after="40" w:line="276" w:lineRule="auto"/>
        <w:jc w:val="left"/>
        <w:rPr>
          <w:rFonts w:ascii="Times New Roman" w:hAnsi="Times New Roman" w:cs="Times New Roman"/>
          <w:sz w:val="24"/>
          <w:szCs w:val="24"/>
          <w:lang w:val="hr-HR"/>
        </w:rPr>
      </w:pPr>
      <w:r>
        <w:rPr>
          <w:rFonts w:ascii="Times New Roman" w:hAnsi="Times New Roman" w:cs="Times New Roman"/>
          <w:sz w:val="24"/>
          <w:szCs w:val="24"/>
          <w:lang w:val="hr-HR"/>
        </w:rPr>
        <w:t>Razvijena kultura etike, odgovornosti i učenja iz incidenata.</w:t>
      </w:r>
    </w:p>
    <w:p w14:paraId="5FE6A857" w14:textId="50E465EB" w:rsidR="00847EE4" w:rsidRPr="00A609CA" w:rsidRDefault="00847EE4" w:rsidP="008241EF">
      <w:pPr>
        <w:pStyle w:val="Tijeloteksta"/>
        <w:spacing w:before="301" w:line="276" w:lineRule="auto"/>
        <w:ind w:right="283"/>
        <w:jc w:val="both"/>
        <w:rPr>
          <w:b/>
          <w:bCs/>
        </w:rPr>
      </w:pPr>
      <w:r>
        <w:rPr>
          <w:b/>
          <w:bCs/>
        </w:rPr>
        <w:t>Prioriteti Posebnog cilja 3:</w:t>
      </w:r>
    </w:p>
    <w:p w14:paraId="3C83E19E" w14:textId="0689430B" w:rsidR="00847EE4" w:rsidRPr="009D0F6F" w:rsidRDefault="00847EE4" w:rsidP="00E57CAB">
      <w:pPr>
        <w:pStyle w:val="Tijeloteksta"/>
        <w:spacing w:before="301" w:line="276" w:lineRule="auto"/>
        <w:ind w:right="283"/>
        <w:jc w:val="both"/>
        <w:rPr>
          <w:color w:val="000000"/>
        </w:rPr>
      </w:pPr>
      <w:r>
        <w:rPr>
          <w:b/>
          <w:bCs/>
        </w:rPr>
        <w:t>Prioritet 3.1. Koordinirani institucionalni okvir za provedbu europskog Akta o UI-ju</w:t>
      </w:r>
      <w:r>
        <w:t xml:space="preserve"> – </w:t>
      </w:r>
      <w:r w:rsidR="00F50E25" w:rsidRPr="00F50E25">
        <w:rPr>
          <w:color w:val="000000"/>
        </w:rPr>
        <w:t xml:space="preserve">Nadležnosti za provedbu i nadzor Akta o UI-ju uredit će se </w:t>
      </w:r>
      <w:r w:rsidR="009B7F70" w:rsidRPr="009B7F70">
        <w:rPr>
          <w:color w:val="000000"/>
        </w:rPr>
        <w:t>Zakonom o provedbi Uredbe (EU) 2024/1689.</w:t>
      </w:r>
      <w:r w:rsidR="00493F0A">
        <w:rPr>
          <w:color w:val="000000"/>
        </w:rPr>
        <w:t xml:space="preserve"> </w:t>
      </w:r>
      <w:r w:rsidR="00F50E25" w:rsidRPr="00F50E25">
        <w:rPr>
          <w:color w:val="000000"/>
        </w:rPr>
        <w:t xml:space="preserve"> Provedbeni okvir temeljit će se na jasno razgraničenim nadležnostima, učinkovitim mehanizmima koordinacije i zajedničkim operativnim protokolima te će povezivati regulatorne, tržišno-nadzorne, podatkovne, kibernetičke i sektorske funkcije radi ujednačene primjene pravila. Mjere ovoga prioriteta provodit će se u skladu s donesenim zakonskim okvirom i nadležnostima utvrđenima na njegovoj osnovi.</w:t>
      </w:r>
      <w:r w:rsidR="00F50E25">
        <w:rPr>
          <w:color w:val="000000"/>
        </w:rPr>
        <w:t xml:space="preserve"> </w:t>
      </w:r>
      <w:r w:rsidR="00DA65ED" w:rsidRPr="00DA65ED">
        <w:rPr>
          <w:color w:val="000000"/>
        </w:rPr>
        <w:t>Republika Hrvatska već je, u skladu s člankom 77. stavkom 2. Akta o UI-ju, objavila popis tijela javne vlasti i javnih tijela nadležnih za nadzor ili provedbu obveza povezanih sa zaštitom temeljnih prava pri uporabi visokorizičnih UI sustava. Određivanje nacionalnih nadležnih tijela za provedbu Akta o UI-ju, uključujući tijela za nadzor tržišta u smislu članka 70., uredit će se provedbenim zakonskim okvirom.</w:t>
      </w:r>
      <w:r w:rsidR="00DA65ED">
        <w:rPr>
          <w:color w:val="000000"/>
        </w:rPr>
        <w:t xml:space="preserve"> </w:t>
      </w:r>
      <w:r w:rsidR="00DA65ED" w:rsidRPr="00DA65ED">
        <w:rPr>
          <w:color w:val="000000"/>
        </w:rPr>
        <w:t>Uspostavit će se i nacionalni okvir za upravljanje UI-jem u javnom sektoru, uključujući standarde za razvoj, nabavu, uvođenje, praćenje i povlačenje sustava. Savjetodavna točka i praktični alati olakšat će gospodarstvu i javnim institucijama razumijevanje obveza, klasifikaciju rizika i pripremu potrebne dokumentacije.</w:t>
      </w:r>
      <w:r w:rsidR="00B85F66">
        <w:rPr>
          <w:color w:val="000000"/>
        </w:rPr>
        <w:t xml:space="preserve"> </w:t>
      </w:r>
      <w:r w:rsidR="00B85F66" w:rsidRPr="00B85F66">
        <w:rPr>
          <w:color w:val="000000"/>
        </w:rPr>
        <w:t>U okviru ovoga prioriteta osigurat će se aktivno sudjelovanje Republike Hrvatske u Europskom vijeću za umjetnu inteligenciju te koordinirana suradnja s Uredom za umjetnu inteligenciju Europske komisije. Podupirat će se uključivanje hrvatskih stručnjaka i dionika u Savjetodavni forum i Znanstveno povjerenstvo neovisnih stručnjaka, u skladu s pravilima njihova imenovanja, te osiguravati stručna priprema i koordinacija predstavnika Republike Hrvatske u relevantnim radnim tijelima Vijeća Europske unije.</w:t>
      </w:r>
      <w:r>
        <w:rPr>
          <w:color w:val="000000"/>
        </w:rPr>
        <w:t>.</w:t>
      </w:r>
    </w:p>
    <w:p w14:paraId="214D3E02" w14:textId="3A0303C7" w:rsidR="00847EE4" w:rsidRPr="009D0F6F" w:rsidRDefault="00847EE4" w:rsidP="00E57CAB">
      <w:pPr>
        <w:pStyle w:val="Tijeloteksta"/>
        <w:spacing w:before="301" w:line="276" w:lineRule="auto"/>
        <w:ind w:right="283"/>
        <w:jc w:val="both"/>
        <w:rPr>
          <w:color w:val="000000"/>
        </w:rPr>
      </w:pPr>
      <w:r w:rsidRPr="00295CBC">
        <w:rPr>
          <w:b/>
          <w:bCs/>
        </w:rPr>
        <w:t>Prioritet 3.2. Procjena rizika i zaštita temeljnih prava u visokorizičnim sektorima</w:t>
      </w:r>
      <w:r>
        <w:t xml:space="preserve"> </w:t>
      </w:r>
      <w:r w:rsidRPr="00295CBC">
        <w:rPr>
          <w:color w:val="000000"/>
        </w:rPr>
        <w:t xml:space="preserve">– </w:t>
      </w:r>
      <w:r w:rsidR="00295CBC" w:rsidRPr="00295CBC">
        <w:rPr>
          <w:color w:val="000000"/>
        </w:rPr>
        <w:t xml:space="preserve">Razvit će se standardizirane metodologije i smjernice za procjenu rizika i učinaka UI sustava na temeljna prava, privatnost, nediskriminaciju i sigurnost, osobito u zdravstvu, obrazovanju, zapošljavanju, socijalnoj skrbi, pravosuđu i unutarnjoj sigurnosti. </w:t>
      </w:r>
      <w:r w:rsidR="000015DE" w:rsidRPr="000015DE">
        <w:rPr>
          <w:color w:val="000000"/>
        </w:rPr>
        <w:t>Pri razvoju metodologija za procjenu rizika i učinaka UI sustava na temeljna prava koristit će se i, prema potrebi, nacionalnom okviru prilagođavati metodologija Vijeća Europe HUDERIA za procjenu rizika i učinaka sustava umjetne inteligencije na ljudska prava, demokraciju i vladavinu prava.</w:t>
      </w:r>
      <w:r w:rsidR="00AD75C9">
        <w:rPr>
          <w:color w:val="000000"/>
        </w:rPr>
        <w:t xml:space="preserve"> </w:t>
      </w:r>
      <w:r w:rsidR="00096D18" w:rsidRPr="00096D18">
        <w:rPr>
          <w:color w:val="000000"/>
        </w:rPr>
        <w:t>U dijelu koji se odnosi na obradu i zaštitu osobnih podataka metodologije i smjernice primjenjivat će se u skladu s Općom uredbom o zaštiti podataka i Zakonom o provedbi Opće uredbe o zaštiti podataka (NN 42/18).</w:t>
      </w:r>
      <w:r w:rsidR="00830218">
        <w:rPr>
          <w:color w:val="000000"/>
        </w:rPr>
        <w:t xml:space="preserve"> </w:t>
      </w:r>
      <w:r w:rsidR="00295CBC" w:rsidRPr="00295CBC">
        <w:rPr>
          <w:color w:val="000000"/>
        </w:rPr>
        <w:t>Procjene će sadržavati minimalni skup dokaza i testiranja, pragove za obveznu primjenu, mjere ublažavanja, ljudski nadzor, kontrolu kvalitete podataka i praćenje performansi. Uspostavit će se sustav prijave, analize i učenja iz incidenata kako bi se rizici pravodobno prepoznavali, a zaštitne mjere kontinuirano poboljšavale.</w:t>
      </w:r>
      <w:r>
        <w:rPr>
          <w:color w:val="000000"/>
        </w:rPr>
        <w:t>.</w:t>
      </w:r>
    </w:p>
    <w:p w14:paraId="4F835929" w14:textId="5678966B" w:rsidR="00847EE4" w:rsidRPr="00A609CA" w:rsidRDefault="00847EE4" w:rsidP="00E57CAB">
      <w:pPr>
        <w:pStyle w:val="Tijeloteksta"/>
        <w:spacing w:before="301" w:line="276" w:lineRule="auto"/>
        <w:ind w:right="283"/>
        <w:jc w:val="both"/>
      </w:pPr>
      <w:r w:rsidRPr="00295CBC">
        <w:rPr>
          <w:b/>
          <w:bCs/>
        </w:rPr>
        <w:t>Prioritet 3.3. Transparentnost, objašnjivost i pravo na pravni lijek</w:t>
      </w:r>
      <w:r>
        <w:t xml:space="preserve"> – </w:t>
      </w:r>
      <w:r w:rsidR="00970E2B" w:rsidRPr="00970E2B">
        <w:rPr>
          <w:color w:val="000000"/>
        </w:rPr>
        <w:t xml:space="preserve">Građani moraju biti jasno informirani kada komuniciraju s UI sustavom ili kada se UI koristi u procesu koji može utjecati na njihova prava i interese. U javnom sektoru uspostavit će se registar UI sustava s podacima o svrsi, odgovornoj instituciji, kategoriji rizika, izvorima podataka, ljudskom nadzoru i kontaktnoj točki za pritužbe. </w:t>
      </w:r>
      <w:r w:rsidR="0086522F" w:rsidRPr="0086522F">
        <w:rPr>
          <w:color w:val="000000"/>
        </w:rPr>
        <w:t>Nacionalni registar uspostavit će se uz uvažavanje obveza registracije u bazi podataka Europske unije za visokorizične UI sustave iz Akta o UI-ju te će se, gdje je primjenjivo, osigurati povezivanje i ponovna uporaba već dostavljenih podataka kako bi se izbjeglo dvostruko izvještavanje obveznika.</w:t>
      </w:r>
      <w:r w:rsidR="00970E2B" w:rsidRPr="00970E2B">
        <w:rPr>
          <w:color w:val="000000"/>
        </w:rPr>
        <w:t xml:space="preserve">Za visokorizične UI sustave koji se u skladu s Aktom o UI-ju registriraju na nacionalnoj razini osigurat će se odgovarajući nacionalni postupak registracije. </w:t>
      </w:r>
      <w:r w:rsidR="00B8112B" w:rsidRPr="00B8112B">
        <w:rPr>
          <w:color w:val="000000"/>
        </w:rPr>
        <w:t xml:space="preserve">Obrada </w:t>
      </w:r>
      <w:r w:rsidR="00B8112B" w:rsidRPr="00B8112B">
        <w:rPr>
          <w:color w:val="000000"/>
        </w:rPr>
        <w:lastRenderedPageBreak/>
        <w:t>osobnih podataka u okviru registra i povezanih postupaka provodit će se u skladu s propisima o zaštiti osobnih podataka.</w:t>
      </w:r>
      <w:r w:rsidR="00B8112B">
        <w:rPr>
          <w:color w:val="000000"/>
        </w:rPr>
        <w:t xml:space="preserve"> </w:t>
      </w:r>
      <w:r w:rsidR="00970E2B" w:rsidRPr="00970E2B">
        <w:rPr>
          <w:color w:val="000000"/>
        </w:rPr>
        <w:t>Razvit će se standardi razumljivog objašnjenja i dokumentiranja odluka, kao i postupci za preispitivanje, pritužbe i pravnu zaštitu. Transparentnost će se provoditi razmjerno riziku, uz očuvanje sigurnosti, poslovnih tajni i drugih zakonom zaštićenih interesa.</w:t>
      </w:r>
    </w:p>
    <w:p w14:paraId="10542813" w14:textId="796F392C" w:rsidR="00847EE4" w:rsidRPr="00A609CA" w:rsidRDefault="00847EE4" w:rsidP="00E57CAB">
      <w:pPr>
        <w:pStyle w:val="Tijeloteksta"/>
        <w:spacing w:before="301" w:line="276" w:lineRule="auto"/>
        <w:ind w:right="283"/>
        <w:jc w:val="both"/>
      </w:pPr>
      <w:r>
        <w:rPr>
          <w:b/>
          <w:bCs/>
        </w:rPr>
        <w:t>Prioritet 3.4. Regulatorna izolirana okruženja kao potpora odgovornim inovacijama</w:t>
      </w:r>
      <w:r>
        <w:t xml:space="preserve"> – </w:t>
      </w:r>
      <w:r w:rsidR="009650C6" w:rsidRPr="009650C6">
        <w:t>Regulatorna izolirana okruženja omogućit će razvoj i testiranje UI rješenja u kontroliranim uvjetima, uz regulatornu, etičku i tehničku potporu. Najmanje jedno regulatorno izolirano okruženje uspostavit će se i biti operativno do 2. kolovoza 2027., u skladu s rokom utvrđenim Aktom o UI-ju. Njihova je svrha rano prepoznati pravne i sigurnosne rizike, provjeriti usklađenost, razviti zajedničko razumijevanje regulatornih zahtjeva te smanjiti trošak i neizvjesnost uvođenja inovacija. Pristup će biti posebno važan za MSP-ove, startupove, istraživačke organizacije i javne institucije koje nemaju vlastite specijalizirane regulatorne kapacitete. Naučene lekcije koristit će se za razvoj smjernica i ujednačavanje prakse.</w:t>
      </w:r>
      <w:r>
        <w:t>.</w:t>
      </w:r>
    </w:p>
    <w:p w14:paraId="10281085" w14:textId="2CBE0960" w:rsidR="00D22E75" w:rsidRPr="009D0F6F" w:rsidRDefault="00847EE4" w:rsidP="00E57CAB">
      <w:pPr>
        <w:pStyle w:val="Tijeloteksta"/>
        <w:spacing w:before="301" w:line="276" w:lineRule="auto"/>
        <w:ind w:right="283"/>
        <w:jc w:val="both"/>
        <w:rPr>
          <w:color w:val="000000"/>
        </w:rPr>
      </w:pPr>
      <w:r>
        <w:rPr>
          <w:b/>
          <w:bCs/>
        </w:rPr>
        <w:t>Prioritet 3.5. Razvoj etičkih kapaciteta i kulture odgovorne primjene UI-ja</w:t>
      </w:r>
      <w:r>
        <w:t xml:space="preserve"> – </w:t>
      </w:r>
      <w:r>
        <w:rPr>
          <w:color w:val="000000"/>
        </w:rPr>
        <w:t xml:space="preserve">Etička, pravna i društvena pitanja integrirat će se u razvoj i uporabu UI sustava od najranijih faza i neće se tretirati kao naknadna formalna obveza. Razvijat će se edukacije, kodeksi ponašanja, sektorske smjernice i zajednice prakse za službenike, rukovoditelje, regulatore, suce, inspektore, istraživače i poduzeća. </w:t>
      </w:r>
      <w:r w:rsidR="007009B6" w:rsidRPr="007009B6">
        <w:rPr>
          <w:color w:val="000000"/>
        </w:rPr>
        <w:t>Posebno će se razviti smjernice za sigurnu i odgovornu uporabu generativnog UI-ja u javnom i privatnom sektoru. Smjernice će obuhvatiti razvrstavanje i zaštitu podataka prije njihova unošenja u UI sustave i javno dostupne UI usluge, zaštitu osobnih podataka, poslovnih tajni i prava intelektualnog vlasništva, upravljanje unosom i pristupom podacima, provjeru točnosti i vjerodostojnosti generiranih rezultata te jasno određivanje ljudske odgovornosti za njihovu uporabu.</w:t>
      </w:r>
      <w:r w:rsidR="007009B6">
        <w:rPr>
          <w:color w:val="000000"/>
        </w:rPr>
        <w:t xml:space="preserve"> </w:t>
      </w:r>
      <w:r>
        <w:rPr>
          <w:color w:val="000000"/>
        </w:rPr>
        <w:t>Posebna će se pozornost usmjeriti na ljudsku odgovornost, pristranost, kvalitetu podataka, sigurnost, zaštitu ranjivih skupina i procjenu društvenih učinaka. Kultura odgovorne primjene povezivat će se s UI pismenošću građana i službenika te s transparentnim javnim dijalogom.</w:t>
      </w:r>
    </w:p>
    <w:p w14:paraId="7D3877A9" w14:textId="162DD8CA" w:rsidR="00D22E75" w:rsidRPr="00A609CA" w:rsidRDefault="00D22E75" w:rsidP="00D22E75">
      <w:pPr>
        <w:pStyle w:val="Tijeloteksta"/>
        <w:spacing w:before="301" w:line="276" w:lineRule="auto"/>
        <w:ind w:right="283"/>
        <w:jc w:val="both"/>
        <w:rPr>
          <w:b/>
          <w:bCs/>
        </w:rPr>
      </w:pPr>
      <w:r>
        <w:rPr>
          <w:b/>
          <w:bCs/>
        </w:rPr>
        <w:t>Prvo razdoblje provedbe 2026. – 2028.</w:t>
      </w:r>
    </w:p>
    <w:p w14:paraId="1F22FF36" w14:textId="618A999A" w:rsidR="00D22E75" w:rsidRPr="009D0F6F" w:rsidRDefault="00BC5207" w:rsidP="00E57CAB">
      <w:pPr>
        <w:pStyle w:val="Tijeloteksta"/>
        <w:spacing w:before="301" w:line="276" w:lineRule="auto"/>
        <w:ind w:right="283"/>
        <w:jc w:val="both"/>
        <w:rPr>
          <w:color w:val="000000"/>
        </w:rPr>
      </w:pPr>
      <w:r w:rsidRPr="00BC5207">
        <w:rPr>
          <w:color w:val="000000"/>
        </w:rPr>
        <w:t xml:space="preserve">Mjere u prvom provedbenom razdoblju fokusirat će se na uspostavu zakonskog, institucionalnog i operativnog okvira za provedbu Akta o UI-ju, </w:t>
      </w:r>
      <w:r w:rsidR="00864DB1" w:rsidRPr="00864DB1">
        <w:rPr>
          <w:color w:val="000000"/>
        </w:rPr>
        <w:t xml:space="preserve">uključujući donošenje i provedbu </w:t>
      </w:r>
      <w:r w:rsidR="00E766C2" w:rsidRPr="00E766C2">
        <w:rPr>
          <w:color w:val="000000"/>
        </w:rPr>
        <w:t>Zakona o provedbi Uredbe (EU) 2024/1689</w:t>
      </w:r>
      <w:r w:rsidR="00864DB1" w:rsidRPr="00864DB1">
        <w:rPr>
          <w:color w:val="000000"/>
        </w:rPr>
        <w:t>,</w:t>
      </w:r>
      <w:r w:rsidR="00864DB1">
        <w:rPr>
          <w:color w:val="000000"/>
        </w:rPr>
        <w:t xml:space="preserve"> </w:t>
      </w:r>
      <w:r w:rsidRPr="00BC5207">
        <w:rPr>
          <w:color w:val="000000"/>
        </w:rPr>
        <w:t>u skladu s rokovima njegove postupne primjene. Naglasak će biti na jasnom određivanju nadležnosti, koordinaciji regulatornih i nadzornih tijela te razvoju smjernica, postupaka i stručnih kapaciteta potrebnih za dosljednu i učinkovitu primjenu regulatornog okvira. U prvom provedbenom razdoblju provest će se i pripremne aktivnosti za primjenu zahtjeva i obveza za visokorizične UI sustave iz članka 6. stavka 2. i Priloga III., koji se primjenjuju od 2. prosinca 2027., uključujući pripremu nadležnih tijela, smjernica, postupaka i drugih provedbenih mehanizama potrebnih za pravodobnu primjenu tih zahtjeva.</w:t>
      </w:r>
    </w:p>
    <w:p w14:paraId="1CA57178" w14:textId="5F3547C6" w:rsidR="00D22E75" w:rsidRPr="009D0F6F" w:rsidRDefault="007462D5" w:rsidP="00E57CAB">
      <w:pPr>
        <w:pStyle w:val="Tijeloteksta"/>
        <w:spacing w:before="301" w:line="276" w:lineRule="auto"/>
        <w:ind w:right="283"/>
        <w:jc w:val="both"/>
        <w:rPr>
          <w:color w:val="000000"/>
        </w:rPr>
        <w:sectPr w:rsidR="00D22E75" w:rsidRPr="009D0F6F" w:rsidSect="00D22E75">
          <w:pgSz w:w="12240" w:h="15840"/>
          <w:pgMar w:top="792" w:right="720" w:bottom="792" w:left="792" w:header="360" w:footer="360" w:gutter="0"/>
          <w:cols w:space="720"/>
          <w:docGrid w:linePitch="272"/>
        </w:sectPr>
      </w:pPr>
      <w:r w:rsidRPr="007462D5">
        <w:rPr>
          <w:color w:val="000000"/>
        </w:rPr>
        <w:t>Usporedno će se uspostaviti model odgovornog upravljanja primjenom UI-ja u javnom sektoru, koji će obuhvatiti pravila upravljanja rizicima, podacima, transparentnošću, ljudskim nadzorom i odgovornošću tijekom cijelog životnog ciklusa UI sustava. U prvom će se provedbenom razdoblju uspostaviti i osigurati operativnost najmanje jednog regulatornog izoliranog okruženja do 2. kolovoza 2027., u skladu s Prioritetom 3.4. Time će se osigurati institucionalna osnova za zaštitu temeljnih prava i pravnu sigurnost, ali i za razvoj inovacija u skladu s jasnim i proporcionalnim pravilima</w:t>
      </w:r>
      <w:r>
        <w:rPr>
          <w:color w:val="000000"/>
        </w:rPr>
        <w:t>.</w:t>
      </w:r>
    </w:p>
    <w:p w14:paraId="754C01C4" w14:textId="65075FBF" w:rsidR="00BC4E56" w:rsidRPr="00A609CA" w:rsidRDefault="00BF5FDE" w:rsidP="00E57CAB">
      <w:pPr>
        <w:pStyle w:val="Tijeloteksta"/>
        <w:spacing w:before="301" w:line="276" w:lineRule="auto"/>
        <w:ind w:right="283"/>
        <w:jc w:val="both"/>
      </w:pPr>
      <w:r>
        <w:lastRenderedPageBreak/>
        <w:t>P</w:t>
      </w:r>
      <w:r w:rsidR="00F10D8F">
        <w:t>okazatelji ishoda Posebnog cilja 3.</w:t>
      </w:r>
    </w:p>
    <w:tbl>
      <w:tblPr>
        <w:tblW w:w="14255" w:type="dxa"/>
        <w:jc w:val="center"/>
        <w:tblBorders>
          <w:top w:val="single" w:sz="4" w:space="0" w:color="AABEC9"/>
          <w:left w:val="single" w:sz="4" w:space="0" w:color="AABEC9"/>
          <w:bottom w:val="single" w:sz="4" w:space="0" w:color="AABEC9"/>
          <w:right w:val="single" w:sz="4" w:space="0" w:color="AABEC9"/>
          <w:insideH w:val="single" w:sz="4" w:space="0" w:color="AABEC9"/>
          <w:insideV w:val="single" w:sz="4" w:space="0" w:color="AABEC9"/>
        </w:tblBorders>
        <w:tblLayout w:type="fixed"/>
        <w:tblLook w:val="04A0" w:firstRow="1" w:lastRow="0" w:firstColumn="1" w:lastColumn="0" w:noHBand="0" w:noVBand="1"/>
      </w:tblPr>
      <w:tblGrid>
        <w:gridCol w:w="5903"/>
        <w:gridCol w:w="1224"/>
        <w:gridCol w:w="3096"/>
        <w:gridCol w:w="2088"/>
        <w:gridCol w:w="1944"/>
      </w:tblGrid>
      <w:tr w:rsidR="00561DEC" w:rsidRPr="00561DEC" w14:paraId="39A15AE9" w14:textId="77777777" w:rsidTr="00BA2682">
        <w:trPr>
          <w:tblHeader/>
          <w:jc w:val="center"/>
        </w:trPr>
        <w:tc>
          <w:tcPr>
            <w:tcW w:w="5903"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7FECAE3E" w14:textId="42B8C1CC" w:rsidR="00BC4E56" w:rsidRPr="00561DEC" w:rsidRDefault="00BC4E56" w:rsidP="00BA2682">
            <w:pPr>
              <w:jc w:val="center"/>
              <w:rPr>
                <w:rFonts w:ascii="Times New Roman" w:hAnsi="Times New Roman" w:cs="Times New Roman"/>
                <w:sz w:val="24"/>
                <w:szCs w:val="24"/>
                <w:lang w:val="hr-HR"/>
              </w:rPr>
            </w:pPr>
            <w:r w:rsidRPr="00561DEC">
              <w:rPr>
                <w:rFonts w:ascii="Times New Roman" w:hAnsi="Times New Roman" w:cs="Times New Roman"/>
                <w:b/>
                <w:sz w:val="24"/>
                <w:szCs w:val="24"/>
                <w:lang w:val="hr-HR"/>
              </w:rPr>
              <w:t>Pokazatelj ishoda</w:t>
            </w:r>
            <w:r w:rsidR="005D5766">
              <w:rPr>
                <w:rFonts w:ascii="Times New Roman" w:hAnsi="Times New Roman" w:cs="Times New Roman"/>
                <w:b/>
                <w:sz w:val="24"/>
                <w:szCs w:val="24"/>
                <w:lang w:val="hr-HR"/>
              </w:rPr>
              <w:t xml:space="preserve">, </w:t>
            </w:r>
            <w:r w:rsidR="005D5766" w:rsidRPr="005D5766">
              <w:rPr>
                <w:rFonts w:ascii="Times New Roman" w:hAnsi="Times New Roman" w:cs="Times New Roman"/>
                <w:b/>
                <w:sz w:val="24"/>
                <w:szCs w:val="24"/>
                <w:lang w:val="hr-HR"/>
              </w:rPr>
              <w:t>kod u Biblioteci pokazatelja</w:t>
            </w:r>
          </w:p>
        </w:tc>
        <w:tc>
          <w:tcPr>
            <w:tcW w:w="122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35E56C0C" w14:textId="77777777" w:rsidR="00BC4E56" w:rsidRPr="00561DEC" w:rsidRDefault="00BC4E56" w:rsidP="00BA2682">
            <w:pPr>
              <w:jc w:val="center"/>
              <w:rPr>
                <w:rFonts w:ascii="Times New Roman" w:hAnsi="Times New Roman" w:cs="Times New Roman"/>
                <w:sz w:val="24"/>
                <w:szCs w:val="24"/>
                <w:lang w:val="hr-HR"/>
              </w:rPr>
            </w:pPr>
            <w:r w:rsidRPr="00561DEC">
              <w:rPr>
                <w:rFonts w:ascii="Times New Roman" w:hAnsi="Times New Roman" w:cs="Times New Roman"/>
                <w:b/>
                <w:sz w:val="24"/>
                <w:szCs w:val="24"/>
                <w:lang w:val="hr-HR"/>
              </w:rPr>
              <w:t>Jedinica mjere</w:t>
            </w:r>
          </w:p>
        </w:tc>
        <w:tc>
          <w:tcPr>
            <w:tcW w:w="309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3D6ED503" w14:textId="77777777" w:rsidR="00BC4E56" w:rsidRPr="00561DEC" w:rsidRDefault="00BC4E56" w:rsidP="00BA2682">
            <w:pPr>
              <w:jc w:val="center"/>
              <w:rPr>
                <w:rFonts w:ascii="Times New Roman" w:hAnsi="Times New Roman" w:cs="Times New Roman"/>
                <w:sz w:val="24"/>
                <w:szCs w:val="24"/>
                <w:lang w:val="hr-HR"/>
              </w:rPr>
            </w:pPr>
            <w:r w:rsidRPr="00561DEC">
              <w:rPr>
                <w:rFonts w:ascii="Times New Roman" w:hAnsi="Times New Roman" w:cs="Times New Roman"/>
                <w:b/>
                <w:sz w:val="24"/>
                <w:szCs w:val="24"/>
                <w:lang w:val="hr-HR"/>
              </w:rPr>
              <w:t>Izvor podataka</w:t>
            </w:r>
          </w:p>
        </w:tc>
        <w:tc>
          <w:tcPr>
            <w:tcW w:w="2088"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5FEEA6F5" w14:textId="77777777" w:rsidR="00BC4E56" w:rsidRPr="00561DEC" w:rsidRDefault="00BC4E56" w:rsidP="00BA2682">
            <w:pPr>
              <w:jc w:val="center"/>
              <w:rPr>
                <w:rFonts w:ascii="Times New Roman" w:hAnsi="Times New Roman" w:cs="Times New Roman"/>
                <w:sz w:val="24"/>
                <w:szCs w:val="24"/>
                <w:lang w:val="hr-HR"/>
              </w:rPr>
            </w:pPr>
            <w:r w:rsidRPr="00561DEC">
              <w:rPr>
                <w:rFonts w:ascii="Times New Roman" w:hAnsi="Times New Roman" w:cs="Times New Roman"/>
                <w:b/>
                <w:sz w:val="24"/>
                <w:szCs w:val="24"/>
                <w:lang w:val="hr-HR"/>
              </w:rPr>
              <w:t>Polazna vrijednost (godina)</w:t>
            </w:r>
          </w:p>
        </w:tc>
        <w:tc>
          <w:tcPr>
            <w:tcW w:w="194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61880129" w14:textId="77777777" w:rsidR="00BC4E56" w:rsidRPr="00561DEC" w:rsidRDefault="00BC4E56" w:rsidP="00BA2682">
            <w:pPr>
              <w:jc w:val="center"/>
              <w:rPr>
                <w:rFonts w:ascii="Times New Roman" w:hAnsi="Times New Roman" w:cs="Times New Roman"/>
                <w:sz w:val="24"/>
                <w:szCs w:val="24"/>
                <w:lang w:val="hr-HR"/>
              </w:rPr>
            </w:pPr>
            <w:r w:rsidRPr="00561DEC">
              <w:rPr>
                <w:rFonts w:ascii="Times New Roman" w:hAnsi="Times New Roman" w:cs="Times New Roman"/>
                <w:b/>
                <w:sz w:val="24"/>
                <w:szCs w:val="24"/>
                <w:lang w:val="hr-HR"/>
              </w:rPr>
              <w:t>Ciljna vrijednost (2032.)</w:t>
            </w:r>
          </w:p>
        </w:tc>
      </w:tr>
      <w:tr w:rsidR="00C75B11" w:rsidRPr="00561DEC" w14:paraId="1C7E1C50"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E296E63" w14:textId="152D6292" w:rsidR="00C75B11" w:rsidRPr="00561DEC" w:rsidRDefault="00C75B11" w:rsidP="00C75B11">
            <w:pPr>
              <w:rPr>
                <w:rFonts w:ascii="Times New Roman" w:hAnsi="Times New Roman" w:cs="Times New Roman"/>
                <w:sz w:val="24"/>
                <w:szCs w:val="24"/>
                <w:lang w:val="hr-HR"/>
              </w:rPr>
            </w:pPr>
            <w:r w:rsidRPr="00C75B11">
              <w:rPr>
                <w:rFonts w:ascii="Times New Roman" w:hAnsi="Times New Roman" w:cs="Times New Roman"/>
                <w:sz w:val="24"/>
                <w:szCs w:val="24"/>
                <w:lang w:val="hr-HR"/>
              </w:rPr>
              <w:t>3.1. Udio prijavljenih ozbiljnih incidenata visokorizičnih sustava umjetne inteligencije za koje je nadležno tijelo poduzelo odgovarajuće mjere u roku od sedam dana od zaprimanja prijave, sukladno članku 73. stavku 8. Akta o UI-ju, OI.02.7.54</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67CD2B0" w14:textId="6A6899EF"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DAB7431" w14:textId="49E65910" w:rsidR="00C75B11" w:rsidRPr="00561DEC" w:rsidRDefault="00C75B11" w:rsidP="00C75B11">
            <w:pPr>
              <w:rPr>
                <w:rFonts w:ascii="Times New Roman" w:hAnsi="Times New Roman" w:cs="Times New Roman"/>
                <w:sz w:val="24"/>
                <w:szCs w:val="24"/>
                <w:lang w:val="hr-HR"/>
              </w:rPr>
            </w:pPr>
            <w:r w:rsidRPr="00561DEC">
              <w:rPr>
                <w:rFonts w:ascii="Times New Roman" w:hAnsi="Times New Roman" w:cs="Times New Roman"/>
                <w:sz w:val="24"/>
                <w:szCs w:val="24"/>
                <w:lang w:val="hr-HR"/>
              </w:rPr>
              <w:t>Nadležno tijelo za nadzor tržišta / nacionalni sustav prijave ozbiljnih incidenata</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59555DD" w14:textId="31B14449"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Nije dostupna – administrativni sustav još nije uspostavljen</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D0BE5DE" w14:textId="78957EA8"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100 %</w:t>
            </w:r>
          </w:p>
        </w:tc>
      </w:tr>
      <w:tr w:rsidR="00C75B11" w:rsidRPr="00561DEC" w14:paraId="0A991BDA"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D10F86A" w14:textId="59E36145" w:rsidR="00C75B11" w:rsidRPr="00561DEC" w:rsidRDefault="00C75B11" w:rsidP="00C75B11">
            <w:pPr>
              <w:rPr>
                <w:rFonts w:ascii="Times New Roman" w:hAnsi="Times New Roman" w:cs="Times New Roman"/>
                <w:sz w:val="24"/>
                <w:szCs w:val="24"/>
                <w:lang w:val="hr-HR"/>
              </w:rPr>
            </w:pPr>
            <w:r w:rsidRPr="00C75B11">
              <w:rPr>
                <w:rFonts w:ascii="Times New Roman" w:hAnsi="Times New Roman" w:cs="Times New Roman"/>
                <w:sz w:val="24"/>
                <w:szCs w:val="24"/>
                <w:lang w:val="hr-HR"/>
              </w:rPr>
              <w:t>3.2. Udio građana koji smatraju da se digitalna prava i načela dobro primjenjuju u smislu ostvarivanja učinkovite slobode izbora na internetu, uključujući interakciju sa sustavima umjetne inteligencije, OI.02.7.55</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F16BBB1" w14:textId="77777777"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62B768E" w14:textId="6DF20B38" w:rsidR="00C75B11" w:rsidRPr="00561DEC" w:rsidRDefault="00C75B11" w:rsidP="00C75B11">
            <w:pPr>
              <w:rPr>
                <w:rFonts w:ascii="Times New Roman" w:hAnsi="Times New Roman" w:cs="Times New Roman"/>
                <w:i/>
                <w:iCs/>
                <w:sz w:val="24"/>
                <w:szCs w:val="24"/>
                <w:lang w:val="hr-HR"/>
              </w:rPr>
            </w:pPr>
            <w:r w:rsidRPr="00561DEC">
              <w:rPr>
                <w:rFonts w:ascii="Times New Roman" w:hAnsi="Times New Roman" w:cs="Times New Roman"/>
                <w:sz w:val="24"/>
                <w:szCs w:val="24"/>
                <w:lang w:val="hr-HR"/>
              </w:rPr>
              <w:t>Europska komisija – Posebno izvješće Eurobarometra 566, Izvješće o digitalnom desetljeću 2025.</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C6FE5CC" w14:textId="79A55096"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69 % (2025.)</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BCFB680" w14:textId="77777777"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75 %</w:t>
            </w:r>
          </w:p>
        </w:tc>
      </w:tr>
      <w:tr w:rsidR="00C75B11" w:rsidRPr="00561DEC" w14:paraId="13C8611F"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2ECE3B62" w14:textId="353F0AB0" w:rsidR="00C75B11" w:rsidRPr="00C75B11" w:rsidRDefault="00C75B11" w:rsidP="00C75B11">
            <w:pPr>
              <w:rPr>
                <w:rFonts w:ascii="Times New Roman" w:hAnsi="Times New Roman" w:cs="Times New Roman"/>
                <w:sz w:val="24"/>
                <w:szCs w:val="24"/>
                <w:lang w:val="hr-HR"/>
              </w:rPr>
            </w:pPr>
            <w:r w:rsidRPr="00C75B11">
              <w:rPr>
                <w:rFonts w:ascii="Times New Roman" w:hAnsi="Times New Roman" w:cs="Times New Roman"/>
                <w:sz w:val="24"/>
                <w:szCs w:val="24"/>
                <w:lang w:val="hr-HR"/>
              </w:rPr>
              <w:t>3.3. Udio visokorizičnih sustava umjetne inteligencije koje uvode tijela javnog prava i na koje se primjenjuje obveza iz članka 27. Akta o UI-ju, za koje je prije prve uporabe provedena procjena učinka na temeljna prava, OI.02.7.53</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8C8F97E" w14:textId="77777777"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11816EA" w14:textId="5374380A" w:rsidR="00C75B11" w:rsidRPr="00561DEC" w:rsidRDefault="00C75B11" w:rsidP="00C75B11">
            <w:pPr>
              <w:rPr>
                <w:rFonts w:ascii="Times New Roman" w:hAnsi="Times New Roman" w:cs="Times New Roman"/>
                <w:sz w:val="24"/>
                <w:szCs w:val="24"/>
                <w:lang w:val="hr-HR"/>
              </w:rPr>
            </w:pPr>
            <w:r w:rsidRPr="00561DEC">
              <w:rPr>
                <w:rFonts w:ascii="Times New Roman" w:hAnsi="Times New Roman" w:cs="Times New Roman"/>
                <w:sz w:val="24"/>
                <w:szCs w:val="24"/>
                <w:lang w:val="hr-HR"/>
              </w:rPr>
              <w:t>Nadležno tijelo za nadzor tržišta – administrativna evidencija obavijesti o rezultatima procjena učinka na temeljna prava</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433D510" w14:textId="2B1ACC87"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Nije dostupna – administrativni sustav još nije uspostavljen</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381C0A6" w14:textId="3E252BF0" w:rsidR="00C75B11" w:rsidRPr="00561DEC" w:rsidRDefault="00C75B11" w:rsidP="00C75B11">
            <w:pPr>
              <w:jc w:val="center"/>
              <w:rPr>
                <w:rFonts w:ascii="Times New Roman" w:hAnsi="Times New Roman" w:cs="Times New Roman"/>
                <w:sz w:val="24"/>
                <w:szCs w:val="24"/>
                <w:lang w:val="hr-HR"/>
              </w:rPr>
            </w:pPr>
            <w:r w:rsidRPr="00561DEC">
              <w:rPr>
                <w:rFonts w:ascii="Times New Roman" w:hAnsi="Times New Roman" w:cs="Times New Roman"/>
                <w:sz w:val="24"/>
                <w:szCs w:val="24"/>
                <w:lang w:val="hr-HR"/>
              </w:rPr>
              <w:t>100 %</w:t>
            </w:r>
          </w:p>
        </w:tc>
      </w:tr>
    </w:tbl>
    <w:p w14:paraId="09429A50" w14:textId="77777777" w:rsidR="00BC4E56" w:rsidRPr="00A609CA" w:rsidRDefault="00BC4E56" w:rsidP="00BC4E56">
      <w:pPr>
        <w:spacing w:after="0"/>
        <w:rPr>
          <w:rFonts w:ascii="Times New Roman" w:hAnsi="Times New Roman" w:cs="Times New Roman"/>
          <w:sz w:val="24"/>
          <w:szCs w:val="24"/>
          <w:lang w:val="hr-HR"/>
        </w:rPr>
      </w:pPr>
    </w:p>
    <w:p w14:paraId="5B269D71" w14:textId="726AEAD1" w:rsidR="00BC4E56" w:rsidRPr="009D0F6F" w:rsidRDefault="00B35A09" w:rsidP="00E57CAB">
      <w:pPr>
        <w:pStyle w:val="Tijeloteksta"/>
        <w:spacing w:before="301" w:line="276" w:lineRule="auto"/>
        <w:ind w:right="283"/>
        <w:jc w:val="both"/>
        <w:rPr>
          <w:color w:val="000000"/>
        </w:rPr>
      </w:pPr>
      <w:r w:rsidRPr="00860E66">
        <w:rPr>
          <w:color w:val="000000"/>
        </w:rPr>
        <w:t xml:space="preserve">Pojedini pokazatelji ishoda odnose se na nova ili proširena područja politike u kojima početne vrijednosti mjerenja još nisu u potpunosti uspostavljene na međunarodnoj ili nacionalnoj razini. </w:t>
      </w:r>
      <w:r w:rsidR="00290DC4" w:rsidRPr="00290DC4">
        <w:rPr>
          <w:color w:val="000000"/>
        </w:rPr>
        <w:t>Za pokazatelje za koje na početku razdoblja provedbe ne postoji uspostavljen administrativni sustav praćenja polazna vrijednost iskazuje se kao „nije dostupna”</w:t>
      </w:r>
      <w:r w:rsidR="00CA65FF">
        <w:rPr>
          <w:color w:val="000000"/>
        </w:rPr>
        <w:t>, a s</w:t>
      </w:r>
      <w:r w:rsidR="00D14FB0" w:rsidRPr="00D14FB0">
        <w:rPr>
          <w:color w:val="000000"/>
        </w:rPr>
        <w:t>ustavi prikupljanja i evidentiranja podataka potrebnih za praćenje tih pokazatelja uspostavit će se najkasnije do kraja 2027. godine,</w:t>
      </w:r>
      <w:r w:rsidR="00290DC4" w:rsidRPr="00290DC4">
        <w:rPr>
          <w:color w:val="000000"/>
        </w:rPr>
        <w:t xml:space="preserve"> u skladu s relevantnim europskim i međunarodnim okvirima. </w:t>
      </w:r>
    </w:p>
    <w:p w14:paraId="0D8F2169" w14:textId="77777777" w:rsidR="00BC4E56" w:rsidRPr="00860E66" w:rsidRDefault="00BC4E56" w:rsidP="00896667">
      <w:pPr>
        <w:pStyle w:val="Tijeloteksta"/>
        <w:spacing w:before="301" w:line="276" w:lineRule="auto"/>
        <w:ind w:right="283"/>
        <w:jc w:val="both"/>
      </w:pPr>
    </w:p>
    <w:p w14:paraId="32244D6C" w14:textId="77777777" w:rsidR="00BC4E56" w:rsidRPr="00A609CA" w:rsidRDefault="00BC4E56" w:rsidP="00BC4E56">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sectPr w:rsidR="00BC4E56" w:rsidRPr="00A609CA" w:rsidSect="00BC4E56">
          <w:pgSz w:w="15840" w:h="12240" w:orient="landscape"/>
          <w:pgMar w:top="792" w:right="792" w:bottom="720" w:left="792" w:header="360" w:footer="360" w:gutter="0"/>
          <w:cols w:space="720"/>
          <w:docGrid w:linePitch="272"/>
        </w:sectPr>
      </w:pPr>
    </w:p>
    <w:p w14:paraId="1F1805C3" w14:textId="506B4D49" w:rsidR="00BC4E56" w:rsidRPr="00A609CA" w:rsidRDefault="00E95173" w:rsidP="000405F0">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49" w:name="_Toc236064841"/>
      <w:bookmarkStart w:id="50" w:name="_Toc242947270"/>
      <w:r>
        <w:rPr>
          <w:rFonts w:ascii="Times New Roman" w:eastAsia="Times New Roman" w:hAnsi="Times New Roman" w:cs="Times New Roman"/>
          <w:b/>
          <w:bCs/>
          <w:color w:val="auto"/>
          <w:lang w:val="hr-HR"/>
        </w:rPr>
        <w:lastRenderedPageBreak/>
        <w:t>3</w:t>
      </w:r>
      <w:r w:rsidR="00BC4E56">
        <w:rPr>
          <w:rFonts w:ascii="Times New Roman" w:eastAsia="Times New Roman" w:hAnsi="Times New Roman" w:cs="Times New Roman"/>
          <w:b/>
          <w:bCs/>
          <w:color w:val="auto"/>
          <w:lang w:val="hr-HR"/>
        </w:rPr>
        <w:t>.6. Posebni cilj 4. Poticati istraživanje, inovacije, razvoj i primjenu UI-ja u gospodarstvu</w:t>
      </w:r>
      <w:bookmarkEnd w:id="49"/>
      <w:bookmarkEnd w:id="50"/>
    </w:p>
    <w:p w14:paraId="77A1BD50" w14:textId="5E7CC43E" w:rsidR="00BC4E56" w:rsidRPr="009D0F6F" w:rsidRDefault="00B35A09" w:rsidP="00E57CAB">
      <w:pPr>
        <w:pStyle w:val="Tijeloteksta"/>
        <w:spacing w:before="301" w:line="276" w:lineRule="auto"/>
        <w:ind w:right="283"/>
        <w:jc w:val="both"/>
        <w:rPr>
          <w:color w:val="000000"/>
        </w:rPr>
      </w:pPr>
      <w:r>
        <w:rPr>
          <w:color w:val="000000"/>
        </w:rPr>
        <w:t>Ovim posebnim ciljem odgovara se na sporije usvajanje UI-ja u hrvatskim poduzećima, ograničen prijenos znanja i tehnologije iz znanstveno-istraživačkog sustava na tržište, nedostatak kapitala za razvoj i skaliranje UI rješenja te regulatornu neizvjesnost, osobito među MSP-ovima. Bez ciljanih intervencija postoji rizik da se primjena UI-ja zadrži na pojedinačnim alatima i uvoznim rješenjima, uz ograničene učinke na produktivnost, inovacije i izvoz.</w:t>
      </w:r>
      <w:r w:rsidR="000F6E2A">
        <w:rPr>
          <w:color w:val="000000"/>
        </w:rPr>
        <w:t xml:space="preserve"> </w:t>
      </w:r>
      <w:r w:rsidR="000F6E2A" w:rsidRPr="000F6E2A">
        <w:rPr>
          <w:color w:val="000000"/>
        </w:rPr>
        <w:t>UI će se u okviru ovoga posebnog cilja razvijati i primjenjivati kao sastavni dio šire digitalne transformacije gospodarstva, osobito u industriji 4.0, naprednoj proizvodnji, automatizaciji poslovnih procesa, podatkovnom gospodarstvu, digitalizaciji opskrbnih lanaca te razvoju proizvoda i usluga visoke dodane vrijednosti. Uspješna primjena UI-ja pritom ovisi o odgovarajućoj razini digitalne zrelosti poduzeća, kvalitetnim i dostupnim podacima, povezanim digitalnim sustavima i potrebnim kompetencijama.</w:t>
      </w:r>
    </w:p>
    <w:p w14:paraId="12E89E1A" w14:textId="0D94B4C6" w:rsidR="00BC4E56" w:rsidRPr="009D0F6F" w:rsidRDefault="00B35A09" w:rsidP="00E57CAB">
      <w:pPr>
        <w:pStyle w:val="Tijeloteksta"/>
        <w:spacing w:before="301" w:line="276" w:lineRule="auto"/>
        <w:ind w:right="283"/>
        <w:jc w:val="both"/>
        <w:rPr>
          <w:color w:val="000000"/>
        </w:rPr>
      </w:pPr>
      <w:r>
        <w:rPr>
          <w:color w:val="000000"/>
        </w:rPr>
        <w:t xml:space="preserve">Cilj je uspostaviti povezan i međunarodno konkurentan inovacijski ekosustav koji poduzećima omogućuje postupni put od procjene potreba i razvoja kompetencija, preko testiranja i pilotiranja, do financiranja implementacije, komercijalizacije i skaliranja UI rješenja. Javne potpore trebaju smanjiti početne rizike i privući dodatna privatna ulaganja, a ne zamijeniti ih. Poseban naglasak stavit će na MSP-ove, </w:t>
      </w:r>
      <w:r>
        <w:rPr>
          <w:i/>
          <w:color w:val="000000"/>
        </w:rPr>
        <w:t>startupove</w:t>
      </w:r>
      <w:r>
        <w:rPr>
          <w:color w:val="000000"/>
        </w:rPr>
        <w:t xml:space="preserve"> i </w:t>
      </w:r>
      <w:r>
        <w:rPr>
          <w:i/>
          <w:color w:val="000000"/>
        </w:rPr>
        <w:t>scale-up</w:t>
      </w:r>
      <w:r>
        <w:rPr>
          <w:color w:val="000000"/>
        </w:rPr>
        <w:t xml:space="preserve"> poduzeća, prijenos tehnologije, inovativnu javnu nabavu i sudjelovanje u europskim lancima vrijednosti.</w:t>
      </w:r>
    </w:p>
    <w:p w14:paraId="2088F285" w14:textId="1A606CCC" w:rsidR="00F00165" w:rsidRDefault="00B35A09" w:rsidP="00E57CAB">
      <w:pPr>
        <w:pStyle w:val="Tijeloteksta"/>
        <w:spacing w:before="301" w:line="276" w:lineRule="auto"/>
        <w:ind w:right="283"/>
        <w:jc w:val="both"/>
        <w:rPr>
          <w:color w:val="000000"/>
        </w:rPr>
      </w:pPr>
      <w:r>
        <w:rPr>
          <w:color w:val="000000"/>
        </w:rPr>
        <w:t>Do 2032. UI treba postati široko primjenjivana tehnologija u hrvatskom gospodarstvu, s mjerljivim doprinosom produktivnosti, razvoju proizvoda i usluga visoke dodane vrijednosti, izvozu i otvaranju kvalitetnih radnih mjesta. Ovim posebnim ciljem stvaraju se uvjeti da ulaganja u ljudske potencijale, podatke, računalnu infrastrukturu i odgovorno upravljanje UI-jem rezultiraju konkretnim gospodarskim učincima. Potporom istraživanju i razvoju, transferu tehnologije, financiranju, testiranju i uvođenju UI rješenja poticat će se rast produktivnosti, razvoj proizvoda i usluga veće dodane vrijednosti te jačanje konkurentnosti hrvatskih poduzeća.</w:t>
      </w:r>
    </w:p>
    <w:p w14:paraId="6028420D" w14:textId="77777777" w:rsidR="00CA65FF" w:rsidRPr="00CA65FF" w:rsidRDefault="00CA65FF" w:rsidP="00CA65FF">
      <w:pPr>
        <w:pStyle w:val="Tijeloteksta"/>
        <w:spacing w:before="301" w:line="276" w:lineRule="auto"/>
        <w:ind w:left="540" w:right="283"/>
        <w:jc w:val="both"/>
        <w:rPr>
          <w:color w:val="000000"/>
        </w:rPr>
      </w:pPr>
    </w:p>
    <w:tbl>
      <w:tblPr>
        <w:tblW w:w="0" w:type="auto"/>
        <w:jc w:val="center"/>
        <w:tblBorders>
          <w:top w:val="single" w:sz="6" w:space="0" w:color="8FAFC2"/>
          <w:left w:val="single" w:sz="6" w:space="0" w:color="8FAFC2"/>
          <w:bottom w:val="single" w:sz="6" w:space="0" w:color="8FAFC2"/>
          <w:right w:val="single" w:sz="6" w:space="0" w:color="8FAFC2"/>
          <w:insideH w:val="single" w:sz="6" w:space="0" w:color="8FAFC2"/>
          <w:insideV w:val="single" w:sz="6" w:space="0" w:color="8FAFC2"/>
        </w:tblBorders>
        <w:tblLayout w:type="fixed"/>
        <w:tblLook w:val="04A0" w:firstRow="1" w:lastRow="0" w:firstColumn="1" w:lastColumn="0" w:noHBand="0" w:noVBand="1"/>
      </w:tblPr>
      <w:tblGrid>
        <w:gridCol w:w="9432"/>
      </w:tblGrid>
      <w:tr w:rsidR="00BC4E56" w:rsidRPr="00E070B0" w14:paraId="399D9C57" w14:textId="77777777" w:rsidTr="00BA2682">
        <w:trPr>
          <w:jc w:val="center"/>
        </w:trPr>
        <w:tc>
          <w:tcPr>
            <w:tcW w:w="9432" w:type="dxa"/>
            <w:tcBorders>
              <w:top w:val="single" w:sz="6" w:space="0" w:color="8FAFC2"/>
              <w:left w:val="single" w:sz="6" w:space="0" w:color="8FAFC2"/>
              <w:bottom w:val="single" w:sz="6" w:space="0" w:color="8FAFC2"/>
              <w:right w:val="single" w:sz="6" w:space="0" w:color="8FAFC2"/>
            </w:tcBorders>
            <w:shd w:val="clear" w:color="auto" w:fill="EAF2F7"/>
            <w:tcMar>
              <w:top w:w="150" w:type="dxa"/>
              <w:left w:w="160" w:type="dxa"/>
              <w:bottom w:w="150" w:type="dxa"/>
              <w:right w:w="160" w:type="dxa"/>
            </w:tcMar>
            <w:hideMark/>
          </w:tcPr>
          <w:p w14:paraId="25B8489C" w14:textId="77777777" w:rsidR="00BC4E56" w:rsidRPr="00A609CA" w:rsidRDefault="00BC4E56" w:rsidP="00BA2682">
            <w:pPr>
              <w:spacing w:after="80"/>
              <w:rPr>
                <w:rFonts w:ascii="Times New Roman" w:hAnsi="Times New Roman" w:cs="Times New Roman"/>
                <w:sz w:val="24"/>
                <w:szCs w:val="24"/>
                <w:lang w:val="hr-HR"/>
              </w:rPr>
            </w:pPr>
            <w:r>
              <w:rPr>
                <w:rFonts w:ascii="Times New Roman" w:hAnsi="Times New Roman" w:cs="Times New Roman"/>
                <w:b/>
                <w:color w:val="1E4A62"/>
                <w:sz w:val="24"/>
                <w:szCs w:val="24"/>
                <w:lang w:val="hr-HR"/>
              </w:rPr>
              <w:t>OČEKIVANE PROMJENE DO 2032. GODINE</w:t>
            </w:r>
          </w:p>
          <w:p w14:paraId="29C660DD" w14:textId="1530A097" w:rsidR="00BC4E56" w:rsidRPr="00A609CA" w:rsidRDefault="00C95245" w:rsidP="00BA2682">
            <w:pPr>
              <w:pStyle w:val="Grafikeoznake"/>
              <w:spacing w:after="40"/>
              <w:rPr>
                <w:rFonts w:ascii="Times New Roman" w:hAnsi="Times New Roman" w:cs="Times New Roman"/>
                <w:sz w:val="24"/>
                <w:szCs w:val="24"/>
                <w:lang w:val="hr-HR"/>
              </w:rPr>
            </w:pPr>
            <w:r>
              <w:rPr>
                <w:rFonts w:ascii="Times New Roman" w:hAnsi="Times New Roman" w:cs="Times New Roman"/>
                <w:sz w:val="24"/>
                <w:szCs w:val="24"/>
                <w:lang w:val="hr-HR"/>
              </w:rPr>
              <w:t>Znatno veći udio poduzeća koja sustavno koriste UI u poslovnim procesima.</w:t>
            </w:r>
          </w:p>
          <w:p w14:paraId="3A7ED01C" w14:textId="1DD75C83" w:rsidR="00BC4E56" w:rsidRPr="00A609CA" w:rsidRDefault="00C95245" w:rsidP="00BA2682">
            <w:pPr>
              <w:pStyle w:val="Grafikeoznake"/>
              <w:spacing w:after="40"/>
              <w:rPr>
                <w:rFonts w:ascii="Times New Roman" w:hAnsi="Times New Roman" w:cs="Times New Roman"/>
                <w:sz w:val="24"/>
                <w:szCs w:val="24"/>
                <w:lang w:val="hr-HR"/>
              </w:rPr>
            </w:pPr>
            <w:r>
              <w:rPr>
                <w:rFonts w:ascii="Times New Roman" w:hAnsi="Times New Roman" w:cs="Times New Roman"/>
                <w:sz w:val="24"/>
                <w:szCs w:val="24"/>
                <w:lang w:val="hr-HR"/>
              </w:rPr>
              <w:t>Rast javnih i privatnih ulaganja u istraživanje, razvoj i primjenu UI-ja.</w:t>
            </w:r>
          </w:p>
          <w:p w14:paraId="2E028323" w14:textId="1CE7B758" w:rsidR="00BC4E56" w:rsidRPr="00A609CA" w:rsidRDefault="00B35A09" w:rsidP="00BA2682">
            <w:pPr>
              <w:pStyle w:val="Grafikeoznake"/>
              <w:spacing w:after="40"/>
              <w:rPr>
                <w:rFonts w:ascii="Times New Roman" w:hAnsi="Times New Roman" w:cs="Times New Roman"/>
                <w:sz w:val="24"/>
                <w:szCs w:val="24"/>
                <w:lang w:val="hr-HR"/>
              </w:rPr>
            </w:pPr>
            <w:r>
              <w:rPr>
                <w:rFonts w:ascii="Times New Roman" w:hAnsi="Times New Roman"/>
                <w:color w:val="000000"/>
                <w:sz w:val="24"/>
                <w:lang w:val="hr-HR"/>
              </w:rPr>
              <w:t>Više domaćih proizvoda</w:t>
            </w:r>
            <w:r>
              <w:rPr>
                <w:rFonts w:ascii="Times New Roman" w:hAnsi="Times New Roman" w:cs="Times New Roman"/>
                <w:color w:val="000000"/>
                <w:sz w:val="24"/>
                <w:szCs w:val="24"/>
                <w:lang w:val="hr-HR"/>
              </w:rPr>
              <w:t xml:space="preserve"> UI-ja</w:t>
            </w:r>
            <w:r>
              <w:rPr>
                <w:rFonts w:ascii="Times New Roman" w:hAnsi="Times New Roman"/>
                <w:color w:val="000000"/>
                <w:sz w:val="24"/>
                <w:lang w:val="hr-HR"/>
              </w:rPr>
              <w:t xml:space="preserve">, </w:t>
            </w:r>
            <w:r>
              <w:rPr>
                <w:rFonts w:ascii="Times New Roman" w:hAnsi="Times New Roman" w:cs="Times New Roman"/>
                <w:i/>
                <w:iCs/>
                <w:sz w:val="24"/>
                <w:szCs w:val="24"/>
                <w:lang w:val="hr-HR"/>
              </w:rPr>
              <w:t>startupova</w:t>
            </w:r>
            <w:r>
              <w:rPr>
                <w:rFonts w:ascii="Times New Roman" w:hAnsi="Times New Roman" w:cs="Times New Roman"/>
                <w:sz w:val="24"/>
                <w:szCs w:val="24"/>
                <w:lang w:val="hr-HR"/>
              </w:rPr>
              <w:t xml:space="preserve">, </w:t>
            </w:r>
            <w:r>
              <w:rPr>
                <w:rFonts w:ascii="Times New Roman" w:hAnsi="Times New Roman" w:cs="Times New Roman"/>
                <w:i/>
                <w:iCs/>
                <w:sz w:val="24"/>
                <w:szCs w:val="24"/>
                <w:lang w:val="hr-HR"/>
              </w:rPr>
              <w:t>spin-off</w:t>
            </w:r>
            <w:r>
              <w:rPr>
                <w:rFonts w:ascii="Times New Roman" w:hAnsi="Times New Roman" w:cs="Times New Roman"/>
                <w:sz w:val="24"/>
                <w:szCs w:val="24"/>
                <w:lang w:val="hr-HR"/>
              </w:rPr>
              <w:t xml:space="preserve"> i </w:t>
            </w:r>
            <w:r>
              <w:rPr>
                <w:rFonts w:ascii="Times New Roman" w:hAnsi="Times New Roman" w:cs="Times New Roman"/>
                <w:i/>
                <w:iCs/>
                <w:sz w:val="24"/>
                <w:szCs w:val="24"/>
                <w:lang w:val="hr-HR"/>
              </w:rPr>
              <w:t>scale-up</w:t>
            </w:r>
            <w:r>
              <w:rPr>
                <w:rFonts w:ascii="Times New Roman" w:hAnsi="Times New Roman" w:cs="Times New Roman"/>
                <w:sz w:val="24"/>
                <w:szCs w:val="24"/>
                <w:lang w:val="hr-HR"/>
              </w:rPr>
              <w:t xml:space="preserve"> poduzeća.</w:t>
            </w:r>
          </w:p>
          <w:p w14:paraId="316D9BB3" w14:textId="42C2F3E6" w:rsidR="00BC4E56" w:rsidRPr="00A609CA" w:rsidRDefault="00C95245" w:rsidP="00BA2682">
            <w:pPr>
              <w:pStyle w:val="Grafikeoznake"/>
              <w:spacing w:after="40"/>
              <w:rPr>
                <w:rFonts w:ascii="Times New Roman" w:hAnsi="Times New Roman" w:cs="Times New Roman"/>
                <w:sz w:val="24"/>
                <w:szCs w:val="24"/>
                <w:lang w:val="hr-HR"/>
              </w:rPr>
            </w:pPr>
            <w:r>
              <w:rPr>
                <w:rFonts w:ascii="Times New Roman" w:hAnsi="Times New Roman" w:cs="Times New Roman"/>
                <w:sz w:val="24"/>
                <w:szCs w:val="24"/>
                <w:lang w:val="hr-HR"/>
              </w:rPr>
              <w:t>Snažniji prijenos znanja i tehnologije iz znanstveno-istraživačkog sustava u gospodarstvo</w:t>
            </w:r>
          </w:p>
          <w:p w14:paraId="54FAEE87" w14:textId="4C13A8A7" w:rsidR="00BC4E56" w:rsidRPr="00A609CA" w:rsidRDefault="00C95245" w:rsidP="00BA2682">
            <w:pPr>
              <w:pStyle w:val="Grafikeoznake"/>
              <w:spacing w:after="40"/>
              <w:rPr>
                <w:lang w:val="hr-HR"/>
              </w:rPr>
            </w:pPr>
            <w:r>
              <w:rPr>
                <w:rFonts w:ascii="Times New Roman" w:hAnsi="Times New Roman" w:cs="Times New Roman"/>
                <w:sz w:val="24"/>
                <w:szCs w:val="24"/>
                <w:lang w:val="hr-HR"/>
              </w:rPr>
              <w:t>Značajnije sudjelovanje hrvatskih poduzeća u europskim projektima i lancima vrijednosti.</w:t>
            </w:r>
          </w:p>
        </w:tc>
      </w:tr>
    </w:tbl>
    <w:p w14:paraId="6E8393A3" w14:textId="77777777" w:rsidR="00BC4E56" w:rsidRPr="00A609CA" w:rsidRDefault="00BC4E56" w:rsidP="00BC4E56">
      <w:pPr>
        <w:spacing w:after="0"/>
        <w:rPr>
          <w:rFonts w:ascii="Calibri" w:hAnsi="Calibri"/>
          <w:sz w:val="21"/>
          <w:lang w:val="hr-HR"/>
        </w:rPr>
      </w:pPr>
    </w:p>
    <w:p w14:paraId="48C3D2D8" w14:textId="77777777" w:rsidR="00BC4E56" w:rsidRPr="00A609CA" w:rsidRDefault="00BC4E56" w:rsidP="00BC4E56">
      <w:pPr>
        <w:pStyle w:val="Tijeloteksta"/>
        <w:spacing w:before="301" w:line="276" w:lineRule="auto"/>
        <w:ind w:right="283"/>
        <w:jc w:val="both"/>
        <w:rPr>
          <w:b/>
          <w:bCs/>
        </w:rPr>
      </w:pPr>
      <w:r>
        <w:rPr>
          <w:b/>
          <w:bCs/>
        </w:rPr>
        <w:t>Prioriteti Posebnog cilja 4:</w:t>
      </w:r>
    </w:p>
    <w:p w14:paraId="1B7C8169" w14:textId="7FC9200F" w:rsidR="00BC4E56" w:rsidRPr="009D0F6F" w:rsidRDefault="00BC4E56" w:rsidP="00E57CAB">
      <w:pPr>
        <w:pStyle w:val="Tijeloteksta"/>
        <w:spacing w:before="301" w:line="276" w:lineRule="auto"/>
        <w:ind w:right="283"/>
        <w:jc w:val="both"/>
        <w:rPr>
          <w:color w:val="000000"/>
        </w:rPr>
      </w:pPr>
      <w:r>
        <w:rPr>
          <w:b/>
          <w:bCs/>
        </w:rPr>
        <w:t>Prioritet 4.1. Poticanje primjene UI-ja u gospodarstvu s naglaskom na MSP-ove</w:t>
      </w:r>
      <w:r>
        <w:t xml:space="preserve"> –</w:t>
      </w:r>
      <w:r>
        <w:rPr>
          <w:color w:val="000000"/>
        </w:rPr>
        <w:t xml:space="preserve"> Poduzećima će se pružati kombinirana financijska, tehnička i savjetodavna podrška prilagođena njihovoj digitalnoj i UI zrelosti. Put potpore obuhvatit će procjenu sposobnosti i poslovnih potreba, razvoj kompetencija i podatkovnih temelja, testiranje UI rješenja prije ulaganja, sufinanciranje implementacije te pristup instrumentima za </w:t>
      </w:r>
      <w:r>
        <w:rPr>
          <w:color w:val="000000"/>
        </w:rPr>
        <w:lastRenderedPageBreak/>
        <w:t xml:space="preserve">skaliranje. </w:t>
      </w:r>
      <w:r w:rsidR="00683487" w:rsidRPr="00683487">
        <w:rPr>
          <w:color w:val="000000"/>
        </w:rPr>
        <w:t>U okviru savjetodavne i stručne potpore razvijat će se smjernice i primjeri dobre prakse za upravljanje podacima u poduzećima, uključujući utvrđivanje odgovornosti za podatke, osiguravanje njihove kvalitete i standardizacije, interoperabilnost poslovnih i proizvodnih sustava te sigurno i zakonito korištenje poslovnih i industrijskih podataka za razvoj, treniranje, testiranje i primjenu UI modela i sustava. Posebna će se pozornost posvetiti mogućnostima sigurne razmjene i ponovne uporabe podataka te uključivanju poduzeća u relevantne europske podatkovne prostore, u skladu s Aktom o upravljanju podacima i Aktom o podacima.</w:t>
      </w:r>
      <w:r w:rsidR="00683487">
        <w:rPr>
          <w:color w:val="000000"/>
        </w:rPr>
        <w:t xml:space="preserve"> </w:t>
      </w:r>
      <w:r>
        <w:rPr>
          <w:color w:val="000000"/>
        </w:rPr>
        <w:t>Europski digitalni inovacijski centri (EDIH) i Digitalni inovacijski centri (DIH) imat će važnu ulogu u povezivanju poduzeća sa stručnjacima, infrastrukturom i provjerenim rješenjima. Mjere će biti usmjerene na mjerljiva poboljšanja produktivnosti, kvalitete, otpornosti i konkurentnosti, uz posebnu dostupnost za MSP-ove s ograničenim internim kapacitetima.</w:t>
      </w:r>
    </w:p>
    <w:p w14:paraId="127D63ED" w14:textId="26EEEE68" w:rsidR="00BC4E56" w:rsidRPr="00A609CA" w:rsidRDefault="00BC4E56" w:rsidP="00E57CAB">
      <w:pPr>
        <w:pStyle w:val="Tijeloteksta"/>
        <w:spacing w:before="301" w:line="276" w:lineRule="auto"/>
        <w:ind w:right="283"/>
        <w:jc w:val="both"/>
      </w:pPr>
      <w:r>
        <w:rPr>
          <w:b/>
          <w:bCs/>
        </w:rPr>
        <w:t>Prioritet 4.2. Razvoj nacionalnog UI inovacijskog ekosustava i platforme</w:t>
      </w:r>
      <w:r>
        <w:t xml:space="preserve"> – </w:t>
      </w:r>
      <w:r>
        <w:rPr>
          <w:color w:val="000000"/>
        </w:rPr>
        <w:t xml:space="preserve">Povezat će se poduzeća, </w:t>
      </w:r>
      <w:r w:rsidRPr="00CA65FF">
        <w:rPr>
          <w:i/>
          <w:iCs/>
          <w:color w:val="000000"/>
        </w:rPr>
        <w:t>startupovi,</w:t>
      </w:r>
      <w:r>
        <w:rPr>
          <w:color w:val="000000"/>
        </w:rPr>
        <w:t xml:space="preserve"> istraživačke </w:t>
      </w:r>
      <w:r w:rsidR="00F60A67">
        <w:rPr>
          <w:color w:val="000000"/>
        </w:rPr>
        <w:t>organizacije</w:t>
      </w:r>
      <w:r>
        <w:rPr>
          <w:color w:val="000000"/>
        </w:rPr>
        <w:t>, javni sektor, financijske institucije, EDIH/DIH mreža i nacionalni inovacijski sustav. Nacionalna UI inovacijska platforma olakšat će pristup računalnoj i podatkovnoj infrastrukturi, programima potpore, stručnim uslugama, regulatornim smjernicama, katalogu domaćih UI rješenja i primjerima dobre prakse. Sustav će poticati suradničke istraživačko-razvojne projekte, transfer tehnologije, razvoj intelektualnog vlasništva i komercijalizaciju. Povezivanje s europskim UI tvornicama, podatkovnim prostorima i projektima omogućit će hrvatskim akterima pristup potrebnim resursima, partnerima i tržištima.</w:t>
      </w:r>
    </w:p>
    <w:p w14:paraId="6F6F3936" w14:textId="2F0247B3" w:rsidR="00BC4E56" w:rsidRPr="009D0F6F" w:rsidRDefault="00BC4E56" w:rsidP="00E57CAB">
      <w:pPr>
        <w:pStyle w:val="Tijeloteksta"/>
        <w:spacing w:before="301" w:line="276" w:lineRule="auto"/>
        <w:ind w:right="283"/>
        <w:jc w:val="both"/>
        <w:rPr>
          <w:color w:val="000000"/>
        </w:rPr>
      </w:pPr>
      <w:r>
        <w:rPr>
          <w:b/>
          <w:bCs/>
        </w:rPr>
        <w:t xml:space="preserve">Prioritet 4.3. Razvoj UI </w:t>
      </w:r>
      <w:r>
        <w:rPr>
          <w:b/>
          <w:bCs/>
          <w:i/>
          <w:iCs/>
        </w:rPr>
        <w:t>startupova, spin-off</w:t>
      </w:r>
      <w:r>
        <w:rPr>
          <w:b/>
          <w:bCs/>
        </w:rPr>
        <w:t xml:space="preserve"> poduzeća i financijskih instrumenata</w:t>
      </w:r>
      <w:r>
        <w:t xml:space="preserve"> – </w:t>
      </w:r>
      <w:r>
        <w:rPr>
          <w:color w:val="000000"/>
        </w:rPr>
        <w:t>Razvoj i rast inovativnih poduzeća u području UI-ja</w:t>
      </w:r>
      <w:r w:rsidRPr="00E070B0">
        <w:rPr>
          <w:color w:val="000000"/>
        </w:rPr>
        <w:t xml:space="preserve"> </w:t>
      </w:r>
      <w:r>
        <w:rPr>
          <w:color w:val="000000"/>
        </w:rPr>
        <w:t xml:space="preserve">podupirat će se kombinacijom rizičnog kapitala, javno-privatnih ko-investicijskih instrumenata, kredita, jamstava, akceleracijskih programa i stručne podrške. Instrumenti će pratiti različite faze razvoja, od provjere koncepta i zaštite intelektualnog vlasništva do ulaska na tržište, internacionalizacije i skaliranja. Posebno će se poticati sveučilišna </w:t>
      </w:r>
      <w:r>
        <w:rPr>
          <w:i/>
          <w:color w:val="000000"/>
        </w:rPr>
        <w:t>spin-off</w:t>
      </w:r>
      <w:r>
        <w:rPr>
          <w:color w:val="000000"/>
        </w:rPr>
        <w:t xml:space="preserve"> poduzeća i prijenos rezultata istraživanja u komercijalne proizvode i usluge. Javnim financijskim instrumentima smanjivat će se rizik ulaganja u ranim fazama razvoja UI poduzeća i poticati uključivanje privatnog kapitala. Odabir projekata temeljit će se na njihovoj tehnološkoj vrijednosti, tržišnom i izvoznom potencijalu te mogućnosti rasta i stvaranja visokokvalificiranih radnih mjesta.</w:t>
      </w:r>
    </w:p>
    <w:p w14:paraId="18F2BCB6" w14:textId="05856477" w:rsidR="00BC4E56" w:rsidRPr="00A609CA" w:rsidRDefault="00BC4E56" w:rsidP="00E57CAB">
      <w:pPr>
        <w:pStyle w:val="Tijeloteksta"/>
        <w:spacing w:before="301" w:line="276" w:lineRule="auto"/>
        <w:ind w:right="283"/>
        <w:jc w:val="both"/>
      </w:pPr>
      <w:r>
        <w:rPr>
          <w:b/>
          <w:bCs/>
        </w:rPr>
        <w:t>Prioritet 4.4. Inovativna javna nabava i pilot-projekti UI rješenja</w:t>
      </w:r>
      <w:r>
        <w:t xml:space="preserve">– Javni sektor djelovat će kao prvi korisnik i katalizator razvoja domaćih rješenja. Kroz </w:t>
      </w:r>
      <w:r>
        <w:rPr>
          <w:i/>
          <w:iCs/>
        </w:rPr>
        <w:t>GovTech</w:t>
      </w:r>
      <w:r>
        <w:t xml:space="preserve"> program,</w:t>
      </w:r>
      <w:r>
        <w:rPr>
          <w:color w:val="000000"/>
        </w:rPr>
        <w:t xml:space="preserve"> inovacijske izazove, pilot-ugovore i gdje je primjenjivo, inovativnu javnu nabavu, javni naručitelji će definirati konkretne probleme i omogućiti poduzećima i istraživačima razvoj, testiranje i dokazivanje učinka u stvarnom okruženju. Prednost će imati UI rješenja s jasnom javnom vrijednošću, mogućnošću ponovne uporabe u više tijela i mjerljivim učincima na brzinu, kvalitetu i trošak usluga. Pilotiranje će se provoditi uz pravnu, tehničku, podatkovnu i sigurnosnu potporu.</w:t>
      </w:r>
    </w:p>
    <w:p w14:paraId="7B397943" w14:textId="04B19341" w:rsidR="00BC4E56" w:rsidRPr="00A609CA" w:rsidRDefault="00BC4E56" w:rsidP="00E57CAB">
      <w:pPr>
        <w:pStyle w:val="Tijeloteksta"/>
        <w:spacing w:before="301" w:line="276" w:lineRule="auto"/>
        <w:ind w:right="283"/>
        <w:jc w:val="both"/>
      </w:pPr>
      <w:r>
        <w:rPr>
          <w:b/>
          <w:bCs/>
        </w:rPr>
        <w:t>Prioritet 4.5. Regulatorna jasnoća, pješčanici i europska integracija UI inovacija</w:t>
      </w:r>
      <w:r>
        <w:t xml:space="preserve"> – </w:t>
      </w:r>
      <w:r>
        <w:rPr>
          <w:color w:val="000000"/>
        </w:rPr>
        <w:t>Poduzećima će se osigurati pravovremene i razumljive informacije o regulatornim, etičkim i sigurnosnim zahtjevima te pristup stručnom savjetovanju i regulatornim izoliranim okruženjima. U ovom posebnom cilju pješčanici imaju razvojnu funkciju: omogućuju poduzećima i istraživačima da u kontroliranim uvjetima prilagode rješenja pravilima i tržišnim potrebama. Oni se sadržajno nadovezuju na regulatorni sustav iz Posebnog cilja 3, ali ga ne zamjenjuju. Istodobno će se poticati sudjelovanje hrvatskih aktera u programima Digitalna Europa, Obzor Europa, EuroHPC</w:t>
      </w:r>
      <w:r w:rsidR="000D298C">
        <w:rPr>
          <w:color w:val="000000"/>
        </w:rPr>
        <w:t xml:space="preserve"> JU</w:t>
      </w:r>
      <w:r>
        <w:rPr>
          <w:color w:val="000000"/>
        </w:rPr>
        <w:t xml:space="preserve">-u, IPCEI AI-ju, europskim podatkovnim prostorima te lancima vrijednosti za UI i </w:t>
      </w:r>
      <w:r>
        <w:rPr>
          <w:color w:val="000000"/>
        </w:rPr>
        <w:lastRenderedPageBreak/>
        <w:t>poluvodičke tehnologije.</w:t>
      </w:r>
    </w:p>
    <w:p w14:paraId="512123E2" w14:textId="27EA4135" w:rsidR="00BC4E56" w:rsidRPr="00A609CA" w:rsidRDefault="00BC4E56" w:rsidP="00F00165">
      <w:pPr>
        <w:pStyle w:val="Tijeloteksta"/>
        <w:spacing w:before="301" w:line="276" w:lineRule="auto"/>
        <w:ind w:right="283"/>
        <w:jc w:val="both"/>
        <w:rPr>
          <w:b/>
          <w:bCs/>
        </w:rPr>
      </w:pPr>
      <w:r>
        <w:rPr>
          <w:b/>
          <w:bCs/>
        </w:rPr>
        <w:t>Prvo razdoblje provedbe 2026. – 2028.</w:t>
      </w:r>
    </w:p>
    <w:p w14:paraId="7F6A7A67" w14:textId="3A8544FE" w:rsidR="00BC4E56" w:rsidRPr="009D0F6F" w:rsidRDefault="00B35A09" w:rsidP="00E57CAB">
      <w:pPr>
        <w:pStyle w:val="Tijeloteksta"/>
        <w:spacing w:before="301" w:line="276" w:lineRule="auto"/>
        <w:ind w:right="283"/>
        <w:jc w:val="both"/>
        <w:rPr>
          <w:color w:val="000000"/>
        </w:rPr>
      </w:pPr>
      <w:r>
        <w:rPr>
          <w:color w:val="000000"/>
        </w:rPr>
        <w:t>Prvi akcijski plan provedbe identificira međusobno povezane instrumente za poticanje istraživanja, razvoja, inovacija i bržeg usvajanja UI-ja u gospodarstvu. Mjere su usmjerene na jačanje transfera tehnologije i suradnje znanstveno-istraživačkog sustava s gospodarstvom, razvoj usluga DIH-ova te pružanje financijske, tehničke i savjetodavne potpore poduzećima, osobito MSP-ovima, za razvoj, testiranje i uvođenje UI rješenja.</w:t>
      </w:r>
    </w:p>
    <w:p w14:paraId="32E6B170" w14:textId="1BFA0DED" w:rsidR="00BC4E56" w:rsidRPr="00A609CA" w:rsidRDefault="00BC4E56" w:rsidP="00E57CAB">
      <w:pPr>
        <w:pStyle w:val="Tijeloteksta"/>
        <w:spacing w:before="301" w:line="276" w:lineRule="auto"/>
        <w:ind w:right="283"/>
        <w:jc w:val="both"/>
      </w:pPr>
      <w:r>
        <w:t xml:space="preserve">Poseban naglasak stavit će se na dostupnost instrumenata za </w:t>
      </w:r>
      <w:r>
        <w:rPr>
          <w:i/>
          <w:iCs/>
        </w:rPr>
        <w:t xml:space="preserve">startup </w:t>
      </w:r>
      <w:r>
        <w:t xml:space="preserve">i </w:t>
      </w:r>
      <w:r>
        <w:rPr>
          <w:i/>
          <w:iCs/>
        </w:rPr>
        <w:t>scale-up</w:t>
      </w:r>
      <w:r>
        <w:t xml:space="preserve"> poduzeća, </w:t>
      </w:r>
      <w:r>
        <w:rPr>
          <w:color w:val="000000"/>
        </w:rPr>
        <w:t xml:space="preserve">kreditnih i jamstvenih mehanizama za primjenu i skaliranje UI-ja te korištenje </w:t>
      </w:r>
      <w:r w:rsidRPr="00CA65FF">
        <w:rPr>
          <w:i/>
          <w:iCs/>
          <w:color w:val="000000"/>
        </w:rPr>
        <w:t>GovTech</w:t>
      </w:r>
      <w:r>
        <w:rPr>
          <w:color w:val="000000"/>
        </w:rPr>
        <w:t xml:space="preserve"> pristupa i inovativne javne nabave kao pokretača razvoja tržišno primjenjivih rješenja. U prvom provedbenom razdoblju podupirat će se i sudjelovanje hrvatskih poduzeća i istraživačkih organizacija u strateškim europskim projektima, lancima vrijednosti za UI i poluvodičke tehnologije te razvoju povezanih kompetencija i usluga. Time se stvaraju početni uvjeti za brži prijelaz od istraživanja i pilot-projekata prema tržišnoj primjeni, rastu produktivnosti, razvoju proizvoda veće dodane vrijednosti i jačanju međunarodne konkurentnosti hrvatskog gospodarstva.</w:t>
      </w:r>
    </w:p>
    <w:p w14:paraId="5731DE71" w14:textId="02D0D77F" w:rsidR="00BC4E56" w:rsidRPr="009D0F6F" w:rsidRDefault="00B35A09" w:rsidP="00E57CAB">
      <w:pPr>
        <w:pStyle w:val="Tijeloteksta"/>
        <w:spacing w:before="301" w:line="276" w:lineRule="auto"/>
        <w:ind w:right="283"/>
        <w:jc w:val="both"/>
        <w:rPr>
          <w:color w:val="000000"/>
        </w:rPr>
        <w:sectPr w:rsidR="00BC4E56" w:rsidRPr="009D0F6F" w:rsidSect="00BC4E56">
          <w:pgSz w:w="12240" w:h="15840"/>
          <w:pgMar w:top="792" w:right="720" w:bottom="792" w:left="792" w:header="360" w:footer="360" w:gutter="0"/>
          <w:cols w:space="720"/>
          <w:docGrid w:linePitch="272"/>
        </w:sectPr>
      </w:pPr>
      <w:r>
        <w:rPr>
          <w:color w:val="000000"/>
        </w:rPr>
        <w:t>Detaljan prikaz mjera, njihovih nositelja, rokova, pokazatelja rezultata i izvora financiranja za provedbu sva četiri posebna cilja sadržan je u Prvom akcijskom planu za razvoj i primjenu UI-ja u Republici Hrvatskoj za razdoblje do kraja 2028. godine.</w:t>
      </w:r>
    </w:p>
    <w:p w14:paraId="2F2F7D34" w14:textId="5A61091D" w:rsidR="00BC4E56" w:rsidRPr="00A609CA" w:rsidRDefault="00CA65FF" w:rsidP="00E57CAB">
      <w:pPr>
        <w:pStyle w:val="Tijeloteksta"/>
        <w:spacing w:before="301" w:line="276" w:lineRule="auto"/>
        <w:ind w:right="283"/>
        <w:jc w:val="both"/>
      </w:pPr>
      <w:r>
        <w:lastRenderedPageBreak/>
        <w:t>P</w:t>
      </w:r>
      <w:r w:rsidR="00F00165">
        <w:t>okazatelji ishoda Posebnog cilja 4</w:t>
      </w:r>
      <w:r w:rsidR="00E57CAB">
        <w:t>:</w:t>
      </w:r>
    </w:p>
    <w:tbl>
      <w:tblPr>
        <w:tblW w:w="14255" w:type="dxa"/>
        <w:jc w:val="center"/>
        <w:tblBorders>
          <w:top w:val="single" w:sz="4" w:space="0" w:color="AABEC9"/>
          <w:left w:val="single" w:sz="4" w:space="0" w:color="AABEC9"/>
          <w:bottom w:val="single" w:sz="4" w:space="0" w:color="AABEC9"/>
          <w:right w:val="single" w:sz="4" w:space="0" w:color="AABEC9"/>
          <w:insideH w:val="single" w:sz="4" w:space="0" w:color="AABEC9"/>
          <w:insideV w:val="single" w:sz="4" w:space="0" w:color="AABEC9"/>
        </w:tblBorders>
        <w:tblLayout w:type="fixed"/>
        <w:tblLook w:val="04A0" w:firstRow="1" w:lastRow="0" w:firstColumn="1" w:lastColumn="0" w:noHBand="0" w:noVBand="1"/>
      </w:tblPr>
      <w:tblGrid>
        <w:gridCol w:w="5903"/>
        <w:gridCol w:w="1224"/>
        <w:gridCol w:w="3096"/>
        <w:gridCol w:w="2088"/>
        <w:gridCol w:w="1944"/>
      </w:tblGrid>
      <w:tr w:rsidR="00BC4E56" w:rsidRPr="00A609CA" w14:paraId="727D7A02" w14:textId="77777777" w:rsidTr="00BA2682">
        <w:trPr>
          <w:tblHeader/>
          <w:jc w:val="center"/>
        </w:trPr>
        <w:tc>
          <w:tcPr>
            <w:tcW w:w="5903"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4BE2F9CC" w14:textId="271522E1" w:rsidR="00BC4E56" w:rsidRPr="00A609CA" w:rsidRDefault="00BC4E56" w:rsidP="00BA2682">
            <w:pPr>
              <w:jc w:val="center"/>
              <w:rPr>
                <w:rFonts w:ascii="Times New Roman" w:hAnsi="Times New Roman" w:cs="Times New Roman"/>
                <w:sz w:val="24"/>
                <w:szCs w:val="24"/>
                <w:lang w:val="hr-HR"/>
              </w:rPr>
            </w:pPr>
            <w:r>
              <w:rPr>
                <w:rFonts w:ascii="Times New Roman" w:hAnsi="Times New Roman" w:cs="Times New Roman"/>
                <w:b/>
                <w:sz w:val="24"/>
                <w:szCs w:val="24"/>
                <w:lang w:val="hr-HR"/>
              </w:rPr>
              <w:t>Pokazatelj ishoda</w:t>
            </w:r>
            <w:r w:rsidR="00C75D6A">
              <w:rPr>
                <w:rFonts w:ascii="Times New Roman" w:hAnsi="Times New Roman" w:cs="Times New Roman"/>
                <w:b/>
                <w:sz w:val="24"/>
                <w:szCs w:val="24"/>
                <w:lang w:val="hr-HR"/>
              </w:rPr>
              <w:t xml:space="preserve">, </w:t>
            </w:r>
            <w:r w:rsidR="00C75D6A" w:rsidRPr="00C75D6A">
              <w:rPr>
                <w:rFonts w:ascii="Times New Roman" w:hAnsi="Times New Roman" w:cs="Times New Roman"/>
                <w:b/>
                <w:sz w:val="24"/>
                <w:szCs w:val="24"/>
                <w:lang w:val="hr-HR"/>
              </w:rPr>
              <w:t>kod u Biblioteci pokazatelja</w:t>
            </w:r>
          </w:p>
        </w:tc>
        <w:tc>
          <w:tcPr>
            <w:tcW w:w="122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5D95F301" w14:textId="77777777" w:rsidR="00BC4E56" w:rsidRPr="00A609CA" w:rsidRDefault="00BC4E56" w:rsidP="00BA2682">
            <w:pPr>
              <w:jc w:val="center"/>
              <w:rPr>
                <w:rFonts w:ascii="Times New Roman" w:hAnsi="Times New Roman" w:cs="Times New Roman"/>
                <w:sz w:val="24"/>
                <w:szCs w:val="24"/>
                <w:lang w:val="hr-HR"/>
              </w:rPr>
            </w:pPr>
            <w:r>
              <w:rPr>
                <w:rFonts w:ascii="Times New Roman" w:hAnsi="Times New Roman" w:cs="Times New Roman"/>
                <w:b/>
                <w:sz w:val="24"/>
                <w:szCs w:val="24"/>
                <w:lang w:val="hr-HR"/>
              </w:rPr>
              <w:t>Jedinica mjere</w:t>
            </w:r>
          </w:p>
        </w:tc>
        <w:tc>
          <w:tcPr>
            <w:tcW w:w="3096"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5C985CC8" w14:textId="77777777" w:rsidR="00BC4E56" w:rsidRPr="00A609CA" w:rsidRDefault="00BC4E56" w:rsidP="00BA2682">
            <w:pPr>
              <w:jc w:val="center"/>
              <w:rPr>
                <w:rFonts w:ascii="Times New Roman" w:hAnsi="Times New Roman" w:cs="Times New Roman"/>
                <w:sz w:val="24"/>
                <w:szCs w:val="24"/>
                <w:lang w:val="hr-HR"/>
              </w:rPr>
            </w:pPr>
            <w:r>
              <w:rPr>
                <w:rFonts w:ascii="Times New Roman" w:hAnsi="Times New Roman" w:cs="Times New Roman"/>
                <w:b/>
                <w:sz w:val="24"/>
                <w:szCs w:val="24"/>
                <w:lang w:val="hr-HR"/>
              </w:rPr>
              <w:t>Izvor podataka</w:t>
            </w:r>
          </w:p>
        </w:tc>
        <w:tc>
          <w:tcPr>
            <w:tcW w:w="2088"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5C2C4251" w14:textId="77777777" w:rsidR="00BC4E56" w:rsidRPr="00A609CA" w:rsidRDefault="00BC4E56" w:rsidP="00BA2682">
            <w:pPr>
              <w:jc w:val="center"/>
              <w:rPr>
                <w:rFonts w:ascii="Times New Roman" w:hAnsi="Times New Roman" w:cs="Times New Roman"/>
                <w:sz w:val="24"/>
                <w:szCs w:val="24"/>
                <w:lang w:val="hr-HR"/>
              </w:rPr>
            </w:pPr>
            <w:r>
              <w:rPr>
                <w:rFonts w:ascii="Times New Roman" w:hAnsi="Times New Roman" w:cs="Times New Roman"/>
                <w:b/>
                <w:sz w:val="24"/>
                <w:szCs w:val="24"/>
                <w:lang w:val="hr-HR"/>
              </w:rPr>
              <w:t>Polazna vrijednost (godina)</w:t>
            </w:r>
          </w:p>
        </w:tc>
        <w:tc>
          <w:tcPr>
            <w:tcW w:w="1944" w:type="dxa"/>
            <w:tcBorders>
              <w:top w:val="single" w:sz="4" w:space="0" w:color="AABEC9"/>
              <w:left w:val="single" w:sz="4" w:space="0" w:color="AABEC9"/>
              <w:bottom w:val="single" w:sz="4" w:space="0" w:color="AABEC9"/>
              <w:right w:val="single" w:sz="4" w:space="0" w:color="AABEC9"/>
            </w:tcBorders>
            <w:shd w:val="clear" w:color="auto" w:fill="EAF2F7"/>
            <w:tcMar>
              <w:top w:w="65" w:type="dxa"/>
              <w:left w:w="70" w:type="dxa"/>
              <w:bottom w:w="65" w:type="dxa"/>
              <w:right w:w="70" w:type="dxa"/>
            </w:tcMar>
            <w:vAlign w:val="center"/>
            <w:hideMark/>
          </w:tcPr>
          <w:p w14:paraId="28F8F937" w14:textId="77777777" w:rsidR="00BC4E56" w:rsidRPr="00A609CA" w:rsidRDefault="00BC4E56" w:rsidP="00BA2682">
            <w:pPr>
              <w:jc w:val="center"/>
              <w:rPr>
                <w:rFonts w:ascii="Times New Roman" w:hAnsi="Times New Roman" w:cs="Times New Roman"/>
                <w:sz w:val="24"/>
                <w:szCs w:val="24"/>
                <w:lang w:val="hr-HR"/>
              </w:rPr>
            </w:pPr>
            <w:r>
              <w:rPr>
                <w:rFonts w:ascii="Times New Roman" w:hAnsi="Times New Roman" w:cs="Times New Roman"/>
                <w:b/>
                <w:sz w:val="24"/>
                <w:szCs w:val="24"/>
                <w:lang w:val="hr-HR"/>
              </w:rPr>
              <w:t>Ciljna vrijednost (2032.)</w:t>
            </w:r>
          </w:p>
        </w:tc>
      </w:tr>
      <w:tr w:rsidR="00B93320" w:rsidRPr="00A609CA" w14:paraId="136FAD23"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52BEA66C" w14:textId="321D6D40" w:rsidR="00B93320" w:rsidRPr="00A609CA" w:rsidRDefault="00B93320" w:rsidP="00C75D6A">
            <w:pPr>
              <w:rPr>
                <w:rFonts w:ascii="Times New Roman" w:hAnsi="Times New Roman" w:cs="Times New Roman"/>
                <w:sz w:val="24"/>
                <w:szCs w:val="24"/>
                <w:lang w:val="hr-HR"/>
              </w:rPr>
            </w:pPr>
            <w:r w:rsidRPr="00C75D6A">
              <w:rPr>
                <w:rFonts w:ascii="Times New Roman" w:hAnsi="Times New Roman" w:cs="Times New Roman"/>
                <w:sz w:val="24"/>
                <w:szCs w:val="24"/>
                <w:lang w:val="hr-HR"/>
              </w:rPr>
              <w:t>4.1. Udio poduzeća koja koriste najmanje jednu tehnologiju umjetne inteligencije, OI.02.7.58</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7035546" w14:textId="36085905" w:rsidR="00B93320" w:rsidRPr="00A609CA" w:rsidRDefault="00B93320" w:rsidP="00B93320">
            <w:pPr>
              <w:jc w:val="center"/>
              <w:rPr>
                <w:rFonts w:ascii="Times New Roman" w:hAnsi="Times New Roman" w:cs="Times New Roman"/>
                <w:sz w:val="24"/>
                <w:szCs w:val="24"/>
                <w:lang w:val="hr-HR"/>
              </w:rPr>
            </w:pPr>
            <w:r w:rsidRPr="00CC45DF">
              <w:rPr>
                <w:rFonts w:ascii="Times New Roman" w:hAnsi="Times New Roman" w:cs="Times New Roman"/>
                <w:sz w:val="24"/>
                <w:szCs w:val="24"/>
                <w:lang w:val="hr-HR"/>
              </w:rPr>
              <w:t>% poduzeća s 10 ili više zaposlenih i samozaposlenih osoba</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55EB48AD" w14:textId="77777777" w:rsidR="00B93320" w:rsidRPr="00A609CA" w:rsidRDefault="00B93320" w:rsidP="00B93320">
            <w:pPr>
              <w:rPr>
                <w:rFonts w:ascii="Times New Roman" w:hAnsi="Times New Roman" w:cs="Times New Roman"/>
                <w:sz w:val="24"/>
                <w:szCs w:val="24"/>
                <w:lang w:val="hr-HR"/>
              </w:rPr>
            </w:pPr>
            <w:r>
              <w:rPr>
                <w:rFonts w:ascii="Times New Roman" w:hAnsi="Times New Roman" w:cs="Times New Roman"/>
                <w:sz w:val="24"/>
                <w:szCs w:val="24"/>
                <w:lang w:val="hr-HR"/>
              </w:rPr>
              <w:t>DZS, Eurostat</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E500491" w14:textId="44A349B3" w:rsidR="00B93320" w:rsidRPr="00A609CA" w:rsidRDefault="00B93320" w:rsidP="00B93320">
            <w:pPr>
              <w:jc w:val="center"/>
              <w:rPr>
                <w:rFonts w:ascii="Times New Roman" w:hAnsi="Times New Roman" w:cs="Times New Roman"/>
                <w:sz w:val="24"/>
                <w:szCs w:val="24"/>
                <w:lang w:val="hr-HR"/>
              </w:rPr>
            </w:pPr>
            <w:r>
              <w:rPr>
                <w:rFonts w:ascii="Times New Roman" w:hAnsi="Times New Roman" w:cs="Times New Roman"/>
                <w:sz w:val="24"/>
                <w:szCs w:val="24"/>
                <w:lang w:val="hr-HR"/>
              </w:rPr>
              <w:t>15,19 % (2025.)</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ECC01D9" w14:textId="794BF3E6" w:rsidR="00B93320" w:rsidRPr="00A609CA" w:rsidRDefault="00B93320" w:rsidP="00B93320">
            <w:pPr>
              <w:jc w:val="center"/>
              <w:rPr>
                <w:rFonts w:ascii="Times New Roman" w:hAnsi="Times New Roman" w:cs="Times New Roman"/>
                <w:sz w:val="24"/>
                <w:szCs w:val="24"/>
                <w:lang w:val="hr-HR"/>
              </w:rPr>
            </w:pPr>
            <w:r>
              <w:rPr>
                <w:rFonts w:ascii="Times New Roman" w:hAnsi="Times New Roman" w:cs="Times New Roman"/>
                <w:sz w:val="24"/>
                <w:szCs w:val="24"/>
                <w:lang w:val="hr-HR"/>
              </w:rPr>
              <w:t>40 %</w:t>
            </w:r>
          </w:p>
        </w:tc>
      </w:tr>
      <w:tr w:rsidR="00B93320" w:rsidRPr="00A609CA" w14:paraId="24DA7E14"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E51E03F" w14:textId="289753CF" w:rsidR="00B93320" w:rsidRPr="00A609CA" w:rsidRDefault="00B93320" w:rsidP="00C75D6A">
            <w:pPr>
              <w:rPr>
                <w:rFonts w:ascii="Times New Roman" w:hAnsi="Times New Roman" w:cs="Times New Roman"/>
                <w:sz w:val="24"/>
                <w:szCs w:val="24"/>
                <w:lang w:val="hr-HR"/>
              </w:rPr>
            </w:pPr>
            <w:r w:rsidRPr="00C75D6A">
              <w:rPr>
                <w:rFonts w:ascii="Times New Roman" w:hAnsi="Times New Roman" w:cs="Times New Roman"/>
                <w:sz w:val="24"/>
                <w:szCs w:val="24"/>
                <w:lang w:val="hr-HR"/>
              </w:rPr>
              <w:t>4.2. Ukupna ulaganja u umjetnu inteligenciju u Hrvatskoj, OI.02.7.56</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614A421" w14:textId="71D8ABA6" w:rsidR="00B93320" w:rsidRPr="00A609CA" w:rsidRDefault="00B93320" w:rsidP="00B93320">
            <w:pPr>
              <w:jc w:val="center"/>
              <w:rPr>
                <w:rFonts w:ascii="Times New Roman" w:hAnsi="Times New Roman" w:cs="Times New Roman"/>
                <w:sz w:val="24"/>
                <w:szCs w:val="24"/>
                <w:lang w:val="hr-HR"/>
              </w:rPr>
            </w:pPr>
            <w:r w:rsidRPr="00B04B00">
              <w:rPr>
                <w:rFonts w:ascii="Times New Roman" w:hAnsi="Times New Roman" w:cs="Times New Roman"/>
                <w:sz w:val="24"/>
                <w:szCs w:val="24"/>
                <w:lang w:val="hr-HR"/>
              </w:rPr>
              <w:t>mil. EU</w:t>
            </w:r>
            <w:r>
              <w:rPr>
                <w:rFonts w:ascii="Times New Roman" w:hAnsi="Times New Roman" w:cs="Times New Roman"/>
                <w:sz w:val="24"/>
                <w:szCs w:val="24"/>
                <w:lang w:val="hr-HR"/>
              </w:rPr>
              <w:t>R</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0E97EA0" w14:textId="203DEB21" w:rsidR="00B93320" w:rsidRPr="00A609CA" w:rsidRDefault="00B93320" w:rsidP="00B93320">
            <w:pPr>
              <w:rPr>
                <w:rFonts w:ascii="Times New Roman" w:hAnsi="Times New Roman" w:cs="Times New Roman"/>
                <w:sz w:val="24"/>
                <w:szCs w:val="24"/>
                <w:lang w:val="hr-HR"/>
              </w:rPr>
            </w:pPr>
            <w:r w:rsidRPr="008C5EA8">
              <w:rPr>
                <w:rFonts w:ascii="Times New Roman" w:hAnsi="Times New Roman" w:cs="Times New Roman"/>
                <w:sz w:val="24"/>
                <w:szCs w:val="24"/>
                <w:lang w:val="hr-HR"/>
              </w:rPr>
              <w:t>OECD / Europska komisija – „Unaprjeđenje mjerenja ulaganja u umjetnu inteligenciju“</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58AB8489" w14:textId="02721327" w:rsidR="00B93320" w:rsidRPr="00A609CA" w:rsidRDefault="00B93320" w:rsidP="00B93320">
            <w:pPr>
              <w:jc w:val="center"/>
              <w:rPr>
                <w:rFonts w:ascii="Times New Roman" w:hAnsi="Times New Roman" w:cs="Times New Roman"/>
                <w:sz w:val="24"/>
                <w:szCs w:val="24"/>
                <w:lang w:val="hr-HR"/>
              </w:rPr>
            </w:pPr>
            <w:r w:rsidRPr="00C567C9">
              <w:rPr>
                <w:rFonts w:ascii="Times New Roman" w:hAnsi="Times New Roman" w:cs="Times New Roman"/>
                <w:sz w:val="24"/>
                <w:szCs w:val="24"/>
                <w:lang w:val="hr-HR"/>
              </w:rPr>
              <w:t>1.233,88 mil. EUR (2023.)</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47084F64" w14:textId="48CFB145" w:rsidR="00B93320" w:rsidRPr="00A609CA" w:rsidRDefault="00B93320" w:rsidP="00B93320">
            <w:pPr>
              <w:jc w:val="center"/>
              <w:rPr>
                <w:rFonts w:ascii="Times New Roman" w:hAnsi="Times New Roman" w:cs="Times New Roman"/>
                <w:sz w:val="24"/>
                <w:szCs w:val="24"/>
                <w:lang w:val="hr-HR"/>
              </w:rPr>
            </w:pPr>
            <w:r>
              <w:rPr>
                <w:rFonts w:ascii="Times New Roman" w:hAnsi="Times New Roman" w:cs="Times New Roman"/>
                <w:sz w:val="24"/>
                <w:szCs w:val="24"/>
                <w:lang w:val="hr-HR"/>
              </w:rPr>
              <w:t>2.200 mil EUR</w:t>
            </w:r>
          </w:p>
        </w:tc>
      </w:tr>
      <w:tr w:rsidR="00B93320" w:rsidRPr="00A609CA" w14:paraId="374196CA" w14:textId="77777777" w:rsidTr="00BA2682">
        <w:trPr>
          <w:jc w:val="center"/>
        </w:trPr>
        <w:tc>
          <w:tcPr>
            <w:tcW w:w="5903"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6D239B6E" w14:textId="01467E46" w:rsidR="00B93320" w:rsidRPr="00A609CA" w:rsidRDefault="00B93320" w:rsidP="00C75D6A">
            <w:pPr>
              <w:rPr>
                <w:rFonts w:ascii="Times New Roman" w:hAnsi="Times New Roman" w:cs="Times New Roman"/>
                <w:sz w:val="24"/>
                <w:szCs w:val="24"/>
                <w:lang w:val="hr-HR"/>
              </w:rPr>
            </w:pPr>
            <w:r w:rsidRPr="00C75D6A">
              <w:rPr>
                <w:rFonts w:ascii="Times New Roman" w:hAnsi="Times New Roman" w:cs="Times New Roman"/>
                <w:sz w:val="24"/>
                <w:szCs w:val="24"/>
                <w:lang w:val="hr-HR"/>
              </w:rPr>
              <w:t>4.3. Udio poduzeća koja koriste umjetnu inteligenciju u proizvodnim procesima, među poduzećima koja koriste najmanje jednu tehnologiju umjetne inteligencije, OI.02.7.57</w:t>
            </w:r>
          </w:p>
        </w:tc>
        <w:tc>
          <w:tcPr>
            <w:tcW w:w="122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0A0EC6D2" w14:textId="795120B0" w:rsidR="00B93320" w:rsidRPr="00A609CA" w:rsidRDefault="00B93320" w:rsidP="00B93320">
            <w:pPr>
              <w:jc w:val="center"/>
              <w:rPr>
                <w:rFonts w:ascii="Times New Roman" w:hAnsi="Times New Roman" w:cs="Times New Roman"/>
                <w:sz w:val="24"/>
                <w:szCs w:val="24"/>
                <w:lang w:val="hr-HR"/>
              </w:rPr>
            </w:pPr>
            <w:r w:rsidRPr="00CC45DF">
              <w:rPr>
                <w:rFonts w:ascii="Times New Roman" w:hAnsi="Times New Roman" w:cs="Times New Roman"/>
                <w:sz w:val="24"/>
                <w:szCs w:val="24"/>
                <w:lang w:val="hr-HR"/>
              </w:rPr>
              <w:t>% poduzeća s 10 ili više zaposlenih i samozaposlenih osoba</w:t>
            </w:r>
          </w:p>
        </w:tc>
        <w:tc>
          <w:tcPr>
            <w:tcW w:w="3096"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73EE2381" w14:textId="385FFEF1" w:rsidR="00B93320" w:rsidRPr="00A609CA" w:rsidRDefault="00B93320" w:rsidP="00B93320">
            <w:pPr>
              <w:rPr>
                <w:rFonts w:ascii="Times New Roman" w:hAnsi="Times New Roman" w:cs="Times New Roman"/>
                <w:sz w:val="24"/>
                <w:szCs w:val="24"/>
                <w:lang w:val="hr-HR"/>
              </w:rPr>
            </w:pPr>
            <w:r w:rsidRPr="00CC45DF">
              <w:rPr>
                <w:rFonts w:ascii="Times New Roman" w:hAnsi="Times New Roman" w:cs="Times New Roman"/>
                <w:sz w:val="24"/>
                <w:szCs w:val="24"/>
                <w:lang w:val="hr-HR"/>
              </w:rPr>
              <w:t>DZS, Eurostat</w:t>
            </w:r>
          </w:p>
        </w:tc>
        <w:tc>
          <w:tcPr>
            <w:tcW w:w="2088"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11D4F511" w14:textId="63C77EC2" w:rsidR="00B93320" w:rsidRPr="00A609CA" w:rsidRDefault="00B93320" w:rsidP="00B93320">
            <w:pPr>
              <w:jc w:val="center"/>
              <w:rPr>
                <w:rFonts w:ascii="Times New Roman" w:hAnsi="Times New Roman" w:cs="Times New Roman"/>
                <w:sz w:val="24"/>
                <w:szCs w:val="24"/>
                <w:lang w:val="hr-HR"/>
              </w:rPr>
            </w:pPr>
            <w:r>
              <w:rPr>
                <w:rFonts w:ascii="Times New Roman" w:hAnsi="Times New Roman" w:cs="Times New Roman"/>
                <w:sz w:val="24"/>
                <w:szCs w:val="24"/>
                <w:lang w:val="hr-HR"/>
              </w:rPr>
              <w:t xml:space="preserve"> 8,9 % (2025.)</w:t>
            </w:r>
          </w:p>
        </w:tc>
        <w:tc>
          <w:tcPr>
            <w:tcW w:w="1944" w:type="dxa"/>
            <w:tcBorders>
              <w:top w:val="single" w:sz="4" w:space="0" w:color="AABEC9"/>
              <w:left w:val="single" w:sz="4" w:space="0" w:color="AABEC9"/>
              <w:bottom w:val="single" w:sz="4" w:space="0" w:color="AABEC9"/>
              <w:right w:val="single" w:sz="4" w:space="0" w:color="AABEC9"/>
            </w:tcBorders>
            <w:tcMar>
              <w:top w:w="65" w:type="dxa"/>
              <w:left w:w="70" w:type="dxa"/>
              <w:bottom w:w="65" w:type="dxa"/>
              <w:right w:w="70" w:type="dxa"/>
            </w:tcMar>
            <w:hideMark/>
          </w:tcPr>
          <w:p w14:paraId="31CA418D" w14:textId="7756C2F2" w:rsidR="00B93320" w:rsidRPr="00A609CA" w:rsidRDefault="00B93320" w:rsidP="00B93320">
            <w:pPr>
              <w:jc w:val="center"/>
              <w:rPr>
                <w:rFonts w:ascii="Times New Roman" w:hAnsi="Times New Roman" w:cs="Times New Roman"/>
                <w:sz w:val="24"/>
                <w:szCs w:val="24"/>
                <w:lang w:val="hr-HR"/>
              </w:rPr>
            </w:pPr>
            <w:r>
              <w:rPr>
                <w:rFonts w:ascii="Times New Roman" w:hAnsi="Times New Roman" w:cs="Times New Roman"/>
                <w:sz w:val="24"/>
                <w:szCs w:val="24"/>
                <w:lang w:val="hr-HR"/>
              </w:rPr>
              <w:t>30 %</w:t>
            </w:r>
          </w:p>
        </w:tc>
      </w:tr>
    </w:tbl>
    <w:p w14:paraId="6A4291AE" w14:textId="77777777" w:rsidR="00BC4E56" w:rsidRPr="00A609CA" w:rsidRDefault="00BC4E56" w:rsidP="00BC4E56">
      <w:pPr>
        <w:spacing w:after="0"/>
        <w:rPr>
          <w:rFonts w:ascii="Times New Roman" w:hAnsi="Times New Roman" w:cs="Times New Roman"/>
          <w:sz w:val="24"/>
          <w:szCs w:val="24"/>
          <w:lang w:val="hr-HR"/>
        </w:rPr>
      </w:pPr>
    </w:p>
    <w:p w14:paraId="29B39D54" w14:textId="53784DB8" w:rsidR="007E5467" w:rsidRPr="00561DEC" w:rsidRDefault="00AB5039" w:rsidP="00D45691">
      <w:pPr>
        <w:pStyle w:val="Tijeloteksta"/>
        <w:spacing w:before="301" w:line="276" w:lineRule="auto"/>
        <w:ind w:right="283"/>
        <w:jc w:val="both"/>
        <w:rPr>
          <w:color w:val="000000"/>
        </w:rPr>
        <w:sectPr w:rsidR="007E5467" w:rsidRPr="00561DEC" w:rsidSect="00BC4E56">
          <w:pgSz w:w="15840" w:h="12240" w:orient="landscape"/>
          <w:pgMar w:top="792" w:right="792" w:bottom="720" w:left="792" w:header="360" w:footer="360" w:gutter="0"/>
          <w:cols w:space="720"/>
          <w:docGrid w:linePitch="272"/>
        </w:sectPr>
      </w:pPr>
      <w:r w:rsidRPr="00AB5039">
        <w:rPr>
          <w:color w:val="000000"/>
        </w:rPr>
        <w:t xml:space="preserve">Uz pokazatelje ishoda Posebnog cilja 4, u okviru praćenja i vrednovanja provedbe analizirat će se i širi gospodarski učinci primjene UI-ja, uključujući učinke na produktivnost, dodanu vrijednost, prihode, izvoz te administrativne i operativne troškove poduzeća, u mjeri u kojoj za njih budu dostupni metodološki pouzdani i usporedivi podaci. </w:t>
      </w:r>
    </w:p>
    <w:p w14:paraId="19E6DFBE" w14:textId="7FF19272" w:rsidR="00455CC0" w:rsidRPr="00A609CA" w:rsidRDefault="00455CC0" w:rsidP="00455CC0">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51" w:name="_TOC_250043"/>
      <w:bookmarkStart w:id="52" w:name="_Toc236064842"/>
      <w:bookmarkStart w:id="53" w:name="_Toc242947271"/>
      <w:r>
        <w:rPr>
          <w:rFonts w:ascii="Times New Roman" w:eastAsia="Times New Roman" w:hAnsi="Times New Roman" w:cs="Times New Roman"/>
          <w:b/>
          <w:bCs/>
          <w:color w:val="auto"/>
          <w:sz w:val="24"/>
          <w:szCs w:val="24"/>
          <w:lang w:val="hr-HR"/>
        </w:rPr>
        <w:lastRenderedPageBreak/>
        <w:t xml:space="preserve">Ključna područja primjene UI-ja u </w:t>
      </w:r>
      <w:bookmarkEnd w:id="51"/>
      <w:r>
        <w:rPr>
          <w:rFonts w:ascii="Times New Roman" w:eastAsia="Times New Roman" w:hAnsi="Times New Roman" w:cs="Times New Roman"/>
          <w:b/>
          <w:bCs/>
          <w:color w:val="auto"/>
          <w:sz w:val="24"/>
          <w:szCs w:val="24"/>
          <w:lang w:val="hr-HR"/>
        </w:rPr>
        <w:t>Republici Hrvatskoj</w:t>
      </w:r>
      <w:bookmarkEnd w:id="52"/>
      <w:bookmarkEnd w:id="53"/>
    </w:p>
    <w:p w14:paraId="289ADC0E" w14:textId="481E85C0" w:rsidR="00D839BD" w:rsidRPr="00A609CA" w:rsidRDefault="00E95173" w:rsidP="00D839BD">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54" w:name="_Toc236064843"/>
      <w:bookmarkStart w:id="55" w:name="_Toc242947272"/>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.1. Od horizontalnih preduvjeta prema primjeni UI-ja</w:t>
      </w:r>
      <w:bookmarkEnd w:id="54"/>
      <w:bookmarkEnd w:id="55"/>
    </w:p>
    <w:p w14:paraId="1EEBDA33" w14:textId="354C743C" w:rsidR="00D839BD" w:rsidRPr="009D0F6F" w:rsidRDefault="00B35A09" w:rsidP="00D45691">
      <w:pPr>
        <w:pStyle w:val="Tijeloteksta"/>
        <w:spacing w:before="301" w:line="276" w:lineRule="auto"/>
        <w:ind w:right="283"/>
        <w:jc w:val="both"/>
        <w:rPr>
          <w:color w:val="000000"/>
        </w:rPr>
      </w:pPr>
      <w:r>
        <w:rPr>
          <w:color w:val="000000"/>
        </w:rPr>
        <w:t>Analiza stanja iz prvog poglavlja pokazuje da Republika Hrvatska raspolaže relevantnom digitalnom, stručnom i institucionalnom osnovom za razvoj i primjenu UI-ja, ali i da su postojeće inicijative često rascjepkane, različite razine zrelosti i nedovoljno povezane. Četiri posebna cilja iz drugog poglavlja zato uspostavljaju zajedničke preduvjete za širu primjenu UI-ja: znanja i kompetencije, sigurnu i suverenu računalnu i podatkovnu infrastrukturu, zakonit i odgovoran sustav upravljanja te potporu istraživanju, inovacijama i usvajanju UI-ja u gospodarstvu.</w:t>
      </w:r>
    </w:p>
    <w:p w14:paraId="591E965D" w14:textId="701EB02E" w:rsidR="00D839BD" w:rsidRPr="009D0F6F" w:rsidRDefault="001952F4" w:rsidP="00D45691">
      <w:pPr>
        <w:pStyle w:val="Tijeloteksta"/>
        <w:spacing w:before="301" w:line="276" w:lineRule="auto"/>
        <w:ind w:right="283"/>
        <w:jc w:val="both"/>
        <w:rPr>
          <w:color w:val="000000"/>
        </w:rPr>
      </w:pPr>
      <w:r>
        <w:rPr>
          <w:color w:val="000000"/>
        </w:rPr>
        <w:t>Ovo poglavlje određuje područja u kojima se ti horizontalni preduvjeti trebaju pretvarati u konkretnu javnu, gospodarsku i društvenu vrijednost. Republika Hrvatska će razvoj i primjenu UI-ja usmjeravati prema područjima koja generiraju velike količine podataka, imaju snažan učinak na kvalitetu života građana, konkurentnost gospodarstva, sigurnost i otpornost države te raspolažu znanjem i institucionalnom potražnjom potrebnima za razvoj primjenjivih rješenja.</w:t>
      </w:r>
      <w:r w:rsidR="008A768E">
        <w:rPr>
          <w:color w:val="000000"/>
        </w:rPr>
        <w:t xml:space="preserve"> P</w:t>
      </w:r>
      <w:r w:rsidR="008A768E" w:rsidRPr="008A768E">
        <w:rPr>
          <w:color w:val="000000"/>
        </w:rPr>
        <w:t>osebna će se pozornost posvetiti primjeni UI-ja u strateški važnim gospodarskim i infrastrukturnim područjima, osobito energetici, proizvodnoj industriji, logistici i opskrbnim lancima te kritičnoj infrastrukturi, kao i u trgovačkim društvima u državnom vlasništvu i drugim javnim trgovačkim društvima od strateškog značaja, gdje primjena UI-ja može pridonijeti većoj učinkovitosti, otpornosti, sigurnosti i konkurentnosti.</w:t>
      </w:r>
    </w:p>
    <w:p w14:paraId="057B64B3" w14:textId="27ED9FDF" w:rsidR="00D839BD" w:rsidRPr="009D0F6F" w:rsidRDefault="001952F4" w:rsidP="00D45691">
      <w:pPr>
        <w:pStyle w:val="Tijeloteksta"/>
        <w:spacing w:before="301" w:line="276" w:lineRule="auto"/>
        <w:ind w:right="283"/>
        <w:jc w:val="both"/>
        <w:rPr>
          <w:color w:val="000000"/>
        </w:rPr>
      </w:pPr>
      <w:r>
        <w:rPr>
          <w:color w:val="000000"/>
        </w:rPr>
        <w:t>Razina zrelosti i spremnosti za primjenu UI-ja razlikuje se među područjima. Neka su ranije započela s digitalnom transformacijom, uspostavila podatkovne i institucionalne preduvjete ili već imaju konkretne primjene UI-ja, dok su druga još u fazi razvoja osnovnih kapaciteta, pripreme podataka i oblikovanja projektnih prijedloga. Takve se razlike odražavaju u razini razrađenosti pojedinih područja i dinamici njihove provedbe.</w:t>
      </w:r>
    </w:p>
    <w:p w14:paraId="69D2E49E" w14:textId="1970E9BF" w:rsidR="00D839BD" w:rsidRPr="009D0F6F" w:rsidRDefault="001952F4" w:rsidP="00D45691">
      <w:pPr>
        <w:pStyle w:val="Tijeloteksta"/>
        <w:spacing w:before="301" w:line="276" w:lineRule="auto"/>
        <w:ind w:right="283"/>
        <w:jc w:val="both"/>
        <w:rPr>
          <w:color w:val="000000"/>
        </w:rPr>
      </w:pPr>
      <w:r>
        <w:rPr>
          <w:color w:val="000000"/>
        </w:rPr>
        <w:t>Mnoge javne institucije i poduzeća već uvode digitalna rješenja koja koriste UI, ali se ona često razvijaju kao izolirani projekti, bez zajedničkih standarda, mogućnosti ponovne uporabe i jasnog puta prema skaliranju. Sustavan pristup treba omogućiti kumulativni učinak: zajednička infrastruktura, podaci, sigurnosna pravila, kompetencije i modeli upravljanja trebaju se ponovno koristiti u različitim sektorima, umjesto da se za svaki projekt izgrađuju zasebna rješenja.</w:t>
      </w:r>
    </w:p>
    <w:p w14:paraId="525F75C2" w14:textId="007E6BE9" w:rsidR="00D839BD" w:rsidRDefault="001952F4" w:rsidP="00D45691">
      <w:pPr>
        <w:pStyle w:val="Tijeloteksta"/>
        <w:spacing w:before="301" w:line="276" w:lineRule="auto"/>
        <w:ind w:right="283"/>
        <w:jc w:val="both"/>
        <w:rPr>
          <w:color w:val="000000"/>
        </w:rPr>
      </w:pPr>
      <w:r>
        <w:rPr>
          <w:color w:val="000000"/>
        </w:rPr>
        <w:t>Primjena UI-ja u područjima obuhvaćenima ovim poglavljem provodit će se u skladu s regulatornim, etičkim i sigurnosnim okvirom utvrđenim posebnim ciljevima Nacionalnog plana. Posebna će se pozornost posvetiti kvaliteti i zakonitosti uporabe podataka, zaštiti temeljnih prava, transparentnosti, ljudskom nadzoru, kibernetičkoj sigurnosti, provjeri kvalitete i pouzdanosti modela te jasnoj odgovornosti za njihove rezultate. UI će se primjenjivati kao alat za potporu ljudskom radu i odlučivanju, a ne kao nekontrolirana zamjena za stručnu prosudbu u područjima u kojima odluke mogu imati značajne učinke na prava, zdravlje, sigurnost ili životne prilike pojedinaca.</w:t>
      </w:r>
      <w:r w:rsidR="000C07FB">
        <w:rPr>
          <w:color w:val="000000"/>
        </w:rPr>
        <w:t xml:space="preserve"> Ovo poglavlje ne predstavlja</w:t>
      </w:r>
      <w:r w:rsidR="000C07FB" w:rsidRPr="000C07FB">
        <w:rPr>
          <w:color w:val="000000"/>
        </w:rPr>
        <w:t xml:space="preserve"> zaseban posebni cilj niti provedben</w:t>
      </w:r>
      <w:r w:rsidR="000C07FB">
        <w:rPr>
          <w:color w:val="000000"/>
        </w:rPr>
        <w:t>u</w:t>
      </w:r>
      <w:r w:rsidR="000C07FB" w:rsidRPr="000C07FB">
        <w:rPr>
          <w:color w:val="000000"/>
        </w:rPr>
        <w:t xml:space="preserve"> kategorij</w:t>
      </w:r>
      <w:r w:rsidR="000C07FB">
        <w:rPr>
          <w:color w:val="000000"/>
        </w:rPr>
        <w:t>u</w:t>
      </w:r>
      <w:r w:rsidR="000C07FB" w:rsidRPr="000C07FB">
        <w:rPr>
          <w:color w:val="000000"/>
        </w:rPr>
        <w:t xml:space="preserve">, </w:t>
      </w:r>
      <w:r w:rsidR="00984B6B">
        <w:rPr>
          <w:color w:val="000000"/>
        </w:rPr>
        <w:t>te se mjere za primjenu UI-ja u ključnim područjima</w:t>
      </w:r>
      <w:r w:rsidR="000C07FB" w:rsidRPr="000C07FB">
        <w:rPr>
          <w:color w:val="000000"/>
        </w:rPr>
        <w:t xml:space="preserve"> razvrstavaju pod </w:t>
      </w:r>
      <w:r w:rsidR="00984B6B">
        <w:rPr>
          <w:color w:val="000000"/>
        </w:rPr>
        <w:t>posebne ciljeve</w:t>
      </w:r>
      <w:r w:rsidR="000C07FB" w:rsidRPr="000C07FB">
        <w:rPr>
          <w:color w:val="000000"/>
        </w:rPr>
        <w:t xml:space="preserve"> prema pretežitoj svrsi.</w:t>
      </w:r>
    </w:p>
    <w:p w14:paraId="4722F120" w14:textId="77777777" w:rsidR="00D45691" w:rsidRPr="00561DEC" w:rsidRDefault="00D45691" w:rsidP="00D45691">
      <w:pPr>
        <w:pStyle w:val="Tijeloteksta"/>
        <w:spacing w:before="301" w:line="276" w:lineRule="auto"/>
        <w:ind w:right="283"/>
        <w:jc w:val="both"/>
        <w:rPr>
          <w:color w:val="000000"/>
        </w:rPr>
      </w:pPr>
    </w:p>
    <w:tbl>
      <w:tblPr>
        <w:tblW w:w="0" w:type="auto"/>
        <w:jc w:val="center"/>
        <w:tblLook w:val="04A0" w:firstRow="1" w:lastRow="0" w:firstColumn="1" w:lastColumn="0" w:noHBand="0" w:noVBand="1"/>
      </w:tblPr>
      <w:tblGrid>
        <w:gridCol w:w="10148"/>
      </w:tblGrid>
      <w:tr w:rsidR="00D839BD" w:rsidRPr="00A609CA" w14:paraId="20A242CD" w14:textId="77777777" w:rsidTr="00D839BD">
        <w:trPr>
          <w:jc w:val="center"/>
        </w:trPr>
        <w:tc>
          <w:tcPr>
            <w:tcW w:w="10148" w:type="dxa"/>
            <w:tcBorders>
              <w:top w:val="single" w:sz="6" w:space="0" w:color="A9BBC4"/>
              <w:left w:val="single" w:sz="6" w:space="0" w:color="A9BBC4"/>
              <w:bottom w:val="single" w:sz="6" w:space="0" w:color="A9BBC4"/>
              <w:right w:val="single" w:sz="6" w:space="0" w:color="A9BBC4"/>
            </w:tcBorders>
            <w:shd w:val="clear" w:color="auto" w:fill="EEF5F8"/>
            <w:tcMar>
              <w:top w:w="120" w:type="dxa"/>
              <w:left w:w="140" w:type="dxa"/>
              <w:bottom w:w="120" w:type="dxa"/>
              <w:right w:w="140" w:type="dxa"/>
            </w:tcMar>
            <w:hideMark/>
          </w:tcPr>
          <w:p w14:paraId="4A143066" w14:textId="77777777" w:rsidR="00D839BD" w:rsidRPr="00A609CA" w:rsidRDefault="00D839BD" w:rsidP="00D839BD">
            <w:pPr>
              <w:pStyle w:val="BoxText"/>
              <w:spacing w:line="276" w:lineRule="auto"/>
              <w:rPr>
                <w:rFonts w:ascii="Times New Roman" w:hAnsi="Times New Roman" w:cs="Times New Roman"/>
                <w:sz w:val="24"/>
                <w:szCs w:val="24"/>
                <w:lang w:val="hr-HR"/>
              </w:rPr>
            </w:pPr>
            <w:r>
              <w:rPr>
                <w:rFonts w:ascii="Times New Roman" w:hAnsi="Times New Roman" w:cs="Times New Roman"/>
                <w:b/>
                <w:color w:val="1E4A62"/>
                <w:sz w:val="24"/>
                <w:szCs w:val="24"/>
                <w:lang w:val="hr-HR"/>
              </w:rPr>
              <w:lastRenderedPageBreak/>
              <w:t>Otvoren i postupno razvijan portfelj područja primjene</w:t>
            </w:r>
          </w:p>
          <w:p w14:paraId="0391937F" w14:textId="1ED8BFDE" w:rsidR="00D839BD" w:rsidRPr="009D0F6F" w:rsidRDefault="001952F4" w:rsidP="00D839BD">
            <w:pPr>
              <w:pStyle w:val="BoxText"/>
              <w:spacing w:line="276" w:lineRule="auto"/>
              <w:rPr>
                <w:rFonts w:ascii="Times New Roman" w:hAnsi="Times New Roman"/>
                <w:color w:val="000000"/>
                <w:sz w:val="24"/>
                <w:lang w:val="hr-HR"/>
              </w:rPr>
            </w:pPr>
            <w:r>
              <w:rPr>
                <w:rFonts w:ascii="Times New Roman" w:hAnsi="Times New Roman"/>
                <w:color w:val="000000"/>
                <w:sz w:val="24"/>
                <w:lang w:val="hr-HR"/>
              </w:rPr>
              <w:t>Područja prikazana u ovom poglavlju čine početni strateški okvir za usmjeravanje razvoja i primjene UI-ja do 2032. godine. Njihov popis nije konačan i može se dopunjavati u skladu s tehnološkim razvojem, potrebama građana i gospodarstva, rezultatima istraživanja, spremnošću projekata te dostupnošću podataka, infrastrukture i financiranja.</w:t>
            </w:r>
          </w:p>
          <w:p w14:paraId="02D42BD5" w14:textId="74DB6677" w:rsidR="00D839BD" w:rsidRPr="00A609CA" w:rsidRDefault="001952F4" w:rsidP="00D839BD">
            <w:pPr>
              <w:pStyle w:val="BoxText"/>
              <w:spacing w:line="276" w:lineRule="auto"/>
              <w:rPr>
                <w:rFonts w:ascii="Times New Roman" w:hAnsi="Times New Roman" w:cs="Times New Roman"/>
                <w:sz w:val="24"/>
                <w:szCs w:val="24"/>
                <w:lang w:val="hr-HR"/>
              </w:rPr>
            </w:pPr>
            <w:r>
              <w:rPr>
                <w:rFonts w:ascii="Times New Roman" w:hAnsi="Times New Roman"/>
                <w:color w:val="000000"/>
                <w:sz w:val="24"/>
                <w:lang w:val="hr-HR"/>
              </w:rPr>
              <w:t>Prvi Akcijski plan za razdoblje do kraja 2028. godine obuhvaća početni portfelj sektorskih i međusektorskih mjera za koje su utvrđeni nositelji, provedbeni okvir, mjerljivi rezultati i izvori financiranja. Izostanak zasebne mjere u prvom provedbenom razdoblju ne umanjuje stratešku važnost pojedinog područja, nego odražava različitu razinu projektne, podatkovne, institucionalne i financijske spremnosti. Dodatne mjere razrađivat će se kroz sljedeće akcijske planove.</w:t>
            </w:r>
          </w:p>
        </w:tc>
      </w:tr>
    </w:tbl>
    <w:p w14:paraId="0D50A67E" w14:textId="0BD54D94" w:rsidR="008A13DE" w:rsidRPr="00A609CA" w:rsidRDefault="00E95173" w:rsidP="008A13DE">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56" w:name="_Toc236064844"/>
      <w:bookmarkStart w:id="57" w:name="_Toc242947273"/>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.2. Povezanost sa Strategijom pametne specijalizacije Republike Hrvatske do 2029. godine</w:t>
      </w:r>
      <w:bookmarkEnd w:id="56"/>
      <w:bookmarkEnd w:id="57"/>
    </w:p>
    <w:p w14:paraId="564BAE8E" w14:textId="3251D648" w:rsidR="00D839BD" w:rsidRPr="009D0F6F" w:rsidRDefault="001952F4" w:rsidP="00D45691">
      <w:pPr>
        <w:pStyle w:val="Tijeloteksta"/>
        <w:spacing w:before="301" w:line="276" w:lineRule="auto"/>
        <w:ind w:right="283"/>
        <w:jc w:val="both"/>
        <w:rPr>
          <w:color w:val="000000"/>
        </w:rPr>
      </w:pPr>
      <w:r>
        <w:rPr>
          <w:color w:val="000000"/>
        </w:rPr>
        <w:t>Ključna područja primjene UI-ja odabrana su prema njihovoj mogućnosti stvaranja javne i društvene vrijednosti, gospodarskom i izvoznom potencijalu, dostupnosti znanja i podataka, strateškoj važnosti za sigurnost i otpornost Republike Hrvatske te mogućnosti skaliranja rješenja i povezivanja s europskim inicijativama i lancima vrijednosti. Pri razradi novih intervencija prednost će imati projekti s jasno utvrđenim problemom i korisnicima, odgovornim nositeljem, zakonito dostupnim podacima, realnim provedbenim i financijskim okvirom, upravljivim rizicima te mogućnošću mjerenja rezultata.</w:t>
      </w:r>
      <w:r w:rsidR="00187296">
        <w:rPr>
          <w:color w:val="000000"/>
        </w:rPr>
        <w:t xml:space="preserve"> </w:t>
      </w:r>
    </w:p>
    <w:p w14:paraId="30746E48" w14:textId="66CC69B6" w:rsidR="00D839BD" w:rsidRPr="009D0F6F" w:rsidRDefault="001952F4" w:rsidP="009B04A5">
      <w:pPr>
        <w:pStyle w:val="Tijeloteksta"/>
        <w:spacing w:before="301" w:line="276" w:lineRule="auto"/>
        <w:ind w:right="283"/>
        <w:jc w:val="both"/>
        <w:rPr>
          <w:color w:val="000000"/>
        </w:rPr>
      </w:pPr>
      <w:r>
        <w:rPr>
          <w:color w:val="000000"/>
        </w:rPr>
        <w:t>Primjena UI-ja povezana je sa Strategijom pametne specijalizacije Republike Hrvatske do 2029. godine (S3), koja usmjerava ulaganja u istraživanje, razvoj i inovacije prema sedam tematskih prioritetnih područja: Personalizirana briga o zdravlju; Pametna i čista energija; Pametan i zeleni promet; Sigurnost i dvojna namjena</w:t>
      </w:r>
      <w:r w:rsidR="009B04A5">
        <w:rPr>
          <w:color w:val="000000"/>
        </w:rPr>
        <w:t xml:space="preserve">; </w:t>
      </w:r>
      <w:r>
        <w:rPr>
          <w:color w:val="000000"/>
        </w:rPr>
        <w:t>Održiva i kružna hrana; Prilagođeni i integrirani proizvodi od drva; te Digitalni proizvodi i platforme.</w:t>
      </w:r>
    </w:p>
    <w:p w14:paraId="35D3CC67" w14:textId="799BD0D0" w:rsidR="00CC2BDF" w:rsidRDefault="001952F4" w:rsidP="009B04A5">
      <w:pPr>
        <w:pStyle w:val="Tijeloteksta"/>
        <w:spacing w:before="301" w:line="276" w:lineRule="auto"/>
        <w:ind w:right="283"/>
        <w:jc w:val="both"/>
        <w:rPr>
          <w:color w:val="000000"/>
        </w:rPr>
      </w:pPr>
      <w:r>
        <w:rPr>
          <w:color w:val="000000"/>
        </w:rPr>
        <w:t>Nacionalni plan ne preslikava strukturu prioritetnih područja S3 u cijelosti. S3 je prvenstveno usmjeren na istraživanje, razvoj, inovacije i gospodarsku transformaciju, dok Nacionalni plan obuhvaća i javnu upravu, javne usluge, zaštitu temeljnih prava, sigurnost, otpornost i druga područja javnog interesa. Povezanost se zato uspostavlja kroz zajedničke tehnološke kapacitete, istraživačke i inovacijske projekte, podatkovne i računalne resurse, razvoj vještina te uključivanje hrvatskih dionika u europske lance vrijednosti.</w:t>
      </w:r>
    </w:p>
    <w:p w14:paraId="3DB1B230" w14:textId="77777777" w:rsidR="00C62E31" w:rsidRPr="00C62E31" w:rsidRDefault="00C62E31" w:rsidP="00C62E31">
      <w:pPr>
        <w:pStyle w:val="Tijeloteksta"/>
        <w:spacing w:line="276" w:lineRule="auto"/>
        <w:ind w:right="283"/>
        <w:jc w:val="both"/>
        <w:rPr>
          <w:color w:val="000000"/>
        </w:rPr>
      </w:pPr>
    </w:p>
    <w:tbl>
      <w:tblPr>
        <w:tblW w:w="10800" w:type="dxa"/>
        <w:jc w:val="center"/>
        <w:tblLayout w:type="fixed"/>
        <w:tblLook w:val="04A0" w:firstRow="1" w:lastRow="0" w:firstColumn="1" w:lastColumn="0" w:noHBand="0" w:noVBand="1"/>
      </w:tblPr>
      <w:tblGrid>
        <w:gridCol w:w="5074"/>
        <w:gridCol w:w="5726"/>
      </w:tblGrid>
      <w:tr w:rsidR="00D839BD" w:rsidRPr="00A609CA" w14:paraId="4042E0F9" w14:textId="77777777" w:rsidTr="009D0F6F">
        <w:trPr>
          <w:tblHeade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1E4A62"/>
            <w:tcMar>
              <w:top w:w="100" w:type="dxa"/>
              <w:left w:w="100" w:type="dxa"/>
              <w:bottom w:w="100" w:type="dxa"/>
              <w:right w:w="100" w:type="dxa"/>
            </w:tcMar>
            <w:vAlign w:val="center"/>
            <w:hideMark/>
          </w:tcPr>
          <w:p w14:paraId="02EFD31D" w14:textId="07EB37D4" w:rsidR="00D839BD" w:rsidRPr="00A609CA" w:rsidRDefault="00C92BAF"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b/>
                <w:color w:val="FFFFFF"/>
                <w:sz w:val="24"/>
                <w:szCs w:val="24"/>
                <w:lang w:val="hr-HR"/>
              </w:rPr>
              <w:t xml:space="preserve">Ključna područje primjene UI-ja </w:t>
            </w:r>
          </w:p>
        </w:tc>
        <w:tc>
          <w:tcPr>
            <w:tcW w:w="5726" w:type="dxa"/>
            <w:tcBorders>
              <w:top w:val="single" w:sz="4" w:space="0" w:color="A9BBC4"/>
              <w:left w:val="single" w:sz="4" w:space="0" w:color="A9BBC4"/>
              <w:bottom w:val="single" w:sz="4" w:space="0" w:color="A9BBC4"/>
              <w:right w:val="single" w:sz="4" w:space="0" w:color="A9BBC4"/>
            </w:tcBorders>
            <w:shd w:val="clear" w:color="auto" w:fill="1E4A62"/>
            <w:tcMar>
              <w:top w:w="100" w:type="dxa"/>
              <w:left w:w="100" w:type="dxa"/>
              <w:bottom w:w="100" w:type="dxa"/>
              <w:right w:w="100" w:type="dxa"/>
            </w:tcMar>
            <w:vAlign w:val="center"/>
            <w:hideMark/>
          </w:tcPr>
          <w:p w14:paraId="4582A6B9" w14:textId="33C74E5F" w:rsidR="00D839BD" w:rsidRPr="00A609CA" w:rsidRDefault="001841B1"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b/>
                <w:color w:val="FFFFFF"/>
                <w:sz w:val="24"/>
                <w:szCs w:val="24"/>
                <w:lang w:val="hr-HR"/>
              </w:rPr>
              <w:t>Poveznica sa S3 prioritetnim područjima</w:t>
            </w:r>
          </w:p>
        </w:tc>
      </w:tr>
      <w:tr w:rsidR="00D839BD" w:rsidRPr="00E070B0" w14:paraId="1F55AD11"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60BD9229"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Javna uprava, pravosuđe i javne usluge</w:t>
            </w:r>
          </w:p>
        </w:tc>
        <w:tc>
          <w:tcPr>
            <w:tcW w:w="5726"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639D29B3"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Digitalni proizvodi i platforme; horizontalna primjena istraživanja, razvoja i inovacija u javnom sektoru</w:t>
            </w:r>
          </w:p>
        </w:tc>
      </w:tr>
      <w:tr w:rsidR="00D839BD" w:rsidRPr="00A609CA" w14:paraId="1BFE3E8B"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34DD3460"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Zdravstvo, medicina i biološke znanosti</w:t>
            </w:r>
          </w:p>
        </w:tc>
        <w:tc>
          <w:tcPr>
            <w:tcW w:w="5726"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252F207E"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Personalizirana briga o zdravlju; Digitalni proizvodi i platforme</w:t>
            </w:r>
          </w:p>
        </w:tc>
      </w:tr>
      <w:tr w:rsidR="00D839BD" w:rsidRPr="00E070B0" w14:paraId="78751EFD"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03B219E4"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Industrija, napredna proizvodnja i digitalni proizvodi</w:t>
            </w:r>
          </w:p>
        </w:tc>
        <w:tc>
          <w:tcPr>
            <w:tcW w:w="5726"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6297E690"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Digitalni proizvodi i platforme; Pametna i čista energija; Pametan i zeleni promet; Prilagođeni i integrirani proizvodi od drva; Sigurnost i dvojna namjena</w:t>
            </w:r>
          </w:p>
        </w:tc>
      </w:tr>
      <w:tr w:rsidR="00D839BD" w:rsidRPr="00A609CA" w14:paraId="3B3A2E85"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4032D9B4"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lastRenderedPageBreak/>
              <w:t>Sigurnost, kibernetička sigurnost i nacionalna otpornost</w:t>
            </w:r>
          </w:p>
        </w:tc>
        <w:tc>
          <w:tcPr>
            <w:tcW w:w="5726"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79D6A9BA" w14:textId="0A049189"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Sigurnost i dvojna namjena – svijest, prevencija, odgovor i sanacija; Digitalni proizvodi i platforme</w:t>
            </w:r>
          </w:p>
        </w:tc>
      </w:tr>
      <w:tr w:rsidR="00D839BD" w:rsidRPr="00E070B0" w14:paraId="04410B08"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42177829"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Poljoprivreda, hrana, šumarstvo i bioekonomija</w:t>
            </w:r>
          </w:p>
        </w:tc>
        <w:tc>
          <w:tcPr>
            <w:tcW w:w="5726"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1969A08D"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Održiva i kružna hrana; Prilagođeni i integrirani proizvodi od drva; Digitalni proizvodi i platforme</w:t>
            </w:r>
          </w:p>
        </w:tc>
      </w:tr>
      <w:tr w:rsidR="00D839BD" w:rsidRPr="00A609CA" w14:paraId="14FC3786"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4E50E229"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Energija, okoliš i klimatska otpornost</w:t>
            </w:r>
          </w:p>
        </w:tc>
        <w:tc>
          <w:tcPr>
            <w:tcW w:w="5726"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100117D6"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Pametna i čista energija; Digitalni proizvodi i platforme</w:t>
            </w:r>
          </w:p>
        </w:tc>
      </w:tr>
      <w:tr w:rsidR="00D839BD" w:rsidRPr="00A609CA" w14:paraId="68230BC1"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2AEACDCC"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Promet, mobilnost i logistika</w:t>
            </w:r>
          </w:p>
        </w:tc>
        <w:tc>
          <w:tcPr>
            <w:tcW w:w="5726"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0CE5D4D8"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Pametan i zeleni promet; Digitalni proizvodi i platforme</w:t>
            </w:r>
          </w:p>
        </w:tc>
      </w:tr>
      <w:tr w:rsidR="00D839BD" w:rsidRPr="00E070B0" w14:paraId="75ED1DBF"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2386C82D"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Turizam i pametno upravljanje destinacijama</w:t>
            </w:r>
          </w:p>
        </w:tc>
        <w:tc>
          <w:tcPr>
            <w:tcW w:w="5726" w:type="dxa"/>
            <w:tcBorders>
              <w:top w:val="single" w:sz="4" w:space="0" w:color="A9BBC4"/>
              <w:left w:val="single" w:sz="4" w:space="0" w:color="A9BBC4"/>
              <w:bottom w:val="single" w:sz="4" w:space="0" w:color="A9BBC4"/>
              <w:right w:val="single" w:sz="4" w:space="0" w:color="A9BBC4"/>
            </w:tcBorders>
            <w:tcMar>
              <w:top w:w="85" w:type="dxa"/>
              <w:left w:w="100" w:type="dxa"/>
              <w:bottom w:w="85" w:type="dxa"/>
              <w:right w:w="100" w:type="dxa"/>
            </w:tcMar>
            <w:hideMark/>
          </w:tcPr>
          <w:p w14:paraId="04BA30C1"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Međusektorska poveznica, osobito s Digitalnim proizvodima i platformama, Pametnim i zelenim prometom, Održivom i kružnom hranom te Pametnom i čistom energijom</w:t>
            </w:r>
          </w:p>
        </w:tc>
      </w:tr>
      <w:tr w:rsidR="00D839BD" w:rsidRPr="00E070B0" w14:paraId="34CB97BE" w14:textId="77777777" w:rsidTr="009D0F6F">
        <w:trPr>
          <w:jc w:val="center"/>
        </w:trPr>
        <w:tc>
          <w:tcPr>
            <w:tcW w:w="5074"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249B2D16" w14:textId="743432C4"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Kultura</w:t>
            </w:r>
            <w:r w:rsidR="00C62E31">
              <w:rPr>
                <w:rFonts w:ascii="Times New Roman" w:hAnsi="Times New Roman" w:cs="Times New Roman"/>
                <w:sz w:val="24"/>
                <w:szCs w:val="24"/>
                <w:lang w:val="hr-HR"/>
              </w:rPr>
              <w:t xml:space="preserve"> i </w:t>
            </w:r>
            <w:r>
              <w:rPr>
                <w:rFonts w:ascii="Times New Roman" w:hAnsi="Times New Roman" w:cs="Times New Roman"/>
                <w:sz w:val="24"/>
                <w:szCs w:val="24"/>
                <w:lang w:val="hr-HR"/>
              </w:rPr>
              <w:t xml:space="preserve">mediji </w:t>
            </w:r>
          </w:p>
        </w:tc>
        <w:tc>
          <w:tcPr>
            <w:tcW w:w="5726" w:type="dxa"/>
            <w:tcBorders>
              <w:top w:val="single" w:sz="4" w:space="0" w:color="A9BBC4"/>
              <w:left w:val="single" w:sz="4" w:space="0" w:color="A9BBC4"/>
              <w:bottom w:val="single" w:sz="4" w:space="0" w:color="A9BBC4"/>
              <w:right w:val="single" w:sz="4" w:space="0" w:color="A9BBC4"/>
            </w:tcBorders>
            <w:shd w:val="clear" w:color="auto" w:fill="F2F2F2"/>
            <w:tcMar>
              <w:top w:w="85" w:type="dxa"/>
              <w:left w:w="100" w:type="dxa"/>
              <w:bottom w:w="85" w:type="dxa"/>
              <w:right w:w="100" w:type="dxa"/>
            </w:tcMar>
            <w:hideMark/>
          </w:tcPr>
          <w:p w14:paraId="701D72D7" w14:textId="77777777" w:rsidR="00D839BD" w:rsidRPr="00A609CA" w:rsidRDefault="00D839BD" w:rsidP="00D839BD">
            <w:pPr>
              <w:pStyle w:val="TableText"/>
              <w:spacing w:line="276" w:lineRule="auto"/>
              <w:rPr>
                <w:rFonts w:ascii="Times New Roman" w:hAnsi="Times New Roman" w:cs="Times New Roman"/>
                <w:sz w:val="24"/>
                <w:szCs w:val="24"/>
                <w:lang w:val="hr-HR"/>
              </w:rPr>
            </w:pPr>
            <w:r>
              <w:rPr>
                <w:rFonts w:ascii="Times New Roman" w:hAnsi="Times New Roman" w:cs="Times New Roman"/>
                <w:sz w:val="24"/>
                <w:szCs w:val="24"/>
                <w:lang w:val="hr-HR"/>
              </w:rPr>
              <w:t>Digitalni proizvodi i platforme; povezani kreativni i audiovizualni lanci vrijednosti</w:t>
            </w:r>
          </w:p>
        </w:tc>
      </w:tr>
    </w:tbl>
    <w:p w14:paraId="018934C3" w14:textId="26648287" w:rsidR="00D839BD" w:rsidRPr="009D0F6F" w:rsidRDefault="001952F4" w:rsidP="00224D85">
      <w:pPr>
        <w:pStyle w:val="Tijeloteksta"/>
        <w:spacing w:before="301" w:line="276" w:lineRule="auto"/>
        <w:ind w:right="283"/>
        <w:jc w:val="both"/>
        <w:rPr>
          <w:color w:val="000000"/>
        </w:rPr>
      </w:pPr>
      <w:r>
        <w:rPr>
          <w:color w:val="000000"/>
        </w:rPr>
        <w:t>Nazivi tematskih prioritetnih područja preneseni su iz Strategije pametne specijalizacije Republike Hrvatske do 2029. godine. Poveznice u tablici nisu isključive: pojedina primjena UI-ja može istodobno doprinositi većem broju područja S3 i drugim sektorskim politikama.</w:t>
      </w:r>
    </w:p>
    <w:p w14:paraId="222FD4DD" w14:textId="5ED8A765" w:rsidR="000D7D64" w:rsidRPr="009D0F6F" w:rsidRDefault="00E95173" w:rsidP="00CC2BDF">
      <w:pPr>
        <w:pStyle w:val="Naslov3"/>
        <w:keepNext w:val="0"/>
        <w:keepLines w:val="0"/>
        <w:widowControl w:val="0"/>
        <w:autoSpaceDE w:val="0"/>
        <w:autoSpaceDN w:val="0"/>
        <w:spacing w:before="364" w:line="240" w:lineRule="auto"/>
        <w:jc w:val="both"/>
        <w:rPr>
          <w:rFonts w:ascii="Times New Roman" w:hAnsi="Times New Roman"/>
          <w:b/>
          <w:color w:val="000000"/>
          <w:lang w:val="hr-HR"/>
        </w:rPr>
      </w:pPr>
      <w:bookmarkStart w:id="58" w:name="_Toc236064845"/>
      <w:bookmarkStart w:id="59" w:name="_Toc242947274"/>
      <w:r>
        <w:rPr>
          <w:rFonts w:ascii="Times New Roman" w:hAnsi="Times New Roman"/>
          <w:b/>
          <w:color w:val="000000"/>
          <w:lang w:val="hr-HR"/>
        </w:rPr>
        <w:t>4</w:t>
      </w:r>
      <w:r w:rsidR="00D839BD">
        <w:rPr>
          <w:rFonts w:ascii="Times New Roman" w:hAnsi="Times New Roman"/>
          <w:b/>
          <w:color w:val="000000"/>
          <w:lang w:val="hr-HR"/>
        </w:rPr>
        <w:t>.3. Javna uprava, pravosuđe i javne usluge</w:t>
      </w:r>
      <w:bookmarkEnd w:id="58"/>
      <w:bookmarkEnd w:id="59"/>
    </w:p>
    <w:p w14:paraId="3AC56544" w14:textId="77777777" w:rsidR="00CC2BDF" w:rsidRPr="009D0F6F" w:rsidRDefault="00CC2BDF" w:rsidP="00CC2BDF">
      <w:pPr>
        <w:spacing w:after="0"/>
        <w:rPr>
          <w:color w:val="000000"/>
          <w:lang w:val="hr-HR"/>
        </w:rPr>
      </w:pPr>
    </w:p>
    <w:p w14:paraId="6C8A17C1" w14:textId="384AE21F" w:rsidR="00B37540" w:rsidRPr="009D0F6F" w:rsidRDefault="001952F4" w:rsidP="00224D85">
      <w:pPr>
        <w:pStyle w:val="Tijeloteksta"/>
        <w:spacing w:line="276" w:lineRule="auto"/>
        <w:ind w:right="283"/>
        <w:jc w:val="both"/>
        <w:rPr>
          <w:color w:val="000000"/>
        </w:rPr>
      </w:pPr>
      <w:r>
        <w:rPr>
          <w:color w:val="000000"/>
        </w:rPr>
        <w:t>Javni sektor ima važnu ulogu kao korisnik, naručitelj i regulator UI-ja te kao primjer odgovorne primjene tehnologije. Dosadašnja ulaganja u interoperabilnost registara, središnji podatkovni repozitorij s naprednim analitičkim mogućnostima, modernizaciju CDU-a, sustav e-Građani i Jedinstveni kontaktni centar (JKC) stvaraju temelj za novu generaciju digitalnih javnih usluga. Cilj je da se UI koristi za bržu obradu informacija, smanjenje administrativnog opterećenja, kvalitetnije planiranje i pristupačniju komunikaciju s građanima i poduzetnicima, uz zadržavanje odgovornosti službenika i nadležnih tijela.</w:t>
      </w:r>
      <w:r w:rsidR="0061598A">
        <w:rPr>
          <w:color w:val="000000"/>
        </w:rPr>
        <w:t xml:space="preserve"> </w:t>
      </w:r>
      <w:r w:rsidR="0061598A" w:rsidRPr="0061598A">
        <w:rPr>
          <w:color w:val="000000"/>
        </w:rPr>
        <w:t>Primjena UI-ja obuhvatit će i analitičke i upravljačke funkcije države koje nisu neposredno povezane s pružanjem javnih usluga, uključujući oblikovanje i vrednovanje javnih politika i propisa, proračunsko i fiskalno planiranje, službenu statistiku, upravljanje državnom imovinom i ljudskim potencijalima u državnoj službi te analitičku, jezičnu i konzularnu potporu u vanjskim poslovima. Takva će se rješenja koristiti kao potpora stručnom radu i odlučivanju, uz odgovarajuću kvalitetu podataka, provjerljivost rezultata, ljudski nadzor i zadržavanje odgovornosti nadležnih tijela i službenika.</w:t>
      </w:r>
    </w:p>
    <w:p w14:paraId="119F1368" w14:textId="77777777" w:rsidR="000D7D64" w:rsidRPr="00A609CA" w:rsidRDefault="000D7D64" w:rsidP="000D7D64">
      <w:pPr>
        <w:pStyle w:val="Tijeloteksta"/>
        <w:spacing w:line="276" w:lineRule="auto"/>
        <w:ind w:left="540" w:right="283"/>
        <w:jc w:val="both"/>
      </w:pPr>
    </w:p>
    <w:p w14:paraId="6243A712" w14:textId="247AEBA5" w:rsidR="00D839BD" w:rsidRPr="00A609CA" w:rsidRDefault="00E95173" w:rsidP="00502933">
      <w:pPr>
        <w:pStyle w:val="Naslov5"/>
        <w:spacing w:before="1"/>
      </w:pPr>
      <w:r>
        <w:t>4</w:t>
      </w:r>
      <w:r w:rsidR="00D839BD">
        <w:t>.3.1. Digitalne javne usluge i komunikacija s građanima</w:t>
      </w:r>
    </w:p>
    <w:p w14:paraId="28CA6574" w14:textId="77777777" w:rsidR="000D7D64" w:rsidRPr="00A609CA" w:rsidRDefault="000D7D64" w:rsidP="00502933">
      <w:pPr>
        <w:pStyle w:val="Naslov5"/>
        <w:spacing w:before="1"/>
      </w:pPr>
    </w:p>
    <w:p w14:paraId="0DC2326B" w14:textId="3E6FE8D6" w:rsidR="00105ED9" w:rsidRPr="009D0F6F" w:rsidRDefault="001952F4" w:rsidP="00224D85">
      <w:pPr>
        <w:pStyle w:val="Tijeloteksta"/>
        <w:spacing w:line="276" w:lineRule="auto"/>
        <w:ind w:right="283"/>
        <w:jc w:val="both"/>
        <w:rPr>
          <w:color w:val="000000"/>
        </w:rPr>
      </w:pPr>
      <w:r>
        <w:rPr>
          <w:color w:val="000000"/>
        </w:rPr>
        <w:t>Do 2032. godine razvijat će se nova generacija digitalnih javnih usluga u kojoj će UI asistenti građanima pružati razumljive i pouzdane informacije, voditi ih kroz upravne postupke, pomagati pri ispunjavanju obrazaca i rezervaciji termina te ih, kada je potrebno, povezivati sa službenikom. Takvi će asistenti moći davati personalizirane upute, prepoznavati životne situacije i slati proaktivne obavijesti o promjenama statusa i potrebnim radnjama. Primjena govornih i generativnih modela dodatno će povećati pristupačnost usluga osobama s invaliditetom i korisnicima s različitim razinama digitalnih vještina.</w:t>
      </w:r>
    </w:p>
    <w:p w14:paraId="0367280E" w14:textId="77777777" w:rsidR="00BD201C" w:rsidRPr="00A609CA" w:rsidRDefault="00BD201C" w:rsidP="00BD201C">
      <w:pPr>
        <w:pStyle w:val="Tijeloteksta"/>
        <w:spacing w:line="276" w:lineRule="auto"/>
        <w:ind w:left="540" w:right="283"/>
        <w:jc w:val="both"/>
      </w:pPr>
    </w:p>
    <w:p w14:paraId="28274FC2" w14:textId="43D50AA2" w:rsidR="00B37540" w:rsidRPr="009D0F6F" w:rsidRDefault="001952F4" w:rsidP="00224D85">
      <w:pPr>
        <w:pStyle w:val="Tijeloteksta"/>
        <w:spacing w:line="276" w:lineRule="auto"/>
        <w:ind w:right="283"/>
        <w:jc w:val="both"/>
        <w:rPr>
          <w:color w:val="000000"/>
        </w:rPr>
      </w:pPr>
      <w:r>
        <w:rPr>
          <w:color w:val="000000"/>
        </w:rPr>
        <w:t>Razvijat će se i UI rješenja za pametnu klasifikaciju podnesaka koja na ulazu u sustav prepoznaju vrstu predmeta, izdvajaju relevantne podatke iz dokumenata te predlažu nadležnu organizacijsku jedinicu za daljnju obradu. Nove funkcionalnosti oslanjat će se na postojeće module državne informacijske infrastrukture, standardizirane podatkovne tokove i sigurnu pohranu u okviru CDU-a, čime će se omogućiti njihova ponovna uporaba u različitim tijelima i uslugama.</w:t>
      </w:r>
    </w:p>
    <w:p w14:paraId="3C728585" w14:textId="77777777" w:rsidR="000D7D64" w:rsidRPr="00A609CA" w:rsidRDefault="000D7D64" w:rsidP="000D7D64">
      <w:pPr>
        <w:pStyle w:val="Tijeloteksta"/>
        <w:spacing w:line="276" w:lineRule="auto"/>
        <w:ind w:left="540" w:right="283"/>
        <w:jc w:val="both"/>
      </w:pPr>
    </w:p>
    <w:p w14:paraId="64276D1B" w14:textId="3F6EF056" w:rsidR="00D839BD" w:rsidRPr="00A609CA" w:rsidRDefault="00E95173" w:rsidP="00B37540">
      <w:pPr>
        <w:pStyle w:val="Naslov5"/>
        <w:spacing w:before="1"/>
      </w:pPr>
      <w:r>
        <w:t>4</w:t>
      </w:r>
      <w:r w:rsidR="00D839BD">
        <w:t>.3.2. Potpora administrativnim, upravnim i pravosudnim postupcima</w:t>
      </w:r>
    </w:p>
    <w:p w14:paraId="14DC4A2B" w14:textId="77777777" w:rsidR="008C1E48" w:rsidRPr="00A609CA" w:rsidRDefault="008C1E48" w:rsidP="00B37540">
      <w:pPr>
        <w:pStyle w:val="Naslov5"/>
        <w:spacing w:before="1"/>
      </w:pPr>
    </w:p>
    <w:p w14:paraId="579193C7" w14:textId="139CE2B0" w:rsidR="00D839BD" w:rsidRPr="009D0F6F" w:rsidRDefault="001952F4" w:rsidP="00224D85">
      <w:pPr>
        <w:pStyle w:val="Tijeloteksta"/>
        <w:spacing w:line="276" w:lineRule="auto"/>
        <w:ind w:right="283"/>
        <w:jc w:val="both"/>
        <w:rPr>
          <w:color w:val="000000"/>
        </w:rPr>
      </w:pPr>
      <w:r>
        <w:rPr>
          <w:color w:val="000000"/>
        </w:rPr>
        <w:t>Postupno će se uvoditi UI rješenja koja preuzimaju ponavljajuće, tehničke i vremenski zahtjevne dijelove postupaka, dok službenici, suci i drugi ovlašteni stručnjaci zadržavaju ovlasti odlučivanja. Automatska provjera potpunosti dokumentacije može prepoznati nedostajuće priloge i korisniku pravodobno pružiti jasnu obavijest. Optičko prepoznavanje znakova i ekstrakcija podataka iz skeniranih obrazaca smanjit će potrebu za ručnim prepisivanjem, a modeli za otkrivanje duplikata i nekonzistentnih prijava pridonijet će kvaliteti registara i evidencija.</w:t>
      </w:r>
    </w:p>
    <w:p w14:paraId="5E6A2930" w14:textId="77777777" w:rsidR="00BD201C" w:rsidRPr="00A609CA" w:rsidRDefault="00BD201C" w:rsidP="00BD201C">
      <w:pPr>
        <w:pStyle w:val="Tijeloteksta"/>
        <w:spacing w:line="276" w:lineRule="auto"/>
        <w:ind w:left="540" w:right="283"/>
        <w:jc w:val="both"/>
      </w:pPr>
    </w:p>
    <w:p w14:paraId="06DF1383" w14:textId="5B65F981" w:rsidR="00D839BD" w:rsidRPr="009D0F6F" w:rsidRDefault="00D839BD" w:rsidP="00224D85">
      <w:pPr>
        <w:pStyle w:val="Tijeloteksta"/>
        <w:spacing w:line="276" w:lineRule="auto"/>
        <w:ind w:right="283"/>
        <w:jc w:val="both"/>
        <w:rPr>
          <w:color w:val="000000"/>
        </w:rPr>
      </w:pPr>
      <w:r>
        <w:rPr>
          <w:color w:val="000000"/>
        </w:rPr>
        <w:t>U pravosuđu će se UI koristiti za analitičku i stručnu potporu, primjerice za pretraživanje i sažimanje dokumentacije, analizu trajanja i troškova postupaka, uočavanje procesnih obrazaca te bolju dostupnost informacija građanima i pravosudnim dužnosnicima. Takvi alati neće donositi sudske odluke niti zamjenjivati pravni savjet, nego će služiti kao potpora pripremi rada, analizi i informiranju. Njihov razvoj mora se temeljiti na pouzdanim podacima, zaštiti povjerljivosti, transparentnosti i ljudskom nadzoru.</w:t>
      </w:r>
    </w:p>
    <w:p w14:paraId="67703B29" w14:textId="77777777" w:rsidR="00BD201C" w:rsidRPr="00A609CA" w:rsidRDefault="00BD201C" w:rsidP="00BD201C">
      <w:pPr>
        <w:pStyle w:val="Tijeloteksta"/>
        <w:spacing w:line="276" w:lineRule="auto"/>
        <w:ind w:left="540" w:right="283"/>
        <w:jc w:val="both"/>
      </w:pPr>
    </w:p>
    <w:p w14:paraId="5A018720" w14:textId="34619B23" w:rsidR="00B37540" w:rsidRPr="009D0F6F" w:rsidRDefault="001952F4" w:rsidP="00224D85">
      <w:pPr>
        <w:pStyle w:val="Tijeloteksta"/>
        <w:spacing w:line="276" w:lineRule="auto"/>
        <w:ind w:right="283"/>
        <w:jc w:val="both"/>
        <w:rPr>
          <w:color w:val="000000"/>
        </w:rPr>
      </w:pPr>
      <w:r>
        <w:rPr>
          <w:color w:val="000000"/>
        </w:rPr>
        <w:t>Prediktivni modeli za planiranje kapaciteta koristit će povijesne podatke o broju i sezonalnosti zahtjeva kako bi se procijenila opterećenost pojedinih usluga i predložila optimalna raspodjela vremena i resursa. Time se mogu smanjiti liste čekanja i ubrzati rješavanje predmeta, bez automatizacije odluka koje utječu na prava i obveze građana.</w:t>
      </w:r>
    </w:p>
    <w:p w14:paraId="47D213C0" w14:textId="77777777" w:rsidR="000D7D64" w:rsidRPr="00A609CA" w:rsidRDefault="000D7D64" w:rsidP="000D7D64">
      <w:pPr>
        <w:pStyle w:val="Tijeloteksta"/>
        <w:spacing w:line="276" w:lineRule="auto"/>
        <w:ind w:left="540" w:right="283"/>
        <w:jc w:val="both"/>
      </w:pPr>
    </w:p>
    <w:p w14:paraId="03D8BE07" w14:textId="09CADB6D" w:rsidR="00D839BD" w:rsidRPr="00A609CA" w:rsidRDefault="00E95173" w:rsidP="00B37540">
      <w:pPr>
        <w:pStyle w:val="Naslov5"/>
        <w:spacing w:before="1"/>
      </w:pPr>
      <w:r>
        <w:t>4</w:t>
      </w:r>
      <w:r w:rsidR="00D839BD">
        <w:t>.3.3. Nadzorne, inspekcijske i regulatorne funkcije države</w:t>
      </w:r>
    </w:p>
    <w:p w14:paraId="44F65B1B" w14:textId="77777777" w:rsidR="000D7D64" w:rsidRPr="00A609CA" w:rsidRDefault="000D7D64" w:rsidP="00B37540">
      <w:pPr>
        <w:pStyle w:val="Naslov5"/>
        <w:spacing w:before="1"/>
      </w:pPr>
    </w:p>
    <w:p w14:paraId="2CFEBC48" w14:textId="1F895486" w:rsidR="00D839BD" w:rsidRPr="009D0F6F" w:rsidRDefault="001952F4" w:rsidP="00224D85">
      <w:pPr>
        <w:pStyle w:val="Tijeloteksta"/>
        <w:spacing w:line="276" w:lineRule="auto"/>
        <w:ind w:right="283"/>
        <w:jc w:val="both"/>
        <w:rPr>
          <w:color w:val="000000"/>
        </w:rPr>
      </w:pPr>
      <w:r>
        <w:rPr>
          <w:color w:val="000000"/>
        </w:rPr>
        <w:t>Republika Hrvatska će primjenjivati UI za precizniji, učinkovitiji i pravedniji nadzor u poreznim, carinskim, trošarinskim i drugim regulatornim sustavima. Modeli analitike rizika mogu identificirati obrasce koji upućuju na nepravilnosti u prijavi obveza, carinskoj vrijednosti robe, fiskalizaciji, tokovima novca ili korištenju javnih sredstava. Time se omogućuje manje neselektivnih nadzora i više ciljanih postupanja temeljenih na procijenjenom riziku, uz istodobno smanjenje opterećenja savjesnih obveznika.</w:t>
      </w:r>
    </w:p>
    <w:p w14:paraId="479AF097" w14:textId="77777777" w:rsidR="00BD201C" w:rsidRPr="00A609CA" w:rsidRDefault="00BD201C" w:rsidP="00BD201C">
      <w:pPr>
        <w:pStyle w:val="Tijeloteksta"/>
        <w:spacing w:line="276" w:lineRule="auto"/>
        <w:ind w:left="540" w:right="283"/>
        <w:jc w:val="both"/>
      </w:pPr>
    </w:p>
    <w:p w14:paraId="4389D04D" w14:textId="6A79F2AA" w:rsidR="00D839BD" w:rsidRPr="009D0F6F" w:rsidRDefault="001952F4" w:rsidP="00224D85">
      <w:pPr>
        <w:pStyle w:val="Tijeloteksta"/>
        <w:spacing w:line="276" w:lineRule="auto"/>
        <w:ind w:right="283"/>
        <w:jc w:val="both"/>
        <w:rPr>
          <w:color w:val="000000"/>
        </w:rPr>
      </w:pPr>
      <w:r>
        <w:rPr>
          <w:color w:val="000000"/>
        </w:rPr>
        <w:t>Automatizirano pretraživanje zakonito dostupnih javnih izvora može poduprijeti provjeru tržišnih cijena, dostupnosti robe ili drugih relevantnih okolnosti u sektorima poput trgovine, poljoprivrede i građevine. UI može unaprijediti i trijažu slučajeva u socijalnoj skrbi, komunalnim dojavama i kriznom upravljanju, pri čemu sustav predlaže razinu hitnosti, a odgovorna osoba potvrđuje odluku i daljnje postupanje.</w:t>
      </w:r>
    </w:p>
    <w:p w14:paraId="5FF43E2E" w14:textId="77777777" w:rsidR="000D7D64" w:rsidRPr="00A609CA" w:rsidRDefault="000D7D64" w:rsidP="000D7D64">
      <w:pPr>
        <w:pStyle w:val="Tijeloteksta"/>
        <w:spacing w:line="276" w:lineRule="auto"/>
        <w:ind w:left="540" w:right="283"/>
        <w:jc w:val="both"/>
      </w:pPr>
    </w:p>
    <w:p w14:paraId="1908F204" w14:textId="1E345393" w:rsidR="00D839BD" w:rsidRPr="00A609CA" w:rsidRDefault="00E95173" w:rsidP="00EF483A">
      <w:pPr>
        <w:pStyle w:val="Naslov5"/>
        <w:spacing w:before="1"/>
      </w:pPr>
      <w:r>
        <w:t>4</w:t>
      </w:r>
      <w:r w:rsidR="00D839BD">
        <w:t>.3.4. Sigurna, odgovorna i skalabilna primjena</w:t>
      </w:r>
    </w:p>
    <w:p w14:paraId="2F7BD8A6" w14:textId="77777777" w:rsidR="000D7D64" w:rsidRPr="00A609CA" w:rsidRDefault="000D7D64" w:rsidP="00EF483A">
      <w:pPr>
        <w:pStyle w:val="Naslov5"/>
        <w:spacing w:before="1"/>
      </w:pPr>
    </w:p>
    <w:p w14:paraId="07394758" w14:textId="72BA5FD5" w:rsidR="00D839BD" w:rsidRPr="009D0F6F" w:rsidRDefault="00767491" w:rsidP="00224D85">
      <w:pPr>
        <w:pStyle w:val="Tijeloteksta"/>
        <w:spacing w:line="276" w:lineRule="auto"/>
        <w:ind w:right="283"/>
        <w:jc w:val="both"/>
        <w:rPr>
          <w:color w:val="000000"/>
        </w:rPr>
      </w:pPr>
      <w:r>
        <w:rPr>
          <w:color w:val="000000"/>
        </w:rPr>
        <w:t xml:space="preserve">UI rješenja u javnoj upravi uvodit će se kroz kontrolirana i sigurna okruženja državne informacijske infrastrukture. Uspostavit će se zajednička pravila za nabavu, razvoj, testiranje, dokumentiranje, nadzor i ponovnu uporabu Ui rješenja, kao i mehanizmi praćenja kvalitete, mogućih pristranosti i odstupanja u </w:t>
      </w:r>
      <w:r>
        <w:rPr>
          <w:color w:val="000000"/>
        </w:rPr>
        <w:lastRenderedPageBreak/>
        <w:t>ishodima. Službenici će biti osposobljeni za razumijevanje mogućnosti i ograničenja modela, procjenu rizika i odgovorno postupanje s podacima.</w:t>
      </w:r>
      <w:r w:rsidR="000814AC">
        <w:rPr>
          <w:color w:val="000000"/>
        </w:rPr>
        <w:t xml:space="preserve"> </w:t>
      </w:r>
      <w:r w:rsidR="00D5352A" w:rsidRPr="00D5352A">
        <w:rPr>
          <w:color w:val="000000"/>
        </w:rPr>
        <w:t>Pri razvoju i primjeni UI rješenja u javnom sektoru provodit će se odgovarajuće procjene rizika, uključujući informacijsku sigurnost, zaštitu podataka, sigurnost UI sustava i dobavljačkog lanca, u skladu s namjenom sustava, razinom rizika i primjenjivim propisima.</w:t>
      </w:r>
    </w:p>
    <w:p w14:paraId="15919C65" w14:textId="77777777" w:rsidR="00852F06" w:rsidRPr="00A609CA" w:rsidRDefault="00852F06" w:rsidP="00852F06">
      <w:pPr>
        <w:pStyle w:val="Tijeloteksta"/>
        <w:spacing w:line="276" w:lineRule="auto"/>
        <w:ind w:left="540" w:right="283"/>
        <w:jc w:val="both"/>
      </w:pPr>
    </w:p>
    <w:p w14:paraId="3B729DD0" w14:textId="320947F8" w:rsidR="00D839BD" w:rsidRPr="00A609CA" w:rsidRDefault="000570CA" w:rsidP="00224D85">
      <w:pPr>
        <w:pStyle w:val="Tijeloteksta"/>
        <w:spacing w:line="276" w:lineRule="auto"/>
        <w:ind w:right="283"/>
        <w:jc w:val="both"/>
      </w:pPr>
      <w:r>
        <w:rPr>
          <w:color w:val="000000"/>
        </w:rPr>
        <w:t>Središnji podatkovni repozitorij, metaregistar javnih podataka, sustav interoperabilnosti i nadogradnja CDU-a u zajedničku platformu za primjenu UI-ja omogućit će da se UI rješenja razvijaju na kvalitetnim, ažurnim i provjerenim podacima te, kada je opravdano, ponovno koriste u više tijela. Time se izbjegava rascjepkanost, smanjuju troškovi i osigurava ujednačena razina sigurnosti i upravljanja</w:t>
      </w:r>
      <w:r>
        <w:t>.</w:t>
      </w:r>
    </w:p>
    <w:p w14:paraId="68260C4B" w14:textId="77777777" w:rsidR="00852F06" w:rsidRPr="00A609CA" w:rsidRDefault="00852F06" w:rsidP="00852F06">
      <w:pPr>
        <w:pStyle w:val="Tijeloteksta"/>
        <w:spacing w:line="276" w:lineRule="auto"/>
        <w:ind w:right="283"/>
        <w:jc w:val="both"/>
      </w:pPr>
    </w:p>
    <w:p w14:paraId="371CF9CC" w14:textId="2E80744A" w:rsidR="00D839BD" w:rsidRPr="009D0F6F" w:rsidRDefault="00D839BD" w:rsidP="00224D85">
      <w:pPr>
        <w:pStyle w:val="Tijeloteksta"/>
        <w:spacing w:line="276" w:lineRule="auto"/>
        <w:ind w:right="283"/>
        <w:jc w:val="both"/>
        <w:rPr>
          <w:color w:val="000000"/>
        </w:rPr>
      </w:pPr>
      <w:r>
        <w:rPr>
          <w:color w:val="000000"/>
        </w:rPr>
        <w:t>U prvom provedbenom razdoblju prioritet će imati unaprjeđenje sustava e-Građani i integracije e-usluga, razvoj UI alata za analizu sudskih postupaka te uspostava okvira za primjenu UI rješenja u Carinskoj upravi. Drugi slučajevi uporabe uključivat će se u sljedeće akcijske planove prema razini pripremljenosti, mogućnosti ponovne uporabe i osiguranim izvorima financiranja.</w:t>
      </w:r>
    </w:p>
    <w:p w14:paraId="6DA7DAA7" w14:textId="66CC637D" w:rsidR="00D839BD" w:rsidRPr="00A609CA" w:rsidRDefault="00E95173" w:rsidP="00683224">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60" w:name="_Toc236064846"/>
      <w:bookmarkStart w:id="61" w:name="_Toc242947275"/>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.4. Zdravstvo, medicina i biološke znanosti</w:t>
      </w:r>
      <w:bookmarkEnd w:id="60"/>
      <w:bookmarkEnd w:id="61"/>
    </w:p>
    <w:p w14:paraId="0B880A88" w14:textId="77777777" w:rsidR="000D7D64" w:rsidRPr="009D0F6F" w:rsidRDefault="000D7D64" w:rsidP="00D80FA4">
      <w:pPr>
        <w:spacing w:after="0"/>
        <w:rPr>
          <w:color w:val="000000"/>
          <w:lang w:val="hr-HR"/>
        </w:rPr>
      </w:pPr>
    </w:p>
    <w:p w14:paraId="5B7C26D0" w14:textId="693DC2F4" w:rsidR="00D839BD" w:rsidRPr="009D0F6F" w:rsidRDefault="00D839BD" w:rsidP="00224D85">
      <w:pPr>
        <w:pStyle w:val="Tijeloteksta"/>
        <w:spacing w:line="276" w:lineRule="auto"/>
        <w:ind w:right="283"/>
        <w:jc w:val="both"/>
        <w:rPr>
          <w:color w:val="000000"/>
        </w:rPr>
      </w:pPr>
      <w:r>
        <w:rPr>
          <w:color w:val="000000"/>
        </w:rPr>
        <w:t>U zdravstvu se svakodnevno prikupljaju i obrađuju velike količine podataka o pacijentima, povijesti bolesti, dijagnostici, terapijama i organizaciji zdravstvenih usluga. Zbog toga je zdravstvo jedno od područja s najvećim potencijalom za primjenu UI-ja, ali i područje u kojem pogreške mogu imati ozbiljne posljedice. Razvoj mora istodobno odgovoriti na pravna, etička, organizacijska i sigurnosna pitanja, osobito na pitanja privatnosti, kvalitete podataka, kliničke validacije, odgovornosti i zadržavanja stručnog nadzora zdravstvenih djelatnika.</w:t>
      </w:r>
    </w:p>
    <w:p w14:paraId="10DE477E" w14:textId="77777777" w:rsidR="00D80FA4" w:rsidRPr="00A609CA" w:rsidRDefault="00D80FA4" w:rsidP="00D80FA4">
      <w:pPr>
        <w:pStyle w:val="Tijeloteksta"/>
        <w:spacing w:line="276" w:lineRule="auto"/>
        <w:ind w:left="540" w:right="283"/>
        <w:jc w:val="both"/>
      </w:pPr>
    </w:p>
    <w:p w14:paraId="44E9D400" w14:textId="283D7749" w:rsidR="00D839BD" w:rsidRPr="009D0F6F" w:rsidRDefault="00D839BD" w:rsidP="00224D85">
      <w:pPr>
        <w:pStyle w:val="Tijeloteksta"/>
        <w:spacing w:line="276" w:lineRule="auto"/>
        <w:ind w:right="283"/>
        <w:jc w:val="both"/>
        <w:rPr>
          <w:color w:val="000000"/>
        </w:rPr>
      </w:pPr>
      <w:r>
        <w:rPr>
          <w:color w:val="000000"/>
        </w:rPr>
        <w:t>U hrvatskim zdravstvenim ustanovama već postoje rješenja koja u određenoj mjeri koriste UI modele, najčešće kao funkcionalni dio certificiranih medicinskih proizvoda ili pilot-projekata pojedinih ustanova. Ulaganja u digitalnu slikovnu dijagnostiku, bolničke informacijske sustave, telemedicinu, robotsku kirurgiju, onkološke podatke i modernizaciju operacijskih i dijagnostičkih jedinica stvaraju osnovu za širu i sustavniju primjenu.</w:t>
      </w:r>
    </w:p>
    <w:p w14:paraId="55174E59" w14:textId="77777777" w:rsidR="000D7D64" w:rsidRPr="00A609CA" w:rsidRDefault="000D7D64" w:rsidP="000D7D64">
      <w:pPr>
        <w:pStyle w:val="Tijeloteksta"/>
        <w:spacing w:line="276" w:lineRule="auto"/>
        <w:ind w:left="540" w:right="283"/>
        <w:jc w:val="both"/>
      </w:pPr>
    </w:p>
    <w:p w14:paraId="5976E70E" w14:textId="23E703BE" w:rsidR="00D839BD" w:rsidRPr="00A609CA" w:rsidRDefault="00E95173" w:rsidP="00EF483A">
      <w:pPr>
        <w:pStyle w:val="Naslov5"/>
        <w:spacing w:before="1"/>
      </w:pPr>
      <w:r>
        <w:t>4</w:t>
      </w:r>
      <w:r w:rsidR="00D839BD">
        <w:t>.4.1. Prevencija, rano otkrivanje bolesti i personalizirana dijagnostika</w:t>
      </w:r>
    </w:p>
    <w:p w14:paraId="7C0AAA59" w14:textId="77777777" w:rsidR="000D7D64" w:rsidRPr="00A609CA" w:rsidRDefault="000D7D64" w:rsidP="00EF483A">
      <w:pPr>
        <w:pStyle w:val="Naslov5"/>
        <w:spacing w:before="1"/>
      </w:pPr>
    </w:p>
    <w:p w14:paraId="418AE2DF" w14:textId="4A087510" w:rsidR="00D839BD" w:rsidRPr="009D0F6F" w:rsidRDefault="00E453C8" w:rsidP="00224D85">
      <w:pPr>
        <w:pStyle w:val="Tijeloteksta"/>
        <w:spacing w:line="276" w:lineRule="auto"/>
        <w:ind w:right="283"/>
        <w:jc w:val="both"/>
        <w:rPr>
          <w:color w:val="000000"/>
        </w:rPr>
      </w:pPr>
      <w:r>
        <w:rPr>
          <w:color w:val="000000"/>
        </w:rPr>
        <w:t>Republika Hrvatska će razvijati i uvoditi sustave UI-ja koji podupiru radiologiju, patologiju, citologiju, laboratorijsku medicinu i druga dijagnostička područja. Digitalni radiološki sustavi, suvremeni uređaji za magnetsku rezonanciju i računalnu tomografiju, angiografski i endoskopski sustavi omogućuju primjenu modela za analizu medicinskih slika, uočavanje sumnjivih promjena i prioritizaciju nalaza. Pilot-projekti analize kompjutorizirane tomografije (CT), snimki magnetske rezonancije (MR) i mamografije te uporaba specijaliziranih sustava u programima probira pokazuju mogući smjer daljnjeg razvoja.</w:t>
      </w:r>
    </w:p>
    <w:p w14:paraId="0FB04088" w14:textId="77777777" w:rsidR="00D80FA4" w:rsidRPr="00A609CA" w:rsidRDefault="00D80FA4" w:rsidP="00D80FA4">
      <w:pPr>
        <w:pStyle w:val="Tijeloteksta"/>
        <w:spacing w:line="276" w:lineRule="auto"/>
        <w:ind w:left="540" w:right="283"/>
        <w:jc w:val="both"/>
      </w:pPr>
    </w:p>
    <w:p w14:paraId="082E563D" w14:textId="618AA71D" w:rsidR="00D839BD" w:rsidRPr="009D0F6F" w:rsidRDefault="00D839BD" w:rsidP="00224D85">
      <w:pPr>
        <w:pStyle w:val="Tijeloteksta"/>
        <w:spacing w:line="276" w:lineRule="auto"/>
        <w:ind w:right="283"/>
        <w:jc w:val="both"/>
        <w:rPr>
          <w:color w:val="000000"/>
        </w:rPr>
      </w:pPr>
      <w:r>
        <w:rPr>
          <w:color w:val="000000"/>
        </w:rPr>
        <w:t>U onkologiji će standardizirani i strukturirani nalazi, Nacionalna onkološka mreža i nacionalne baze podataka omogućiti razvoj modela za praćenje zdravstvenih putanja, procjenu odgovora na terapiju i personaliziranu potporu liječenju. U robotskoj kirurgiji i radioterapiji UI se može koristiti za preciznije planiranje zahvata, konturiranje i adaptivno planiranje terapije, pri čemu nadzor, odluke i izvođenje postupaka ostaju u rukama licenciranih zdravstvenih stručnjaka.</w:t>
      </w:r>
    </w:p>
    <w:p w14:paraId="7D502187" w14:textId="77777777" w:rsidR="00D80FA4" w:rsidRPr="009D0F6F" w:rsidRDefault="00D80FA4" w:rsidP="00D80FA4">
      <w:pPr>
        <w:pStyle w:val="Tijeloteksta"/>
        <w:spacing w:line="276" w:lineRule="auto"/>
        <w:ind w:left="540" w:right="283"/>
        <w:jc w:val="both"/>
        <w:rPr>
          <w:color w:val="000000"/>
        </w:rPr>
      </w:pPr>
    </w:p>
    <w:p w14:paraId="74AF11BD" w14:textId="1BE76A27" w:rsidR="00D839BD" w:rsidRPr="009D0F6F" w:rsidRDefault="00E453C8" w:rsidP="00224D85">
      <w:pPr>
        <w:pStyle w:val="Tijeloteksta"/>
        <w:spacing w:line="276" w:lineRule="auto"/>
        <w:ind w:right="283"/>
        <w:jc w:val="both"/>
        <w:rPr>
          <w:color w:val="000000"/>
        </w:rPr>
      </w:pPr>
      <w:r>
        <w:rPr>
          <w:color w:val="000000"/>
        </w:rPr>
        <w:lastRenderedPageBreak/>
        <w:t>Cilj je postupno povećavati dostupnost klinički potvrđene dijagnostike potpomognute UI-jem u područjima u kojima ona može povećati točnost nalaza, skratiti vrijeme obrade i smanjiti broj ponovljenih pretraga. Uvođenje će se temeljiti na dokazima o kliničkoj koristi, regulatornoj usklađenosti i procjeni troškova i koristi za zdravstveni sustav.</w:t>
      </w:r>
    </w:p>
    <w:p w14:paraId="74866677" w14:textId="77777777" w:rsidR="000D7D64" w:rsidRPr="00A609CA" w:rsidRDefault="000D7D64" w:rsidP="000D7D64">
      <w:pPr>
        <w:pStyle w:val="Tijeloteksta"/>
        <w:spacing w:line="276" w:lineRule="auto"/>
        <w:ind w:left="540" w:right="283"/>
        <w:jc w:val="both"/>
      </w:pPr>
    </w:p>
    <w:p w14:paraId="7B48669C" w14:textId="1514DF0C" w:rsidR="00D839BD" w:rsidRPr="00A609CA" w:rsidRDefault="00E95173" w:rsidP="00EF483A">
      <w:pPr>
        <w:pStyle w:val="Naslov5"/>
        <w:spacing w:before="1"/>
      </w:pPr>
      <w:r>
        <w:t>4</w:t>
      </w:r>
      <w:r w:rsidR="00D839BD">
        <w:t>.4.2. Planiranje kapaciteta i upravljanje zdravstvenim procesima</w:t>
      </w:r>
    </w:p>
    <w:p w14:paraId="4384A3F1" w14:textId="77777777" w:rsidR="000C68C5" w:rsidRPr="009D0F6F" w:rsidRDefault="000C68C5" w:rsidP="00EF483A">
      <w:pPr>
        <w:pStyle w:val="Naslov5"/>
        <w:spacing w:before="1"/>
        <w:rPr>
          <w:color w:val="000000"/>
        </w:rPr>
      </w:pPr>
    </w:p>
    <w:p w14:paraId="23955EB1" w14:textId="05F02740" w:rsidR="00D839BD" w:rsidRPr="009D0F6F" w:rsidRDefault="00E453C8" w:rsidP="00224D85">
      <w:pPr>
        <w:pStyle w:val="Tijeloteksta"/>
        <w:spacing w:line="276" w:lineRule="auto"/>
        <w:ind w:right="283"/>
        <w:jc w:val="both"/>
        <w:rPr>
          <w:color w:val="000000"/>
        </w:rPr>
      </w:pPr>
      <w:r>
        <w:rPr>
          <w:color w:val="000000"/>
        </w:rPr>
        <w:t>Razvijat će se napredni analitički modeli za predviđanje potrošnje lijekova, potrebe za bolničkim krevetima, opterećenosti hitnih službi, raspoloživosti medicinskog osoblja i drugih ključnih kapaciteta. Digitalizirani bolnički i hitni prijemi, praćenje učinkovitosti sustava, funkcionalna integracija bolnica i razvoj dnevnih bolnica i jednodnevnih kirurgija stvaraju podatkovnu osnovu za bolje planiranje zdravstvene mreže.</w:t>
      </w:r>
    </w:p>
    <w:p w14:paraId="7BF70A57" w14:textId="77777777" w:rsidR="00D80FA4" w:rsidRPr="00A609CA" w:rsidRDefault="00D80FA4" w:rsidP="00D80FA4">
      <w:pPr>
        <w:pStyle w:val="Tijeloteksta"/>
        <w:spacing w:line="276" w:lineRule="auto"/>
        <w:ind w:left="540" w:right="283"/>
        <w:jc w:val="both"/>
      </w:pPr>
    </w:p>
    <w:p w14:paraId="345E750F" w14:textId="17CCD0A0" w:rsidR="00D839BD" w:rsidRPr="009D0F6F" w:rsidRDefault="00E453C8" w:rsidP="00224D85">
      <w:pPr>
        <w:pStyle w:val="Tijeloteksta"/>
        <w:spacing w:line="276" w:lineRule="auto"/>
        <w:ind w:right="283"/>
        <w:jc w:val="both"/>
        <w:rPr>
          <w:color w:val="000000"/>
        </w:rPr>
      </w:pPr>
      <w:r>
        <w:rPr>
          <w:color w:val="000000"/>
        </w:rPr>
        <w:t>Sustavi za praćenje i sprječavanje nestašica lijekova te digitalizacija puta lijeka i raspodjele jedinične terapije omogućit će UI analitiku potrošnje, predviđanje poremećaja u opskrbi, optimizaciju zaliha i uočavanje neusklađenosti u terapijskim procesima. Povezivanje s Centralnim zdravstvenim informacijskim sustavom (CEZIH) i telemedicinskim sustavima može unaprijediti dostupnost specijalističkih usluga, smanjiti liste čekanja i omogućiti bolje planiranje resursa primarne zdravstvene zaštite.</w:t>
      </w:r>
    </w:p>
    <w:p w14:paraId="2DE0BB28" w14:textId="77777777" w:rsidR="00ED64CF" w:rsidRPr="009D0F6F" w:rsidRDefault="00ED64CF" w:rsidP="00ED64CF">
      <w:pPr>
        <w:pStyle w:val="Tijeloteksta"/>
        <w:spacing w:line="276" w:lineRule="auto"/>
        <w:ind w:left="540" w:right="283"/>
        <w:jc w:val="both"/>
        <w:rPr>
          <w:color w:val="000000"/>
        </w:rPr>
      </w:pPr>
    </w:p>
    <w:p w14:paraId="26BD823D" w14:textId="5E564998" w:rsidR="00D839BD" w:rsidRPr="009D0F6F" w:rsidRDefault="00E453C8" w:rsidP="00224D85">
      <w:pPr>
        <w:pStyle w:val="Tijeloteksta"/>
        <w:spacing w:line="276" w:lineRule="auto"/>
        <w:ind w:right="283"/>
        <w:jc w:val="both"/>
        <w:rPr>
          <w:color w:val="000000"/>
        </w:rPr>
      </w:pPr>
      <w:r>
        <w:rPr>
          <w:color w:val="000000"/>
        </w:rPr>
        <w:t xml:space="preserve">Razvijat će se i alati za smanjenje administrativnog opterećenja zdravstvenih djelatnika, uključujući modele </w:t>
      </w:r>
      <w:r>
        <w:rPr>
          <w:i/>
          <w:color w:val="000000"/>
        </w:rPr>
        <w:t>Speech-to-</w:t>
      </w:r>
      <w:r>
        <w:rPr>
          <w:i/>
          <w:iCs/>
          <w:color w:val="000000"/>
        </w:rPr>
        <w:t>Text</w:t>
      </w:r>
      <w:r>
        <w:rPr>
          <w:color w:val="000000"/>
        </w:rPr>
        <w:t xml:space="preserve"> za izradu nacrta nalaza, otpusnih pisama, anamneza i drugih medicinskih dokumenata. Takvi alati moraju biti prilagođeni hrvatskom medicinskom nazivlju, integrirani u sigurna okruženja i podložni obveznoj provjeri zdravstvenog djelatnika prije uporabe dokumenta.</w:t>
      </w:r>
    </w:p>
    <w:p w14:paraId="4DF91944" w14:textId="77777777" w:rsidR="000C68C5" w:rsidRPr="00A609CA" w:rsidRDefault="000C68C5" w:rsidP="000C68C5">
      <w:pPr>
        <w:pStyle w:val="Tijeloteksta"/>
        <w:spacing w:line="276" w:lineRule="auto"/>
        <w:ind w:left="540" w:right="283"/>
        <w:jc w:val="both"/>
      </w:pPr>
    </w:p>
    <w:p w14:paraId="4F3A2411" w14:textId="6F6D8519" w:rsidR="00D839BD" w:rsidRPr="00A609CA" w:rsidRDefault="00E95173" w:rsidP="00EF483A">
      <w:pPr>
        <w:pStyle w:val="Naslov5"/>
        <w:spacing w:before="1"/>
      </w:pPr>
      <w:r>
        <w:t>4</w:t>
      </w:r>
      <w:r w:rsidR="00D839BD">
        <w:t>.4.3. Istraživanje lijekova i analiza kliničkih i genomskih podataka</w:t>
      </w:r>
    </w:p>
    <w:p w14:paraId="21C531DB" w14:textId="77777777" w:rsidR="000C68C5" w:rsidRPr="00A609CA" w:rsidRDefault="000C68C5" w:rsidP="00EF483A">
      <w:pPr>
        <w:pStyle w:val="Naslov5"/>
        <w:spacing w:before="1"/>
      </w:pPr>
    </w:p>
    <w:p w14:paraId="04868C14" w14:textId="79084D28" w:rsidR="00D839BD" w:rsidRPr="009D0F6F" w:rsidRDefault="00E453C8" w:rsidP="00224D85">
      <w:pPr>
        <w:pStyle w:val="Tijeloteksta"/>
        <w:spacing w:line="276" w:lineRule="auto"/>
        <w:ind w:right="283"/>
        <w:jc w:val="both"/>
        <w:rPr>
          <w:color w:val="000000"/>
        </w:rPr>
      </w:pPr>
      <w:r>
        <w:rPr>
          <w:color w:val="000000"/>
        </w:rPr>
        <w:t>Republika Hrvatska raspolaže potencijalom za korištenje UI-ja u analizi kliničkih baza, onkoloških registara, biomedicinskih slika i genomskih podataka te za razvoj modela koji procjenjuju terapijske ishode, podupiru identifikaciju terapijskih meta i omogućuju pronalaženje novih primjena postojećih lijekova. Automatizirano prikupljanje strukturiranih podataka iz bolničkih informacijskih sustava bit će važan preduvjet za translacijsku medicinu, kliničku farmakologiju i istraživanje lijekova.</w:t>
      </w:r>
    </w:p>
    <w:p w14:paraId="52201F9C" w14:textId="77777777" w:rsidR="00ED64CF" w:rsidRPr="00A609CA" w:rsidRDefault="00ED64CF" w:rsidP="00ED64CF">
      <w:pPr>
        <w:pStyle w:val="Tijeloteksta"/>
        <w:spacing w:line="276" w:lineRule="auto"/>
        <w:ind w:left="540" w:right="283"/>
        <w:jc w:val="both"/>
      </w:pPr>
    </w:p>
    <w:p w14:paraId="3061042E" w14:textId="5B408A4C" w:rsidR="000C68C5" w:rsidRPr="009D0F6F" w:rsidRDefault="00D839BD" w:rsidP="00224D85">
      <w:pPr>
        <w:pStyle w:val="Tijeloteksta"/>
        <w:spacing w:line="276" w:lineRule="auto"/>
        <w:ind w:right="283"/>
        <w:jc w:val="both"/>
        <w:rPr>
          <w:color w:val="000000"/>
        </w:rPr>
      </w:pPr>
      <w:r>
        <w:t>Postojeći inovacijski ekosustavi, uključujući AI4Health.Cr</w:t>
      </w:r>
      <w:r>
        <w:rPr>
          <w:color w:val="000000"/>
        </w:rPr>
        <w:t>o EDIH, mogu poduprijeti provjeru inovativnog koncepta, testiranje prije ulaganja, povezivanje zdravstvenih ustanova s istraživačima i poduzećima te razvoj alata za analizu kliničkih putanja, optimizaciju procesa i farmakoterapijsku analitiku. Takve aktivnosti povezuju područje zdravstva sa S3 prioritetom Personalizirana briga o zdravlju i s razvojem digitalnih proizvoda i platformi.</w:t>
      </w:r>
    </w:p>
    <w:p w14:paraId="488F386E" w14:textId="77777777" w:rsidR="000C68C5" w:rsidRPr="009D0F6F" w:rsidRDefault="000C68C5" w:rsidP="000C68C5">
      <w:pPr>
        <w:pStyle w:val="Tijeloteksta"/>
        <w:spacing w:line="276" w:lineRule="auto"/>
        <w:ind w:left="540" w:right="283"/>
        <w:jc w:val="both"/>
        <w:rPr>
          <w:color w:val="000000"/>
        </w:rPr>
      </w:pPr>
    </w:p>
    <w:p w14:paraId="18C4FDAB" w14:textId="7E84DFF9" w:rsidR="00D839BD" w:rsidRPr="00A609CA" w:rsidRDefault="00E95173" w:rsidP="00EF483A">
      <w:pPr>
        <w:pStyle w:val="Naslov5"/>
        <w:spacing w:before="1"/>
      </w:pPr>
      <w:r>
        <w:t>4</w:t>
      </w:r>
      <w:r w:rsidR="00D839BD">
        <w:t xml:space="preserve">.4.4. Sigurna i interoperabilna primjena zdravstvenih podataka i UI rješenja </w:t>
      </w:r>
    </w:p>
    <w:p w14:paraId="484D2EFE" w14:textId="77777777" w:rsidR="000C68C5" w:rsidRPr="00A609CA" w:rsidRDefault="000C68C5" w:rsidP="00EF483A">
      <w:pPr>
        <w:pStyle w:val="Naslov5"/>
        <w:spacing w:before="1"/>
      </w:pPr>
    </w:p>
    <w:p w14:paraId="58443E8B" w14:textId="104E8B3A" w:rsidR="00D839BD" w:rsidRPr="009D0F6F" w:rsidRDefault="00E453C8" w:rsidP="00224D85">
      <w:pPr>
        <w:pStyle w:val="Tijeloteksta"/>
        <w:spacing w:line="276" w:lineRule="auto"/>
        <w:ind w:right="283"/>
        <w:jc w:val="both"/>
        <w:rPr>
          <w:color w:val="000000"/>
        </w:rPr>
      </w:pPr>
      <w:r>
        <w:rPr>
          <w:color w:val="000000"/>
        </w:rPr>
        <w:t xml:space="preserve">Uspostavit će se strogi postupci za provjeru kvalitete, kliničku validaciju i praćenje medicinskih UI sustava, kao i standardi interoperabilnosti između zdravstvenih informacijskih sustava. </w:t>
      </w:r>
      <w:r w:rsidR="007F008E" w:rsidRPr="007F008E">
        <w:rPr>
          <w:color w:val="000000"/>
        </w:rPr>
        <w:t>Obrada zdravstvenih podataka provodit će se u skladu s propisima o zaštiti podataka, medicinskim proizvodima, Aktom o UI-ju i Uredbom (EU) 2025/327.</w:t>
      </w:r>
      <w:r w:rsidR="00B714B5">
        <w:rPr>
          <w:color w:val="000000"/>
        </w:rPr>
        <w:t xml:space="preserve"> </w:t>
      </w:r>
      <w:r>
        <w:rPr>
          <w:color w:val="000000"/>
        </w:rPr>
        <w:t>Posebna će se pozornost posvetiti kibernetičkoj sigurnosti, upravljanju pristupom, praćenju uporabe podataka i osiguranju da se UI koristi kao alat za potporu odlučivanju, a ne kao autonomna zamjena za zdravstvenog stručnjaka.</w:t>
      </w:r>
    </w:p>
    <w:p w14:paraId="1DE9C7B0" w14:textId="77777777" w:rsidR="00ED64CF" w:rsidRPr="00A609CA" w:rsidRDefault="00ED64CF" w:rsidP="00ED64CF">
      <w:pPr>
        <w:pStyle w:val="Tijeloteksta"/>
        <w:spacing w:line="276" w:lineRule="auto"/>
        <w:ind w:left="540" w:right="283"/>
        <w:jc w:val="both"/>
      </w:pPr>
    </w:p>
    <w:p w14:paraId="4D2047E4" w14:textId="2F524288" w:rsidR="00D839BD" w:rsidRPr="009D0F6F" w:rsidRDefault="00D839BD" w:rsidP="00224D85">
      <w:pPr>
        <w:pStyle w:val="Tijeloteksta"/>
        <w:spacing w:line="276" w:lineRule="auto"/>
        <w:ind w:right="283"/>
        <w:jc w:val="both"/>
        <w:rPr>
          <w:color w:val="000000"/>
        </w:rPr>
      </w:pPr>
      <w:r>
        <w:rPr>
          <w:color w:val="000000"/>
        </w:rPr>
        <w:t>U prvom provedbenom razdoblju uspostavit će se nacionalno sigurno okruženje za obradu zdravstvenih podataka na CDU-u kao dijeljena infrastruktura za sekundarnu uporabu podataka i buduće europske podatkovne prostore. Ono će stvoriti preduvjete za zakonit i kontroliran razvoj, testiranje i validaciju Ui rješenja. Dodatne kliničke i organizacijske primjene uvodit će se postupno, prema spremnosti zdravstvenih ustanova, kvaliteti podataka, regulatornim zahtjevima i osiguranom financiranju.</w:t>
      </w:r>
    </w:p>
    <w:p w14:paraId="4A371107" w14:textId="77777777" w:rsidR="00ED64CF" w:rsidRPr="00A609CA" w:rsidRDefault="00ED64CF" w:rsidP="00ED64CF">
      <w:pPr>
        <w:pStyle w:val="Tijeloteksta"/>
        <w:spacing w:line="276" w:lineRule="auto"/>
        <w:ind w:left="540" w:right="283"/>
        <w:jc w:val="both"/>
      </w:pPr>
    </w:p>
    <w:p w14:paraId="6A72D728" w14:textId="41B6C96C" w:rsidR="00D839BD" w:rsidRPr="00A609CA" w:rsidRDefault="00E95173" w:rsidP="00ED64CF">
      <w:pPr>
        <w:pStyle w:val="Naslov3"/>
        <w:keepNext w:val="0"/>
        <w:keepLines w:val="0"/>
        <w:widowControl w:val="0"/>
        <w:autoSpaceDE w:val="0"/>
        <w:autoSpaceDN w:val="0"/>
        <w:spacing w:before="0" w:line="240" w:lineRule="auto"/>
        <w:jc w:val="both"/>
        <w:rPr>
          <w:rFonts w:ascii="Times New Roman" w:eastAsia="Times New Roman" w:hAnsi="Times New Roman" w:cs="Times New Roman"/>
          <w:b/>
          <w:bCs/>
          <w:color w:val="auto"/>
          <w:lang w:val="hr-HR"/>
        </w:rPr>
      </w:pPr>
      <w:bookmarkStart w:id="62" w:name="_Toc236064847"/>
      <w:bookmarkStart w:id="63" w:name="_Toc242947276"/>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.5. Industrija, napredna proizvodnja i digitalni proizvodi</w:t>
      </w:r>
      <w:bookmarkEnd w:id="62"/>
      <w:bookmarkEnd w:id="63"/>
    </w:p>
    <w:p w14:paraId="362ACDB4" w14:textId="77777777" w:rsidR="000C68C5" w:rsidRPr="00A609CA" w:rsidRDefault="000C68C5" w:rsidP="00ED64CF">
      <w:pPr>
        <w:spacing w:after="0"/>
        <w:rPr>
          <w:lang w:val="hr-HR"/>
        </w:rPr>
      </w:pPr>
    </w:p>
    <w:p w14:paraId="52B517DC" w14:textId="46DCD709" w:rsidR="00D839BD" w:rsidRPr="009D0F6F" w:rsidRDefault="00E453C8" w:rsidP="00224D85">
      <w:pPr>
        <w:pStyle w:val="Tijeloteksta"/>
        <w:spacing w:line="276" w:lineRule="auto"/>
        <w:ind w:right="283"/>
        <w:jc w:val="both"/>
        <w:rPr>
          <w:color w:val="000000"/>
        </w:rPr>
      </w:pPr>
      <w:r>
        <w:rPr>
          <w:color w:val="000000"/>
        </w:rPr>
        <w:t>Primjena UI-ja u industriji ključna je za povećanje produktivnosti, modernizaciju proizvodnje, učinkovitije korištenje energije i materijala te razvoj proizvoda i usluga veće dodane vrijednosti. Za hrvatsko gospodarstvo, u kojem prevladavaju MSP-ovi, poseban je izazov omogućiti pristup stručnom znanju, podacima, računalnim kapacitetima, testnim okruženjima i financiranju potrebnima za prijelaz od pojedinačnih pilot-projekata prema primjeni u proizvodnom okruženju.</w:t>
      </w:r>
    </w:p>
    <w:p w14:paraId="513C9267" w14:textId="77777777" w:rsidR="00852F06" w:rsidRPr="009D0F6F" w:rsidRDefault="00852F06" w:rsidP="00852F06">
      <w:pPr>
        <w:pStyle w:val="Tijeloteksta"/>
        <w:spacing w:line="276" w:lineRule="auto"/>
        <w:ind w:left="540" w:right="283"/>
        <w:jc w:val="both"/>
        <w:rPr>
          <w:color w:val="000000"/>
        </w:rPr>
      </w:pPr>
    </w:p>
    <w:p w14:paraId="08613635" w14:textId="0F050232" w:rsidR="00D839BD" w:rsidRPr="009D0F6F" w:rsidRDefault="00E453C8" w:rsidP="00224D85">
      <w:pPr>
        <w:pStyle w:val="Tijeloteksta"/>
        <w:spacing w:line="276" w:lineRule="auto"/>
        <w:ind w:right="283"/>
        <w:jc w:val="both"/>
        <w:rPr>
          <w:color w:val="000000"/>
        </w:rPr>
      </w:pPr>
      <w:r>
        <w:rPr>
          <w:color w:val="000000"/>
        </w:rPr>
        <w:t>Industrijska primjena UI-ja nadovezuje se na ulaganja u digitalizaciju, automatizaciju i robotizaciju te povezuje više tematskih područja S3. UI može poduprijeti transformaciju tradicionalnih proizvodnih djelatnosti, ali i razvoj domaćih digitalnih proizvoda, ugrađenih sustava, specijaliziranog softvera, senzora, poluvodičkih tehnologija i industrijskih platformi namijenjenih domaćem i međunarodnom tržištu.</w:t>
      </w:r>
      <w:r w:rsidR="00D5352A">
        <w:rPr>
          <w:color w:val="000000"/>
        </w:rPr>
        <w:t xml:space="preserve"> </w:t>
      </w:r>
      <w:r w:rsidR="00D5352A" w:rsidRPr="00D5352A">
        <w:rPr>
          <w:color w:val="000000"/>
        </w:rPr>
        <w:t>Pri izradi Nacionalnog plana uzet je u obzir nacrt Nacionalnog plana za razvoj industrije Republike Hrvatske za razdoblje od 2027. do 2034. godine radi usklađivanja prioriteta razvoja i primjene UI-ja s budućim smjerovima nacionalne industrijske politike.</w:t>
      </w:r>
    </w:p>
    <w:p w14:paraId="72D6A781" w14:textId="77777777" w:rsidR="000C68C5" w:rsidRPr="00A609CA" w:rsidRDefault="000C68C5" w:rsidP="000C68C5">
      <w:pPr>
        <w:pStyle w:val="Tijeloteksta"/>
        <w:spacing w:line="276" w:lineRule="auto"/>
        <w:ind w:left="540" w:right="283"/>
        <w:jc w:val="both"/>
      </w:pPr>
    </w:p>
    <w:p w14:paraId="14693638" w14:textId="47FFC7DF" w:rsidR="00D839BD" w:rsidRPr="00A609CA" w:rsidRDefault="00E95173" w:rsidP="00EF483A">
      <w:pPr>
        <w:pStyle w:val="Naslov5"/>
        <w:spacing w:before="1"/>
      </w:pPr>
      <w:r>
        <w:t>4</w:t>
      </w:r>
      <w:r w:rsidR="00D839BD">
        <w:t>.5.1. Pametna, fleksibilna i sigurna proizvodnja</w:t>
      </w:r>
    </w:p>
    <w:p w14:paraId="5DB18874" w14:textId="77777777" w:rsidR="000C68C5" w:rsidRPr="009D0F6F" w:rsidRDefault="000C68C5" w:rsidP="00EF483A">
      <w:pPr>
        <w:pStyle w:val="Naslov5"/>
        <w:spacing w:before="1"/>
        <w:rPr>
          <w:color w:val="000000"/>
        </w:rPr>
      </w:pPr>
    </w:p>
    <w:p w14:paraId="2351C734" w14:textId="5E188959" w:rsidR="00D839BD" w:rsidRPr="009D0F6F" w:rsidRDefault="00D839BD" w:rsidP="00224D85">
      <w:pPr>
        <w:pStyle w:val="Tijeloteksta"/>
        <w:spacing w:line="276" w:lineRule="auto"/>
        <w:ind w:right="283"/>
        <w:jc w:val="both"/>
        <w:rPr>
          <w:color w:val="000000"/>
        </w:rPr>
      </w:pPr>
      <w:r>
        <w:rPr>
          <w:color w:val="000000"/>
        </w:rPr>
        <w:t>U proizvodnim procesima UI će se koristiti za analizu podataka sa strojeva, senzora i proizvodnih linija, rano otkrivanje odstupanja, optimizaciju parametara proizvodnje i prediktivno održavanje opreme. Računalni vid omogućit će automatiziranu kontrolu kvalitete i prepoznavanje nedostataka, a digitalni blizanci simuliranje proizvodnih scenarija prije njihove primjene u stvarnom okruženju.</w:t>
      </w:r>
    </w:p>
    <w:p w14:paraId="04D9005D" w14:textId="77777777" w:rsidR="00ED64CF" w:rsidRPr="00A609CA" w:rsidRDefault="00ED64CF" w:rsidP="00ED64CF">
      <w:pPr>
        <w:pStyle w:val="Tijeloteksta"/>
        <w:spacing w:line="276" w:lineRule="auto"/>
        <w:ind w:left="540" w:right="283"/>
        <w:jc w:val="both"/>
      </w:pPr>
    </w:p>
    <w:p w14:paraId="7CBC7AE3" w14:textId="2435E894" w:rsidR="000C68C5" w:rsidRPr="009D0F6F" w:rsidRDefault="00D839BD" w:rsidP="00224D85">
      <w:pPr>
        <w:pStyle w:val="Tijeloteksta"/>
        <w:spacing w:line="276" w:lineRule="auto"/>
        <w:ind w:right="283"/>
        <w:jc w:val="both"/>
        <w:rPr>
          <w:color w:val="000000"/>
        </w:rPr>
      </w:pPr>
      <w:r>
        <w:rPr>
          <w:color w:val="000000"/>
        </w:rPr>
        <w:t>UI će podupirati robotiku i suradnju čovjeka i stroja u poslovima koji su ponavljajući, fizički zahtjevni ili rizični. Primjena mora biti usmjerena na povećanje sigurnosti i kvalitete rada, uz odgovarajuću prilagodbu radnih mjesta, razvoj kompetencija zaposlenika i jasno upravljanje odgovornošću. U industrijskim i operativno-tehnološkim okruženjima kibernetička sigurnost mora biti ugrađena u arhitekturu rješenja od početka, osobito kada su proizvodni sustavi povezani s dobavljačima, oblakom ili udaljenim uslugama održavanja.</w:t>
      </w:r>
    </w:p>
    <w:p w14:paraId="601A08C3" w14:textId="77777777" w:rsidR="001E6BC9" w:rsidRPr="00A609CA" w:rsidRDefault="001E6BC9" w:rsidP="001E6BC9">
      <w:pPr>
        <w:pStyle w:val="Tijeloteksta"/>
        <w:spacing w:line="276" w:lineRule="auto"/>
        <w:ind w:left="540" w:right="283"/>
        <w:jc w:val="both"/>
      </w:pPr>
    </w:p>
    <w:p w14:paraId="15B64F65" w14:textId="328730B3" w:rsidR="00D839BD" w:rsidRPr="00A609CA" w:rsidRDefault="00E95173" w:rsidP="00EF483A">
      <w:pPr>
        <w:pStyle w:val="Naslov5"/>
        <w:spacing w:before="1"/>
      </w:pPr>
      <w:r>
        <w:t>4</w:t>
      </w:r>
      <w:r w:rsidR="00D839BD">
        <w:t>.5.2. Učinkovito korištenje energije, materijala i resursa</w:t>
      </w:r>
    </w:p>
    <w:p w14:paraId="217265B2" w14:textId="77777777" w:rsidR="001E6BC9" w:rsidRPr="00A609CA" w:rsidRDefault="001E6BC9" w:rsidP="00EF483A">
      <w:pPr>
        <w:pStyle w:val="Naslov5"/>
        <w:spacing w:before="1"/>
      </w:pPr>
    </w:p>
    <w:p w14:paraId="0E1087BF" w14:textId="0F13E21C" w:rsidR="00D839BD" w:rsidRPr="00A609CA" w:rsidRDefault="008D6576" w:rsidP="00224D85">
      <w:pPr>
        <w:pStyle w:val="Tijeloteksta"/>
        <w:spacing w:line="276" w:lineRule="auto"/>
        <w:ind w:right="283"/>
        <w:jc w:val="both"/>
      </w:pPr>
      <w:r>
        <w:t>UI modeli omogućit će preciznije praćenje i optimizaciju potrošnje energije, vode, sirovina i drugih resursa u proizvodnji. Analizom proizvodnih parametara mogu se smanjiti škart, otpad i neplanirani zastoji te poboljšati iskorištenje opreme. Povezivanje industrijskih podataka s energetskim i okolišnim pokazateljima poduprijet će upravljanje ugljičnim otiskom, primjenu načela kružnoga gospodarstva i ispunjavanje sve složenijih zahtjeva kupaca i lanaca vrijednosti u pogledu održivosti.</w:t>
      </w:r>
    </w:p>
    <w:p w14:paraId="1C6DA0F8" w14:textId="77777777" w:rsidR="00ED64CF" w:rsidRPr="00A609CA" w:rsidRDefault="00ED64CF" w:rsidP="00ED64CF">
      <w:pPr>
        <w:pStyle w:val="Tijeloteksta"/>
        <w:spacing w:line="276" w:lineRule="auto"/>
        <w:ind w:left="540" w:right="283"/>
        <w:jc w:val="both"/>
      </w:pPr>
    </w:p>
    <w:p w14:paraId="5C3D1957" w14:textId="5DD67336" w:rsidR="001E6BC9" w:rsidRPr="00A609CA" w:rsidRDefault="00D839BD" w:rsidP="00224D85">
      <w:pPr>
        <w:pStyle w:val="Tijeloteksta"/>
        <w:spacing w:line="276" w:lineRule="auto"/>
        <w:ind w:right="283"/>
        <w:jc w:val="both"/>
      </w:pPr>
      <w:r>
        <w:lastRenderedPageBreak/>
        <w:t>Poseban potencijal postoji u energetski intenzivnim djelatnostima, preradi hrane, drva i materijala te proizvodnji u kojoj mala poboljšanja procesa mogu donijeti značajne uštede. UI može pomoći i u planiranju proizvodnih serija, kombiniranju narudžbi i raspoređivanju opreme kako bi se istodobno smanjili troškovi, rokovi i potrošnja resursa.</w:t>
      </w:r>
    </w:p>
    <w:p w14:paraId="5CE0B9FE" w14:textId="77777777" w:rsidR="001E6BC9" w:rsidRPr="00A609CA" w:rsidRDefault="001E6BC9" w:rsidP="001E6BC9">
      <w:pPr>
        <w:pStyle w:val="Tijeloteksta"/>
        <w:spacing w:line="276" w:lineRule="auto"/>
        <w:ind w:left="540" w:right="283"/>
        <w:jc w:val="both"/>
      </w:pPr>
    </w:p>
    <w:p w14:paraId="14F022B7" w14:textId="2746DBBA" w:rsidR="00D839BD" w:rsidRPr="00A609CA" w:rsidRDefault="00E95173" w:rsidP="00EF483A">
      <w:pPr>
        <w:pStyle w:val="Naslov5"/>
        <w:spacing w:before="1"/>
      </w:pPr>
      <w:r>
        <w:t>4</w:t>
      </w:r>
      <w:r w:rsidR="00D839BD">
        <w:t>.5.3. Lanci opskrbe, industrijska logistika i otpornost</w:t>
      </w:r>
    </w:p>
    <w:p w14:paraId="75502D20" w14:textId="77777777" w:rsidR="001E6BC9" w:rsidRPr="00A609CA" w:rsidRDefault="001E6BC9" w:rsidP="00EF483A">
      <w:pPr>
        <w:pStyle w:val="Naslov5"/>
        <w:spacing w:before="1"/>
      </w:pPr>
    </w:p>
    <w:p w14:paraId="5B708D96" w14:textId="77777777" w:rsidR="00D839BD" w:rsidRPr="00A609CA" w:rsidRDefault="00D839BD" w:rsidP="00224D85">
      <w:pPr>
        <w:pStyle w:val="Tijeloteksta"/>
        <w:spacing w:line="276" w:lineRule="auto"/>
        <w:ind w:right="283"/>
        <w:jc w:val="both"/>
      </w:pPr>
      <w:r>
        <w:t>Upravljanje lancima opskrbe sve se više oslanja na pravodobne podatke o potražnji, zalihama, transportu, dobavljačima i vanjskim rizicima. UI će se koristiti za predviđanje potražnje, optimizaciju zaliha i nabave, otkrivanje poremećaja, procjenu pouzdanosti dobavnih pravaca te bolje povezivanje proizvodnje, skladištenja i transporta. Time se povećava otpornost poduzeća na sezonalnost, geopolitičke i tržišne poremećaje te nagle promjene cijena i dostupnosti sirovina.</w:t>
      </w:r>
    </w:p>
    <w:p w14:paraId="3918A2F0" w14:textId="77777777" w:rsidR="00ED64CF" w:rsidRPr="00A609CA" w:rsidRDefault="00ED64CF" w:rsidP="00ED64CF">
      <w:pPr>
        <w:pStyle w:val="Tijeloteksta"/>
        <w:spacing w:line="276" w:lineRule="auto"/>
        <w:ind w:left="540" w:right="283"/>
        <w:jc w:val="both"/>
      </w:pPr>
    </w:p>
    <w:p w14:paraId="66BFD3CD" w14:textId="45690352" w:rsidR="001E6BC9" w:rsidRPr="00A609CA" w:rsidRDefault="00D839BD" w:rsidP="00224D85">
      <w:pPr>
        <w:pStyle w:val="Tijeloteksta"/>
        <w:spacing w:line="276" w:lineRule="auto"/>
        <w:ind w:right="283"/>
        <w:jc w:val="both"/>
      </w:pPr>
      <w:r>
        <w:t>Razvoj praćenja proizvoda i materijala, osobito u prehrambenoj, farmaceutskoj, drvnoj i drugim reguliranim industrijama, omogućit će bržu identifikaciju problema kvalitete i pouzdanije dokazivanje podrijetla i održivosti. Za takve primjene bit će važni standardizirani podaci i interoperabilnost između poduzeća, javnih registara i europskih podatkovnih prostora.</w:t>
      </w:r>
    </w:p>
    <w:p w14:paraId="40606153" w14:textId="77777777" w:rsidR="001E6BC9" w:rsidRPr="00A609CA" w:rsidRDefault="001E6BC9" w:rsidP="001E6BC9">
      <w:pPr>
        <w:pStyle w:val="Tijeloteksta"/>
        <w:spacing w:line="276" w:lineRule="auto"/>
        <w:ind w:left="540" w:right="283"/>
        <w:jc w:val="both"/>
      </w:pPr>
    </w:p>
    <w:p w14:paraId="4E098E97" w14:textId="0CDD3648" w:rsidR="00D839BD" w:rsidRPr="00A609CA" w:rsidRDefault="00E95173" w:rsidP="00EF483A">
      <w:pPr>
        <w:pStyle w:val="Naslov5"/>
        <w:spacing w:before="1"/>
      </w:pPr>
      <w:r>
        <w:t>4</w:t>
      </w:r>
      <w:r w:rsidR="00D839BD">
        <w:t>.5.4. Razvoj proizvoda, usluga i poslovnih modela veće dodane vrijednosti</w:t>
      </w:r>
    </w:p>
    <w:p w14:paraId="1917B754" w14:textId="77777777" w:rsidR="001E6BC9" w:rsidRPr="00A609CA" w:rsidRDefault="001E6BC9" w:rsidP="00EF483A">
      <w:pPr>
        <w:pStyle w:val="Naslov5"/>
        <w:spacing w:before="1"/>
      </w:pPr>
    </w:p>
    <w:p w14:paraId="5FB01A82" w14:textId="5E3B3CB7" w:rsidR="00D839BD" w:rsidRPr="009D0F6F" w:rsidRDefault="00E453C8" w:rsidP="00224D85">
      <w:pPr>
        <w:pStyle w:val="Tijeloteksta"/>
        <w:spacing w:line="276" w:lineRule="auto"/>
        <w:ind w:right="283"/>
        <w:jc w:val="both"/>
        <w:rPr>
          <w:color w:val="000000"/>
        </w:rPr>
      </w:pPr>
      <w:r>
        <w:rPr>
          <w:color w:val="000000"/>
        </w:rPr>
        <w:t>UI će se koristiti u dizajnu i razvoju proizvoda, simulacijama, virtualnom prototipiranju, personaliziranoj i maloserijskoj proizvodnji te integraciji digitalnih usluga u fizičke proizvode. Poseban potencijal imaju hrvatska poduzeća koja razvijaju industrijski softver, analitičke platforme, senzorske sustave, rješenja računalnog vida, robotiku, ugrađene UI sustave i specijalizirane modele za pojedina industrijska područja.</w:t>
      </w:r>
    </w:p>
    <w:p w14:paraId="21894908" w14:textId="77777777" w:rsidR="00F80747" w:rsidRPr="009D0F6F" w:rsidRDefault="00F80747" w:rsidP="00F80747">
      <w:pPr>
        <w:pStyle w:val="Tijeloteksta"/>
        <w:spacing w:line="276" w:lineRule="auto"/>
        <w:ind w:left="540" w:right="283"/>
        <w:jc w:val="both"/>
        <w:rPr>
          <w:color w:val="000000"/>
        </w:rPr>
      </w:pPr>
    </w:p>
    <w:p w14:paraId="40C09313" w14:textId="6B9B12D0" w:rsidR="001E6BC9" w:rsidRPr="009D0F6F" w:rsidRDefault="00E453C8" w:rsidP="00224D85">
      <w:pPr>
        <w:pStyle w:val="Tijeloteksta"/>
        <w:spacing w:line="276" w:lineRule="auto"/>
        <w:ind w:right="283"/>
        <w:jc w:val="both"/>
        <w:rPr>
          <w:color w:val="000000"/>
        </w:rPr>
      </w:pPr>
      <w:r>
        <w:rPr>
          <w:color w:val="000000"/>
        </w:rPr>
        <w:t>Povezivanje UI-ja s naprednom elektronikom, poluvodičkim tehnologijama, računalstvom na rubu mreže i industrijskim podatkovnim prostorima može otvoriti mogućnosti sudjelovanja u europskim lancima vrijednosti. Takav razvoj treba biti usmjeren prema proizvodima i uslugama koji se mogu skalirati i izvoziti, a ne samo prema jednokratnoj digitalizaciji pojedinog procesa.</w:t>
      </w:r>
    </w:p>
    <w:p w14:paraId="616482D4" w14:textId="77777777" w:rsidR="001E6BC9" w:rsidRPr="00A609CA" w:rsidRDefault="001E6BC9" w:rsidP="001E6BC9">
      <w:pPr>
        <w:pStyle w:val="Tijeloteksta"/>
        <w:spacing w:line="276" w:lineRule="auto"/>
        <w:ind w:left="540" w:right="283"/>
        <w:jc w:val="both"/>
      </w:pPr>
    </w:p>
    <w:p w14:paraId="503B424F" w14:textId="23810AC2" w:rsidR="00D839BD" w:rsidRPr="00A609CA" w:rsidRDefault="00E95173" w:rsidP="00EF483A">
      <w:pPr>
        <w:pStyle w:val="Naslov5"/>
        <w:spacing w:before="1"/>
      </w:pPr>
      <w:r>
        <w:t>4</w:t>
      </w:r>
      <w:r w:rsidR="00D839BD">
        <w:t>.5.5. Potpora industrijskoj primjeni i prijelazu od pilota prema skaliranju</w:t>
      </w:r>
    </w:p>
    <w:p w14:paraId="11CE4707" w14:textId="77777777" w:rsidR="001E6BC9" w:rsidRPr="00A609CA" w:rsidRDefault="001E6BC9" w:rsidP="00EF483A">
      <w:pPr>
        <w:pStyle w:val="Naslov5"/>
        <w:spacing w:before="1"/>
      </w:pPr>
    </w:p>
    <w:p w14:paraId="0C6BA9A5" w14:textId="303FE472" w:rsidR="00D839BD" w:rsidRPr="009D0F6F" w:rsidRDefault="00E453C8" w:rsidP="00224D85">
      <w:pPr>
        <w:pStyle w:val="Tijeloteksta"/>
        <w:spacing w:line="276" w:lineRule="auto"/>
        <w:ind w:right="283"/>
        <w:jc w:val="both"/>
        <w:rPr>
          <w:color w:val="000000"/>
        </w:rPr>
      </w:pPr>
      <w:r>
        <w:rPr>
          <w:color w:val="000000"/>
        </w:rPr>
        <w:t>Poduzećima će se omogućavati stručna i savjetodavna podrška, testiranje prije ulaganja, pristup istraživačkoj i računalnoj infrastrukturi, suradnja sa istraživačkim organizacijama te financijski instrumenti prilagođeni različitim fazama razvoja. DIH-ovi i EDIH-ovi imat će važnu ulogu u procjeni digitalne zrelosti, odabiru slučajeva uporabe, izradi provjera koncepta i povezivanju s pružateljima tehnologije.</w:t>
      </w:r>
    </w:p>
    <w:p w14:paraId="49879B02" w14:textId="77777777" w:rsidR="00F21FE2" w:rsidRPr="00A609CA" w:rsidRDefault="00F21FE2" w:rsidP="00F21FE2">
      <w:pPr>
        <w:pStyle w:val="Tijeloteksta"/>
        <w:spacing w:line="276" w:lineRule="auto"/>
        <w:ind w:left="540" w:right="283"/>
        <w:jc w:val="both"/>
      </w:pPr>
    </w:p>
    <w:p w14:paraId="1957DA5D" w14:textId="31EC7114" w:rsidR="00D839BD" w:rsidRPr="009D0F6F" w:rsidRDefault="00D839BD" w:rsidP="00224D85">
      <w:pPr>
        <w:pStyle w:val="Tijeloteksta"/>
        <w:spacing w:line="276" w:lineRule="auto"/>
        <w:ind w:right="283"/>
        <w:jc w:val="both"/>
        <w:rPr>
          <w:color w:val="000000"/>
        </w:rPr>
      </w:pPr>
      <w:r>
        <w:t xml:space="preserve">Prvi akcijski plan uspostavlja horizontalni portfelj instrumenata za istraživanje, razvoj, inovacije i transfer tehnologije, ciljane vaučere za MSP-ove, financiranje </w:t>
      </w:r>
      <w:r>
        <w:rPr>
          <w:i/>
          <w:iCs/>
        </w:rPr>
        <w:t>startup</w:t>
      </w:r>
      <w:r>
        <w:t xml:space="preserve"> i </w:t>
      </w:r>
      <w:r>
        <w:rPr>
          <w:i/>
          <w:iCs/>
        </w:rPr>
        <w:t>scale-up</w:t>
      </w:r>
      <w:r>
        <w:t xml:space="preserve"> poduzeća, kreditne i jamstvene instrumente, </w:t>
      </w:r>
      <w:r>
        <w:rPr>
          <w:i/>
          <w:iCs/>
        </w:rPr>
        <w:t>GovTec</w:t>
      </w:r>
      <w:r>
        <w:rPr>
          <w:i/>
          <w:color w:val="000000"/>
        </w:rPr>
        <w:t>h</w:t>
      </w:r>
      <w:r>
        <w:rPr>
          <w:color w:val="000000"/>
        </w:rPr>
        <w:t xml:space="preserve"> i inovativnu javnu nabavu te uključivanje hrvatskih dionika u strateške europske projekte i lance vrijednosti za UI i poluvodičke tehnologije. Ti instrumenti nisu ograničeni na jednu industriju, nego će omogućiti razvoj projekata u djelatnostima u kojima postoji jasna poslovna potreba, podatkovna i tehnološka spremnost te mogućnost mjerljivog povećanja produktivnosti i konkurentnosti.</w:t>
      </w:r>
    </w:p>
    <w:p w14:paraId="5A60D6D5" w14:textId="4B2E80B2" w:rsidR="00D839BD" w:rsidRPr="00A609CA" w:rsidRDefault="00E95173" w:rsidP="00683224">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64" w:name="_Toc236064848"/>
      <w:bookmarkStart w:id="65" w:name="_Toc242947277"/>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.6. Sigurnost, kibernetička sigurnost i nacionalna otpornost</w:t>
      </w:r>
      <w:bookmarkEnd w:id="64"/>
      <w:bookmarkEnd w:id="65"/>
    </w:p>
    <w:p w14:paraId="5F088A25" w14:textId="77777777" w:rsidR="001E6BC9" w:rsidRPr="00A609CA" w:rsidRDefault="001E6BC9" w:rsidP="001E6BC9">
      <w:pPr>
        <w:rPr>
          <w:lang w:val="hr-HR"/>
        </w:rPr>
      </w:pPr>
    </w:p>
    <w:p w14:paraId="1E9FF397" w14:textId="326BB471" w:rsidR="00D10B8F" w:rsidRPr="009D0F6F" w:rsidRDefault="00D839BD" w:rsidP="00224D85">
      <w:pPr>
        <w:pStyle w:val="Tijeloteksta"/>
        <w:spacing w:line="276" w:lineRule="auto"/>
        <w:ind w:right="283"/>
        <w:jc w:val="both"/>
        <w:rPr>
          <w:color w:val="000000"/>
        </w:rPr>
      </w:pPr>
      <w:r>
        <w:rPr>
          <w:color w:val="000000"/>
        </w:rPr>
        <w:t xml:space="preserve">UI postaje važan alat za zaštitu informacijskih sustava, kritične infrastrukture i stanovništva, ali istodobno stvara nove ranjivosti i može pojačati postojeće prijetnje. Nacionalni pristup zato mora istodobno obuhvatiti uporabu UI-ja za sigurnost, sigurnost UI sustava te zaštitu od zlonamjerne uporabe UI-ja. </w:t>
      </w:r>
      <w:r w:rsidR="00DE528E" w:rsidRPr="00DE528E">
        <w:rPr>
          <w:color w:val="000000"/>
        </w:rPr>
        <w:t>Razvoj i primjena UI rješenja u ovom području provodit će se u okviru postojećeg europskog i nacionalnog sustava kibernetičke sigurnosti i otpornosti, osobito Direktive NIS 2, Zakona o kibernetičkoj sigurnosti, Direktive (EU) 2022/2557 te Akta o kibernetičkoj otpornosti, u skladu s njihovim područjem primjene.</w:t>
      </w:r>
      <w:r w:rsidR="00DE528E">
        <w:rPr>
          <w:color w:val="000000"/>
        </w:rPr>
        <w:t xml:space="preserve"> </w:t>
      </w:r>
      <w:r>
        <w:rPr>
          <w:color w:val="000000"/>
        </w:rPr>
        <w:t>Ovo se područje izravno povezuje sa S3 prioritetom Sigurnost i dvojna namjena – svijest, prevencija, odgovor i sanacija, kao i s posebnim ciljevima Nacionalnog plana koji se odnose na infrastrukturu, podatke, zakonitost i kompetencije.</w:t>
      </w:r>
      <w:r w:rsidR="005802E5">
        <w:rPr>
          <w:color w:val="000000"/>
        </w:rPr>
        <w:t xml:space="preserve"> </w:t>
      </w:r>
      <w:r w:rsidR="005802E5" w:rsidRPr="005802E5">
        <w:rPr>
          <w:color w:val="000000"/>
        </w:rPr>
        <w:t>Aktivnosti u području kibernetičke sigurnosti povezane s razvojem i primjenom UI-ja usklađivat će se sa Zakonom o kibernetičkoj sigurnosti (NN 14/24), Nacionalnim planom kibernetičke sigurnosti od 2027. do 2031. godine i pripadajućim akcijskim planom, kako bi se osigurala komplementarnost mjera i izbjeglo njihovo preklapanje.</w:t>
      </w:r>
    </w:p>
    <w:p w14:paraId="566C8816" w14:textId="77777777" w:rsidR="001E6BC9" w:rsidRPr="00A609CA" w:rsidRDefault="001E6BC9" w:rsidP="001E6BC9">
      <w:pPr>
        <w:pStyle w:val="Tijeloteksta"/>
        <w:spacing w:line="276" w:lineRule="auto"/>
        <w:ind w:left="540" w:right="283"/>
        <w:jc w:val="both"/>
      </w:pPr>
    </w:p>
    <w:p w14:paraId="4112252F" w14:textId="31F7F952" w:rsidR="00D839BD" w:rsidRPr="00A609CA" w:rsidRDefault="00E95173" w:rsidP="00EF483A">
      <w:pPr>
        <w:pStyle w:val="Naslov5"/>
        <w:spacing w:before="1"/>
      </w:pPr>
      <w:r>
        <w:t>4</w:t>
      </w:r>
      <w:r w:rsidR="00D839BD">
        <w:t>.6.1. UI za kibernetičku sigurnost i zaštitu kritične infrastrukture</w:t>
      </w:r>
    </w:p>
    <w:p w14:paraId="05FF35B0" w14:textId="77777777" w:rsidR="001E6BC9" w:rsidRPr="00A609CA" w:rsidRDefault="001E6BC9" w:rsidP="00EF483A">
      <w:pPr>
        <w:pStyle w:val="Naslov5"/>
        <w:spacing w:before="1"/>
      </w:pPr>
    </w:p>
    <w:p w14:paraId="7029522A" w14:textId="0FBD887D" w:rsidR="00D839BD" w:rsidRPr="009D0F6F" w:rsidRDefault="00EC65A8" w:rsidP="00224D85">
      <w:pPr>
        <w:pStyle w:val="Tijeloteksta"/>
        <w:spacing w:line="276" w:lineRule="auto"/>
        <w:ind w:right="283"/>
        <w:jc w:val="both"/>
        <w:rPr>
          <w:color w:val="000000"/>
        </w:rPr>
      </w:pPr>
      <w:r w:rsidRPr="00EC65A8">
        <w:rPr>
          <w:color w:val="000000"/>
        </w:rPr>
        <w:t>UI postaje važan alat za zaštitu informacijskih sustava, kritične infrastrukture i stanovništva, ali istodobno stvara nove ranjivosti i može pojačati postojeće prijetnje. Nacionalni pristup zato mora istodobno obuhvatiti uporabu UI-ja za sigurnost, sigurnost UI sustava te zaštitu od zlonamjerne uporabe UI-ja. Razvoj i primjena UI rješenja u ovom području provodit će se u okviru postojećeg europskog i nacionalnog sustava kibernetičke sigurnosti i otpornosti, osobito Direktive NIS 2 i Zakona o kibernetičkoj sigurnosti, Direktive (EU) 2022/2557 o otpornosti kritičnih subjekata i Zakona o kritičnoj infrastrukturi te, u odnosu na proizvode s digitalnim elementima, Akta o kibernetičkoj otpornosti. Ovo se područje izravno povezuje sa S3 prioritetom Sigurnost i dvojna namjena – svijest, prevencija, odgovor i sanacija, kao i s posebnim ciljevima Nacionalnog plana koji se odnose na infrastrukturu, podatke, zakonitost i kompetencije.</w:t>
      </w:r>
    </w:p>
    <w:p w14:paraId="06B918CE" w14:textId="77777777" w:rsidR="00F21FE2" w:rsidRPr="009D0F6F" w:rsidRDefault="00F21FE2" w:rsidP="00F21FE2">
      <w:pPr>
        <w:pStyle w:val="Tijeloteksta"/>
        <w:spacing w:line="276" w:lineRule="auto"/>
        <w:ind w:left="540" w:right="283"/>
        <w:jc w:val="both"/>
        <w:rPr>
          <w:color w:val="000000"/>
        </w:rPr>
      </w:pPr>
    </w:p>
    <w:p w14:paraId="7D91D472" w14:textId="42332DC2" w:rsidR="00D10B8F" w:rsidRPr="009D0F6F" w:rsidRDefault="00E453C8" w:rsidP="00224D85">
      <w:pPr>
        <w:pStyle w:val="Tijeloteksta"/>
        <w:spacing w:line="276" w:lineRule="auto"/>
        <w:ind w:right="283"/>
        <w:jc w:val="both"/>
        <w:rPr>
          <w:color w:val="000000"/>
        </w:rPr>
      </w:pPr>
      <w:r>
        <w:rPr>
          <w:color w:val="000000"/>
        </w:rPr>
        <w:t xml:space="preserve">Posebna će se pozornost posvetiti sustavima kritične infrastrukture u energetici, prometu, zdravstvu, vodoopskrbi, komunikacijama i javnim digitalnim uslugama. U operativno-tehnološkim sustavima, uključujući </w:t>
      </w:r>
      <w:r>
        <w:rPr>
          <w:i/>
          <w:color w:val="000000"/>
        </w:rPr>
        <w:t>Supervisory Control and Data Acquisition</w:t>
      </w:r>
      <w:r>
        <w:rPr>
          <w:color w:val="000000"/>
        </w:rPr>
        <w:t xml:space="preserve"> (SCADA) okruženja, UI može pomoći u otkrivanju odstupanja i ranom upozoravanju na kvarove ili sigurnosne incidente. Takva UI rješenja moraju biti otporna, segmentirana i sposobna nastaviti siguran rad u slučaju prekida komunikacije ili kompromitacije dijela sustava.</w:t>
      </w:r>
    </w:p>
    <w:p w14:paraId="07B7098A" w14:textId="77777777" w:rsidR="001E6BC9" w:rsidRPr="00A609CA" w:rsidRDefault="001E6BC9" w:rsidP="001E6BC9">
      <w:pPr>
        <w:pStyle w:val="Tijeloteksta"/>
        <w:spacing w:line="276" w:lineRule="auto"/>
        <w:ind w:left="540" w:right="283"/>
        <w:jc w:val="both"/>
      </w:pPr>
    </w:p>
    <w:p w14:paraId="0C8C1512" w14:textId="43C98C9E" w:rsidR="00D839BD" w:rsidRPr="00A609CA" w:rsidRDefault="00E95173" w:rsidP="00EF483A">
      <w:pPr>
        <w:pStyle w:val="Naslov5"/>
        <w:spacing w:before="1"/>
      </w:pPr>
      <w:r>
        <w:t>4</w:t>
      </w:r>
      <w:r w:rsidR="00D839BD">
        <w:t>.6.2. Javna sigurnost, upravljanje krizama i otpornost</w:t>
      </w:r>
    </w:p>
    <w:p w14:paraId="046797FE" w14:textId="77777777" w:rsidR="001E6BC9" w:rsidRPr="00A609CA" w:rsidRDefault="001E6BC9" w:rsidP="00EF483A">
      <w:pPr>
        <w:pStyle w:val="Naslov5"/>
        <w:spacing w:before="1"/>
      </w:pPr>
    </w:p>
    <w:p w14:paraId="75110F1B" w14:textId="57BF0451" w:rsidR="00D839BD" w:rsidRPr="009D0F6F" w:rsidRDefault="00D839BD" w:rsidP="00224D85">
      <w:pPr>
        <w:pStyle w:val="Tijeloteksta"/>
        <w:spacing w:line="276" w:lineRule="auto"/>
        <w:ind w:right="283"/>
        <w:jc w:val="both"/>
        <w:rPr>
          <w:color w:val="000000"/>
        </w:rPr>
      </w:pPr>
      <w:r>
        <w:rPr>
          <w:color w:val="000000"/>
        </w:rPr>
        <w:t>UI može poduprijeti policijske, granične, carinske, vatrogasne, službe civilne zaštite i druge sigurnosne službe u analizi velikih količina podataka, prepoznavanju obrazaca, upravljanju dojavama, procjeni rizika i raspoređivanju resursa. Moguće primjene uključuju analizu prijava i poziva, potporu operativnom planiranju, prepoznavanje incidenata u prometu i javnom prostoru, traganje i spašavanje te bržu procjenu posljedica požara, poplava, potresa i drugih katastrofa.</w:t>
      </w:r>
    </w:p>
    <w:p w14:paraId="03B21B34" w14:textId="77777777" w:rsidR="00F21FE2" w:rsidRPr="009D0F6F" w:rsidRDefault="00F21FE2" w:rsidP="00F21FE2">
      <w:pPr>
        <w:pStyle w:val="Tijeloteksta"/>
        <w:spacing w:line="276" w:lineRule="auto"/>
        <w:ind w:left="540" w:right="283"/>
        <w:jc w:val="both"/>
        <w:rPr>
          <w:color w:val="000000"/>
        </w:rPr>
      </w:pPr>
    </w:p>
    <w:p w14:paraId="4481020E" w14:textId="561579CE" w:rsidR="00D10B8F" w:rsidRPr="009D0F6F" w:rsidRDefault="000407C9" w:rsidP="00224D85">
      <w:pPr>
        <w:pStyle w:val="Tijeloteksta"/>
        <w:spacing w:line="276" w:lineRule="auto"/>
        <w:ind w:right="283"/>
        <w:jc w:val="both"/>
        <w:rPr>
          <w:color w:val="000000"/>
        </w:rPr>
      </w:pPr>
      <w:r>
        <w:rPr>
          <w:color w:val="000000"/>
        </w:rPr>
        <w:t>Primjena u policijskim i drugim sigurnosnim poslovima provodit će se isključivo na jasnoj pravnoj osnovi, uz strogo poštivanje načela nužnosti, proporcionalnosti, zaštite osobnih podataka, zabrane diskriminacije i ljudskog nadzora. UI sustavi neće zamjenjivati ovlaštene službenike u donošenju odluka koje proizvode pravne učinke, nego će služiti kao potpora analizi i operativnom radu. Posebno će se procjenjivati rizici povezani s biometrijom, profiliranjem i obradom osjetljivih podataka.</w:t>
      </w:r>
    </w:p>
    <w:p w14:paraId="0BB2BC6E" w14:textId="77777777" w:rsidR="001E6BC9" w:rsidRPr="00A609CA" w:rsidRDefault="001E6BC9" w:rsidP="001E6BC9">
      <w:pPr>
        <w:pStyle w:val="Tijeloteksta"/>
        <w:spacing w:line="276" w:lineRule="auto"/>
        <w:ind w:left="540" w:right="283"/>
        <w:jc w:val="both"/>
      </w:pPr>
    </w:p>
    <w:p w14:paraId="2811AF5C" w14:textId="5D2B0AE4" w:rsidR="00D839BD" w:rsidRPr="00A609CA" w:rsidRDefault="00E95173" w:rsidP="00EF483A">
      <w:pPr>
        <w:pStyle w:val="Naslov5"/>
        <w:spacing w:before="1"/>
      </w:pPr>
      <w:r>
        <w:t>4</w:t>
      </w:r>
      <w:r w:rsidR="00D839BD">
        <w:t>.6.3. Sigurnost i otpornost UI sustava</w:t>
      </w:r>
    </w:p>
    <w:p w14:paraId="4FEFB6AB" w14:textId="77777777" w:rsidR="001E6BC9" w:rsidRPr="00A609CA" w:rsidRDefault="001E6BC9" w:rsidP="00EF483A">
      <w:pPr>
        <w:pStyle w:val="Naslov5"/>
        <w:spacing w:before="1"/>
      </w:pPr>
    </w:p>
    <w:p w14:paraId="49811451" w14:textId="563C58A2" w:rsidR="00D839BD" w:rsidRPr="009D0F6F" w:rsidRDefault="004E1692" w:rsidP="00224D85">
      <w:pPr>
        <w:pStyle w:val="Tijeloteksta"/>
        <w:spacing w:line="276" w:lineRule="auto"/>
        <w:ind w:right="283"/>
        <w:jc w:val="both"/>
        <w:rPr>
          <w:color w:val="000000"/>
        </w:rPr>
      </w:pPr>
      <w:r>
        <w:rPr>
          <w:color w:val="000000"/>
        </w:rPr>
        <w:t>UI sustavi mogu biti izloženi manipulaciji ulaznim podacima, trovanju podataka za treniranje, krađi modela, neovlaštenoj izmjeni, curenju povjerljivih informacija i kompromitaciji softverskog ili hardverskog dobavnog lanca. Zbog toga će se sigurnost ugrađivati u cijeli životni ciklus sustava: od odabira i pripreme podataka, razvoja i testiranja modela do uvođenja, nadzora, održavanja i povlačenja iz uporabe.</w:t>
      </w:r>
      <w:r w:rsidR="00A8049B">
        <w:rPr>
          <w:color w:val="000000"/>
        </w:rPr>
        <w:t xml:space="preserve"> </w:t>
      </w:r>
      <w:r w:rsidR="00A8049B" w:rsidRPr="00A8049B">
        <w:rPr>
          <w:color w:val="000000"/>
        </w:rPr>
        <w:t>Posebna će se pozornost posvetiti zaštiti integriteta, povjerljivosti, kvalitete i sljedivosti podataka koji se koriste za treniranje, validaciju i testiranje modela te sprječavanju neovlaštene izmjene podataka, modela i njihovih ključnih komponenti.</w:t>
      </w:r>
    </w:p>
    <w:p w14:paraId="12BDB275" w14:textId="77777777" w:rsidR="00F21FE2" w:rsidRPr="00A609CA" w:rsidRDefault="00F21FE2" w:rsidP="00F21FE2">
      <w:pPr>
        <w:pStyle w:val="Tijeloteksta"/>
        <w:spacing w:line="276" w:lineRule="auto"/>
        <w:ind w:left="540" w:right="283"/>
        <w:jc w:val="both"/>
      </w:pPr>
    </w:p>
    <w:p w14:paraId="7743B400" w14:textId="6487E1AA" w:rsidR="00D10B8F" w:rsidRPr="009D0F6F" w:rsidRDefault="000407C9" w:rsidP="00224D85">
      <w:pPr>
        <w:pStyle w:val="Tijeloteksta"/>
        <w:spacing w:line="276" w:lineRule="auto"/>
        <w:ind w:right="283"/>
        <w:jc w:val="both"/>
        <w:rPr>
          <w:color w:val="000000"/>
        </w:rPr>
      </w:pPr>
      <w:r>
        <w:rPr>
          <w:color w:val="000000"/>
        </w:rPr>
        <w:t xml:space="preserve">Za sustave od javnog i sigurnosnog interesa uspostavit će se pravila upravljanja identitetima i pristupom, evidentiranja aktivnosti, odvajanja razvojnih i produkcijskih okruženja, upravljanja ranjivostima, sigurnosnog testiranja i reagiranja na incidente. Potrebni su i planovi kontinuiteta poslovanja, sigurnosne kopije, mogućnost povratka na prethodnu verziju modela i jasno određena odgovornost za sigurnosne odluke. </w:t>
      </w:r>
      <w:r w:rsidR="00A8049B" w:rsidRPr="00A8049B">
        <w:rPr>
          <w:color w:val="000000"/>
        </w:rPr>
        <w:t>Sigurnosni i operativni rizici UI sustava kontinuirano će se pratiti i procjenjivati tijekom njihova životnog ciklusa, uključujući promjene performansi, pojavu novih ranjivosti i rizike koji proizlaze iz ovisnosti o vanjskim komponentama i uslugama.</w:t>
      </w:r>
      <w:r w:rsidR="00A8049B">
        <w:rPr>
          <w:color w:val="000000"/>
        </w:rPr>
        <w:t xml:space="preserve"> </w:t>
      </w:r>
      <w:r>
        <w:rPr>
          <w:color w:val="000000"/>
        </w:rPr>
        <w:t>Pri nabavi modela i usluga procjenjivat će se pouzdanost dobavljača, mjesto obrade podataka, ovisnost o vanjskim platformama i mogućnost neovisnog nadzora.</w:t>
      </w:r>
    </w:p>
    <w:p w14:paraId="2D49BD75" w14:textId="77777777" w:rsidR="001E6BC9" w:rsidRPr="00A609CA" w:rsidRDefault="001E6BC9" w:rsidP="001E6BC9">
      <w:pPr>
        <w:pStyle w:val="Tijeloteksta"/>
        <w:spacing w:line="276" w:lineRule="auto"/>
        <w:ind w:left="540" w:right="283"/>
        <w:jc w:val="both"/>
      </w:pPr>
    </w:p>
    <w:p w14:paraId="19BB3E03" w14:textId="5B2A86D5" w:rsidR="00D839BD" w:rsidRPr="00A609CA" w:rsidRDefault="00E95173" w:rsidP="00EF483A">
      <w:pPr>
        <w:pStyle w:val="Naslov5"/>
        <w:spacing w:before="1"/>
      </w:pPr>
      <w:r>
        <w:t>4</w:t>
      </w:r>
      <w:r w:rsidR="00D839BD">
        <w:t>.6.4. Prijetnje pojačane uporabom UI-ja i zaštita informacijskog prostora</w:t>
      </w:r>
    </w:p>
    <w:p w14:paraId="005DB0CA" w14:textId="77777777" w:rsidR="001E6BC9" w:rsidRPr="00A609CA" w:rsidRDefault="001E6BC9" w:rsidP="00EF483A">
      <w:pPr>
        <w:pStyle w:val="Naslov5"/>
        <w:spacing w:before="1"/>
      </w:pPr>
    </w:p>
    <w:p w14:paraId="3F46B70E" w14:textId="7529CFC4" w:rsidR="00D839BD" w:rsidRPr="00A609CA" w:rsidRDefault="00D839BD" w:rsidP="00224D85">
      <w:pPr>
        <w:pStyle w:val="Tijeloteksta"/>
        <w:spacing w:line="276" w:lineRule="auto"/>
        <w:ind w:right="283"/>
        <w:jc w:val="both"/>
      </w:pPr>
      <w:r>
        <w:t xml:space="preserve">Generativni i drugi UI alati mogu se zloupotrijebiti </w:t>
      </w:r>
      <w:r w:rsidR="00E92926">
        <w:t xml:space="preserve">na mnoge i trenutačno nepredvidive maliciozne i nelegalne aktivnosti, uključujući i </w:t>
      </w:r>
      <w:r>
        <w:t xml:space="preserve">za automatizirane kibernetičke napade, sofisticirane </w:t>
      </w:r>
      <w:r w:rsidR="00E92926">
        <w:t>(</w:t>
      </w:r>
      <w:r w:rsidR="00E92926" w:rsidRPr="00B313BA">
        <w:rPr>
          <w:i/>
          <w:iCs/>
        </w:rPr>
        <w:t>spear</w:t>
      </w:r>
      <w:r w:rsidR="00E92926">
        <w:t xml:space="preserve">) </w:t>
      </w:r>
      <w:r>
        <w:rPr>
          <w:i/>
          <w:iCs/>
        </w:rPr>
        <w:t>phishing</w:t>
      </w:r>
      <w:r>
        <w:t xml:space="preserve"> kampanje, prijevare, krađu identiteta, izradu zlonamjernog sadržaja i prilagodbu napada pojedinim korisnicima ili organizacijama. Sintetički audiovizualni sadržaj i </w:t>
      </w:r>
      <w:r>
        <w:rPr>
          <w:i/>
          <w:iCs/>
        </w:rPr>
        <w:t>deepfake</w:t>
      </w:r>
      <w:r>
        <w:t xml:space="preserve"> tehnologije povećavaju rizik manipulacije identitetom, ugrožavanja ugleda, financijskih prijevara</w:t>
      </w:r>
      <w:r w:rsidR="00B313BA">
        <w:t>,</w:t>
      </w:r>
      <w:r>
        <w:t xml:space="preserve"> narušavanja integriteta informacijskog prostora</w:t>
      </w:r>
      <w:r w:rsidR="00B313BA">
        <w:t>, a potencijalno ne samo sigurnosti već i stabilnosti Republike Hrvatske i njezine samostalnosti i</w:t>
      </w:r>
      <w:r w:rsidR="00E42302">
        <w:t xml:space="preserve"> demokracije te</w:t>
      </w:r>
      <w:r w:rsidR="00B313BA">
        <w:t xml:space="preserve"> ustavn</w:t>
      </w:r>
      <w:r w:rsidR="00D87DCF">
        <w:t>o-pravn</w:t>
      </w:r>
      <w:r w:rsidR="00B313BA">
        <w:t>og poretka</w:t>
      </w:r>
      <w:r>
        <w:t>.</w:t>
      </w:r>
    </w:p>
    <w:p w14:paraId="4825BE2B" w14:textId="77777777" w:rsidR="00F21FE2" w:rsidRPr="00A609CA" w:rsidRDefault="00F21FE2" w:rsidP="00F21FE2">
      <w:pPr>
        <w:pStyle w:val="Tijeloteksta"/>
        <w:spacing w:line="276" w:lineRule="auto"/>
        <w:ind w:left="540" w:right="283"/>
        <w:jc w:val="both"/>
      </w:pPr>
    </w:p>
    <w:p w14:paraId="36FD7A58" w14:textId="6014806C" w:rsidR="007E329C" w:rsidRPr="009D0F6F" w:rsidRDefault="000407C9" w:rsidP="00224D85">
      <w:pPr>
        <w:pStyle w:val="Tijeloteksta"/>
        <w:spacing w:line="276" w:lineRule="auto"/>
        <w:ind w:right="283"/>
        <w:jc w:val="both"/>
        <w:rPr>
          <w:color w:val="000000"/>
        </w:rPr>
      </w:pPr>
      <w:r>
        <w:rPr>
          <w:color w:val="000000"/>
        </w:rPr>
        <w:t>Odgovor će uključivati jačanje kapaciteta za otkrivanje sintetičkog sadržaja i obrazaca koordiniranog zlonamjernog djelovanja, razvoj protokola za provjeru autentičnosti i brzo postupanje, suradnju javnih tijela, istraživačk</w:t>
      </w:r>
      <w:r w:rsidR="00F60A67">
        <w:rPr>
          <w:color w:val="000000"/>
        </w:rPr>
        <w:t>ih organizacija</w:t>
      </w:r>
      <w:r>
        <w:rPr>
          <w:color w:val="000000"/>
        </w:rPr>
        <w:t>, medija i privatnog sektora te povećanje UI i medijske pismenosti građana. Pritom treba očuvati slobodu izražavanja i izbjeći mjere koje bi bez jasne pravne osnove ograničavale zakonitu komunikaciju.</w:t>
      </w:r>
    </w:p>
    <w:p w14:paraId="31D9ACB8" w14:textId="77777777" w:rsidR="001E6BC9" w:rsidRPr="00A609CA" w:rsidRDefault="001E6BC9" w:rsidP="001E6BC9">
      <w:pPr>
        <w:pStyle w:val="Tijeloteksta"/>
        <w:spacing w:line="276" w:lineRule="auto"/>
        <w:ind w:left="540" w:right="283"/>
        <w:jc w:val="both"/>
      </w:pPr>
    </w:p>
    <w:p w14:paraId="156A006B" w14:textId="14608C14" w:rsidR="00D839BD" w:rsidRPr="00A609CA" w:rsidRDefault="00E95173" w:rsidP="00EF483A">
      <w:pPr>
        <w:pStyle w:val="Naslov5"/>
        <w:spacing w:before="1"/>
      </w:pPr>
      <w:r>
        <w:t>4</w:t>
      </w:r>
      <w:r w:rsidR="00D839BD">
        <w:t>.6.5. Dvojna namjena, kontrola izvoza</w:t>
      </w:r>
      <w:r w:rsidR="00AA0E20">
        <w:t>, europska</w:t>
      </w:r>
      <w:r w:rsidR="00D839BD">
        <w:t xml:space="preserve"> i savezni</w:t>
      </w:r>
      <w:r w:rsidR="00AA0E20">
        <w:t>č</w:t>
      </w:r>
      <w:r w:rsidR="00D839BD">
        <w:t>ka suradnja</w:t>
      </w:r>
    </w:p>
    <w:p w14:paraId="5277B86B" w14:textId="77777777" w:rsidR="001E6BC9" w:rsidRPr="00A609CA" w:rsidRDefault="001E6BC9" w:rsidP="00EF483A">
      <w:pPr>
        <w:pStyle w:val="Naslov5"/>
        <w:spacing w:before="1"/>
      </w:pPr>
    </w:p>
    <w:p w14:paraId="1E9EBED2" w14:textId="7D5DFD1B" w:rsidR="00D839BD" w:rsidRDefault="001B1DE0" w:rsidP="00224D85">
      <w:pPr>
        <w:pStyle w:val="Tijeloteksta"/>
        <w:spacing w:line="276" w:lineRule="auto"/>
        <w:ind w:right="283"/>
        <w:jc w:val="both"/>
        <w:rPr>
          <w:color w:val="000000"/>
        </w:rPr>
      </w:pPr>
      <w:r w:rsidRPr="001B1DE0">
        <w:rPr>
          <w:color w:val="000000"/>
        </w:rPr>
        <w:t xml:space="preserve">Tehnologije UI-ja, senzori, poluvodiči, robotika, autonomni sustavi i napredna analitika često imaju civilnu i sigurnosnu odnosno dvojnu namjenu. Republika Hrvatska će poticati odgovoran razvoj takvih tehnologija, povezivanje istraživačkih i industrijskih kapaciteta te sudjelovanje u europskim programima i lancima vrijednosti, uz poštivanje propisa o kontroli izvoza, zaštiti klasificiranih podataka i drugih primjenjivih sigurnosnih zahtjeva. Na robu s dvojnom namjenom, uključujući, gdje je primjenjivo, programska rješenja i tehnologiju povezanu s UI-jem, primjenjuje se Uredba (EU) 2021/821 Europskog parlamenta i Vijeća od 20. svibnja 2021. o uspostavi režima Unije za kontrolu izvoza, brokeringa, tehničke pomoći, provoza i prijenosa </w:t>
      </w:r>
      <w:r w:rsidRPr="001B1DE0">
        <w:rPr>
          <w:color w:val="000000"/>
        </w:rPr>
        <w:lastRenderedPageBreak/>
        <w:t>robe s dvojnom namjenom (preinaka), kao i obveze koje proizlaze iz međunarodnih režima kontrole izvoza u kojima Republika Hrvatska sudjeluje. Pojedini modeli UI-ja, programska podrška i pripadajuća tehnologija mogu, ovisno o svojim obilježjima i namjeni, biti obuhvaćeni tim režimom, zbog čega će se istraživačkoj zajednici i poduzećima osiguravati pravodobno informiranje o primjenjivim obvezama.</w:t>
      </w:r>
      <w:r>
        <w:rPr>
          <w:color w:val="000000"/>
        </w:rPr>
        <w:t xml:space="preserve"> </w:t>
      </w:r>
    </w:p>
    <w:p w14:paraId="012C96B7" w14:textId="77777777" w:rsidR="006E133E" w:rsidRPr="009D0F6F" w:rsidRDefault="006E133E" w:rsidP="00896667">
      <w:pPr>
        <w:pStyle w:val="Tijeloteksta"/>
        <w:spacing w:line="276" w:lineRule="auto"/>
        <w:ind w:left="540" w:right="283"/>
        <w:jc w:val="both"/>
        <w:rPr>
          <w:color w:val="000000"/>
        </w:rPr>
      </w:pPr>
    </w:p>
    <w:p w14:paraId="7292666C" w14:textId="28A89505" w:rsidR="000D59C4" w:rsidRDefault="007F22FB" w:rsidP="00224D85">
      <w:pPr>
        <w:pStyle w:val="Tijeloteksta"/>
        <w:spacing w:line="276" w:lineRule="auto"/>
        <w:ind w:right="283"/>
        <w:jc w:val="both"/>
        <w:rPr>
          <w:color w:val="000000"/>
        </w:rPr>
      </w:pPr>
      <w:r w:rsidRPr="007F22FB">
        <w:rPr>
          <w:color w:val="000000"/>
        </w:rPr>
        <w:t>Europska suradnja u području naprednih tehnologija i obrambene industrije ostvaruje se i kroz instrumente Europske unije. Republika Hrvatska podupirat će uključivanje domaćih istraživačkih organizacija i poduzeća u Europski fond za obranu, uspostavljen Uredbom (EU) 2021/697 Europskog parlamenta i Vijeća od 29. travnja 2021. o uspostavi Europskog fonda za obranu i stavljanju izvan snage Uredbe (EU) 2018/1092, te u Program za europsku obrambenu industriju, uspostavljen Uredbom (EU) 2025/2643 Europskog parlamenta i Vijeća od 16. prosinca 2025. o uspostavi Programa za europsku obrambenu industriju i okvira mjera za osiguravanje pravodobne dostupnosti obrambenih proizvoda i opskrbe njima (Uredba EDIP). Sudjelovanje u tim instrumentima razvijat će se usklađeno sa Strategijom za europsku obrambenu industriju (EDIS) i nacionalnim prioritetima razvoja obrambenih i tehnoloških kapaciteta.</w:t>
      </w:r>
    </w:p>
    <w:p w14:paraId="7C7CB308" w14:textId="77777777" w:rsidR="006E133E" w:rsidRDefault="006E133E" w:rsidP="00896667">
      <w:pPr>
        <w:pStyle w:val="Tijeloteksta"/>
        <w:spacing w:line="276" w:lineRule="auto"/>
        <w:ind w:left="540" w:right="283"/>
        <w:jc w:val="both"/>
        <w:rPr>
          <w:color w:val="000000"/>
        </w:rPr>
      </w:pPr>
    </w:p>
    <w:p w14:paraId="757032DE" w14:textId="7C1D0AE5" w:rsidR="000D59C4" w:rsidRDefault="003029E2" w:rsidP="00224D85">
      <w:pPr>
        <w:pStyle w:val="Tijeloteksta"/>
        <w:spacing w:line="276" w:lineRule="auto"/>
        <w:ind w:right="283"/>
        <w:jc w:val="both"/>
        <w:rPr>
          <w:color w:val="000000"/>
        </w:rPr>
      </w:pPr>
      <w:r w:rsidRPr="003029E2">
        <w:rPr>
          <w:color w:val="000000"/>
        </w:rPr>
        <w:t>Kao članica Organizacije Sjevernoatlantskog ugovora</w:t>
      </w:r>
      <w:r w:rsidR="0044711A">
        <w:rPr>
          <w:color w:val="000000"/>
        </w:rPr>
        <w:t xml:space="preserve"> (NATO)</w:t>
      </w:r>
      <w:r w:rsidRPr="003029E2">
        <w:rPr>
          <w:color w:val="000000"/>
        </w:rPr>
        <w:t xml:space="preserve">, Republika Hrvatska u području sigurnosne i tehnološke suradnje sudjeluje u relevantnim savezničkim okvirima, uključujući NATO-ovu Strategiju za umjetnu inteligenciju, usvojenu 2021. i revidiranu 2024. godine, te šest načela odgovorne uporabe umjetne inteligencije u obrani – zakonitost, odgovornost i polaganje računa, objašnjivost i sljedivost, pouzdanost, upravljivost i ublažavanje pristranosti. Suradnja se ostvaruje i kroz Odbor za podatke i umjetnu inteligenciju (DARB), dok inovacijski mehanizmi Saveza, uključujući DIANA-u i NATO </w:t>
      </w:r>
      <w:r w:rsidRPr="00896667">
        <w:rPr>
          <w:i/>
          <w:iCs/>
          <w:color w:val="000000"/>
        </w:rPr>
        <w:t>Innovation Fund</w:t>
      </w:r>
      <w:r w:rsidRPr="003029E2">
        <w:rPr>
          <w:color w:val="000000"/>
        </w:rPr>
        <w:t>, mogu poduprijeti povezivanje hrvatskih istraživačkih, inovacijskih i gospodarskih kapaciteta sa savezničkim inovacijskim ekosustavom.</w:t>
      </w:r>
      <w:r>
        <w:rPr>
          <w:color w:val="000000"/>
        </w:rPr>
        <w:t xml:space="preserve"> </w:t>
      </w:r>
    </w:p>
    <w:p w14:paraId="3767CBE2" w14:textId="77777777" w:rsidR="006E133E" w:rsidRDefault="006E133E" w:rsidP="00896667">
      <w:pPr>
        <w:pStyle w:val="Tijeloteksta"/>
        <w:spacing w:line="276" w:lineRule="auto"/>
        <w:ind w:right="283"/>
        <w:jc w:val="both"/>
        <w:rPr>
          <w:color w:val="000000"/>
        </w:rPr>
      </w:pPr>
    </w:p>
    <w:p w14:paraId="6C5C75BE" w14:textId="5C6425B6" w:rsidR="000D59C4" w:rsidRDefault="00E32F77" w:rsidP="00224D85">
      <w:pPr>
        <w:pStyle w:val="Tijeloteksta"/>
        <w:spacing w:line="276" w:lineRule="auto"/>
        <w:ind w:right="283"/>
        <w:jc w:val="both"/>
        <w:rPr>
          <w:color w:val="000000"/>
        </w:rPr>
      </w:pPr>
      <w:r w:rsidRPr="00E32F77">
        <w:rPr>
          <w:color w:val="000000"/>
        </w:rPr>
        <w:t>Vojna uporaba umjetne inteligencije nije predmet ovoga Nacionalnog plana. Pitanja razvoja i uporabe UI-ja isključivo u vojne i obrambene svrhe ili svrhe nacionalne sigurnosti, na koja se u skladu s člankom 2. stavkom 3. Akta o UI-ju ne primjenjuje taj Akt, uređuju se u zasebnom strateškom i normativnom okviru i u nadležnosti tijela nadležnih za obranu i nacionalnu sigurnost, osobito u skladu sa Strategijom nacionalne sigurnosti Republike Hrvatske (NN 73/17), Strategijom obrane Republike Hrvatske (NN 104/25) i drugim relevantnim dokumentima. Republika Hrvatska prati razvoj međunarodnih pravnih i političkih okvira za odgovornu vojnu uporabu umjetne inteligencije i autonomnih sustava, uključujući rad skupine vladinih stručnjaka u okviru Konvencije o određenom konvencionalnom oružju, rasprave u Općoj skupštini Ujedinjenih naroda te druge relevantne međunarodne inicijative.</w:t>
      </w:r>
      <w:r w:rsidR="008C7E8B">
        <w:rPr>
          <w:color w:val="000000"/>
        </w:rPr>
        <w:t>.</w:t>
      </w:r>
    </w:p>
    <w:p w14:paraId="51DE18A9" w14:textId="77777777" w:rsidR="00F21FE2" w:rsidRPr="00A609CA" w:rsidRDefault="00F21FE2" w:rsidP="00F21FE2">
      <w:pPr>
        <w:pStyle w:val="Tijeloteksta"/>
        <w:spacing w:line="276" w:lineRule="auto"/>
        <w:ind w:left="540" w:right="283"/>
        <w:jc w:val="both"/>
      </w:pPr>
    </w:p>
    <w:p w14:paraId="4B0B4FBC" w14:textId="1A5E7E70" w:rsidR="00D839BD" w:rsidRPr="009D0F6F" w:rsidRDefault="00D839BD" w:rsidP="00224D85">
      <w:pPr>
        <w:pStyle w:val="Tijeloteksta"/>
        <w:spacing w:line="276" w:lineRule="auto"/>
        <w:ind w:right="283"/>
        <w:jc w:val="both"/>
        <w:rPr>
          <w:color w:val="000000"/>
        </w:rPr>
      </w:pPr>
      <w:r>
        <w:rPr>
          <w:color w:val="000000"/>
        </w:rPr>
        <w:t xml:space="preserve">U prvom provedbenom razdoblju naglasak je na podizanju razine kibernetičke sigurnosti nacionalne UI infrastrukture i provedbi odabranih UI rješenja u operativnim policijskim procesima, uz horizontalni doprinos mjera upravljanja podacima, </w:t>
      </w:r>
      <w:r w:rsidR="002A2F6B" w:rsidRPr="00896667">
        <w:rPr>
          <w:iCs/>
          <w:color w:val="000000"/>
        </w:rPr>
        <w:t>nacionalnog okvira za upravljanje UI-jem</w:t>
      </w:r>
      <w:r w:rsidR="002A2F6B">
        <w:rPr>
          <w:iCs/>
          <w:color w:val="000000"/>
        </w:rPr>
        <w:t xml:space="preserve"> </w:t>
      </w:r>
      <w:r>
        <w:rPr>
          <w:color w:val="000000"/>
        </w:rPr>
        <w:t>i regulatornog izoliranog okruženja. Daljnje mjere za zaštitu kritične infrastrukture, upravljanje krizama, otpornost UI sustava i suzbijanje prijetnji pojačanih uporabom UI-ja razrađivat će se kroz sljedeće akcijske planove u suradnji s nadležnim tijelima.</w:t>
      </w:r>
    </w:p>
    <w:p w14:paraId="44111F70" w14:textId="77777777" w:rsidR="00F21FE2" w:rsidRPr="00A609CA" w:rsidRDefault="00F21FE2" w:rsidP="00F21FE2">
      <w:pPr>
        <w:pStyle w:val="Tijeloteksta"/>
        <w:spacing w:line="276" w:lineRule="auto"/>
        <w:ind w:left="540" w:right="283"/>
        <w:jc w:val="both"/>
      </w:pPr>
    </w:p>
    <w:p w14:paraId="0BFECA26" w14:textId="7EF74641" w:rsidR="00D839BD" w:rsidRPr="00A609CA" w:rsidRDefault="00E95173" w:rsidP="00F21FE2">
      <w:pPr>
        <w:pStyle w:val="Naslov3"/>
        <w:keepNext w:val="0"/>
        <w:keepLines w:val="0"/>
        <w:widowControl w:val="0"/>
        <w:autoSpaceDE w:val="0"/>
        <w:autoSpaceDN w:val="0"/>
        <w:spacing w:before="0" w:line="240" w:lineRule="auto"/>
        <w:jc w:val="both"/>
        <w:rPr>
          <w:rFonts w:ascii="Times New Roman" w:eastAsia="Times New Roman" w:hAnsi="Times New Roman" w:cs="Times New Roman"/>
          <w:b/>
          <w:bCs/>
          <w:color w:val="auto"/>
          <w:lang w:val="hr-HR"/>
        </w:rPr>
      </w:pPr>
      <w:bookmarkStart w:id="66" w:name="_Toc236064849"/>
      <w:bookmarkStart w:id="67" w:name="_Toc242947278"/>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.7. Poljoprivreda, hrana, šumarstvo i bioekonomija</w:t>
      </w:r>
      <w:bookmarkEnd w:id="66"/>
      <w:bookmarkEnd w:id="67"/>
    </w:p>
    <w:p w14:paraId="797DB0DD" w14:textId="77777777" w:rsidR="001E6BC9" w:rsidRPr="00A609CA" w:rsidRDefault="001E6BC9" w:rsidP="00F21FE2">
      <w:pPr>
        <w:spacing w:after="0"/>
        <w:rPr>
          <w:lang w:val="hr-HR"/>
        </w:rPr>
      </w:pPr>
    </w:p>
    <w:p w14:paraId="489DC808" w14:textId="74F26B6A" w:rsidR="00D839BD" w:rsidRPr="009D0F6F" w:rsidRDefault="000407C9" w:rsidP="00224D85">
      <w:pPr>
        <w:pStyle w:val="Tijeloteksta"/>
        <w:spacing w:line="276" w:lineRule="auto"/>
        <w:ind w:right="283"/>
        <w:jc w:val="both"/>
        <w:rPr>
          <w:color w:val="000000"/>
        </w:rPr>
      </w:pPr>
      <w:r>
        <w:rPr>
          <w:color w:val="000000"/>
        </w:rPr>
        <w:t xml:space="preserve">Poljoprivreda, šumarstvo, ribarstvo, veterinarstvo, lovstvo, prehrambena i drvna industrija raspolažu velikim brojem proizvodnih, okolišnih, prostornih i upravnih podataka. UI može pridonijeti preciznijem upravljanju prirodnim resursima, optimizaciji proizvodnje, smanjenju troškova i gubitaka, sigurnosti hrane te većoj </w:t>
      </w:r>
      <w:r>
        <w:rPr>
          <w:color w:val="000000"/>
        </w:rPr>
        <w:lastRenderedPageBreak/>
        <w:t>otpornosti na klimatske i tržišne rizike. U ovim je djelatnostima važno da UI rješenja budu praktična, dostupna i prilagođena malim proizvođačima i različitim regionalnim uvjetima.</w:t>
      </w:r>
    </w:p>
    <w:p w14:paraId="1D19EAE5" w14:textId="77777777" w:rsidR="00F21FE2" w:rsidRPr="00A609CA" w:rsidRDefault="00F21FE2" w:rsidP="00F21FE2">
      <w:pPr>
        <w:pStyle w:val="Tijeloteksta"/>
        <w:spacing w:line="276" w:lineRule="auto"/>
        <w:ind w:left="540" w:right="283"/>
        <w:jc w:val="both"/>
      </w:pPr>
    </w:p>
    <w:p w14:paraId="4EF6F8DC" w14:textId="7F33F515" w:rsidR="001E6BC9" w:rsidRPr="009D0F6F" w:rsidRDefault="000407C9" w:rsidP="00224D85">
      <w:pPr>
        <w:pStyle w:val="Tijeloteksta"/>
        <w:spacing w:line="276" w:lineRule="auto"/>
        <w:ind w:right="283"/>
        <w:jc w:val="both"/>
        <w:rPr>
          <w:color w:val="000000"/>
        </w:rPr>
      </w:pPr>
      <w:r>
        <w:rPr>
          <w:color w:val="000000"/>
        </w:rPr>
        <w:t>Područje se izravno povezuje sa S3 prioritetima Održiva i kružna hrana te Prilagođeni i integrirani proizvodi od drva, a digitalne platforme, senzorski sustavi i analitika čine njegovu horizontalnu tehnološku osnovu.</w:t>
      </w:r>
    </w:p>
    <w:p w14:paraId="2F3F4EDC" w14:textId="77777777" w:rsidR="001E6BC9" w:rsidRPr="00A609CA" w:rsidRDefault="001E6BC9" w:rsidP="001E6BC9">
      <w:pPr>
        <w:pStyle w:val="Tijeloteksta"/>
        <w:spacing w:line="276" w:lineRule="auto"/>
        <w:ind w:left="540" w:right="283"/>
        <w:jc w:val="both"/>
      </w:pPr>
    </w:p>
    <w:p w14:paraId="3B4E4F50" w14:textId="490EFCBE" w:rsidR="00D839BD" w:rsidRPr="00A609CA" w:rsidRDefault="00E95173" w:rsidP="00EF483A">
      <w:pPr>
        <w:pStyle w:val="Naslov5"/>
        <w:spacing w:before="1"/>
      </w:pPr>
      <w:r>
        <w:t>4</w:t>
      </w:r>
      <w:r w:rsidR="00D839BD">
        <w:t>.7.1. Precizna poljoprivreda i upravljanje usjevima i resursima</w:t>
      </w:r>
    </w:p>
    <w:p w14:paraId="3E68098C" w14:textId="77777777" w:rsidR="001E6BC9" w:rsidRPr="00A609CA" w:rsidRDefault="001E6BC9" w:rsidP="00EF483A">
      <w:pPr>
        <w:pStyle w:val="Naslov5"/>
        <w:spacing w:before="1"/>
      </w:pPr>
    </w:p>
    <w:p w14:paraId="46458209" w14:textId="17EE77D3" w:rsidR="00D839BD" w:rsidRPr="009D0F6F" w:rsidRDefault="000407C9" w:rsidP="00224D85">
      <w:pPr>
        <w:pStyle w:val="Tijeloteksta"/>
        <w:spacing w:line="276" w:lineRule="auto"/>
        <w:ind w:right="283"/>
        <w:jc w:val="both"/>
        <w:rPr>
          <w:color w:val="000000"/>
        </w:rPr>
      </w:pPr>
      <w:r>
        <w:rPr>
          <w:color w:val="000000"/>
        </w:rPr>
        <w:t>Razvijat će se UI modeli za precizno upravljanje vegetacijom, štetnicima, bolestima, vodnim resursima i korištenjem gnojiva i zaštitnih sredstava. Postojeći sustavi, uključujući eSavjetnik i AKIS, koji objedinjuju agroklimatske podatke, upozorenja i stručne informacije, mogu se nadograditi podacima o tlu, povijesnim prinosima, evidencijama proizvođača, satelitskim snimkama i senzorskim mjerenjima. Time će se omogućiti personalizirane preporuke, analiza višegodišnjih trendova i pravodobna upozorenja na rizike.</w:t>
      </w:r>
    </w:p>
    <w:p w14:paraId="27DC8957" w14:textId="77777777" w:rsidR="00F21FE2" w:rsidRPr="00A609CA" w:rsidRDefault="00F21FE2" w:rsidP="00F21FE2">
      <w:pPr>
        <w:pStyle w:val="Tijeloteksta"/>
        <w:spacing w:line="276" w:lineRule="auto"/>
        <w:ind w:left="540" w:right="283"/>
        <w:jc w:val="both"/>
      </w:pPr>
    </w:p>
    <w:p w14:paraId="4CD4CFE5" w14:textId="4EF7B127" w:rsidR="001E6BC9" w:rsidRPr="009D0F6F" w:rsidRDefault="000407C9" w:rsidP="00224D85">
      <w:pPr>
        <w:pStyle w:val="Tijeloteksta"/>
        <w:spacing w:line="276" w:lineRule="auto"/>
        <w:ind w:right="283"/>
        <w:jc w:val="both"/>
        <w:rPr>
          <w:color w:val="000000"/>
        </w:rPr>
      </w:pPr>
      <w:r>
        <w:rPr>
          <w:color w:val="000000"/>
        </w:rPr>
        <w:t>Platforma pametne poljoprivrede treba povezati podatke o zemljištu, meteorološkim uvjetima, štetnicima, sredstvima za zaštitu bilja i proizvodnji te omogućiti njihovu sigurnu uporabu u analitici i UI modelima. Digitalni blizanci parcela, nasada ili proizvodnih sustava mogu poduprijeti simuliranje scenarija proizvodnje, planiranje navodnjavanja i procjenu učinka različitih odluka prije njihove primjene na terenu.</w:t>
      </w:r>
    </w:p>
    <w:p w14:paraId="0148B4E9" w14:textId="77777777" w:rsidR="001E6BC9" w:rsidRPr="00A609CA" w:rsidRDefault="001E6BC9" w:rsidP="001E6BC9">
      <w:pPr>
        <w:pStyle w:val="Tijeloteksta"/>
        <w:spacing w:line="276" w:lineRule="auto"/>
        <w:ind w:left="540" w:right="283"/>
        <w:jc w:val="both"/>
      </w:pPr>
    </w:p>
    <w:p w14:paraId="04B4EFBB" w14:textId="0BDC1995" w:rsidR="00D839BD" w:rsidRPr="00A609CA" w:rsidRDefault="00E95173" w:rsidP="00EF483A">
      <w:pPr>
        <w:pStyle w:val="Naslov5"/>
        <w:spacing w:before="1"/>
      </w:pPr>
      <w:r>
        <w:t>4</w:t>
      </w:r>
      <w:r w:rsidR="00D839BD">
        <w:t>.7.2. Planiranje proizvodnje i upravljanje poljoprivrednim i biološkim resursima</w:t>
      </w:r>
    </w:p>
    <w:p w14:paraId="4931EC1E" w14:textId="77777777" w:rsidR="001E6BC9" w:rsidRPr="00A609CA" w:rsidRDefault="001E6BC9" w:rsidP="00EF483A">
      <w:pPr>
        <w:pStyle w:val="Naslov5"/>
        <w:spacing w:before="1"/>
      </w:pPr>
    </w:p>
    <w:p w14:paraId="2C5D7FD3" w14:textId="4DDBC07A" w:rsidR="00D839BD" w:rsidRPr="009D0F6F" w:rsidRDefault="00D839BD" w:rsidP="00224D85">
      <w:pPr>
        <w:pStyle w:val="Tijeloteksta"/>
        <w:spacing w:line="276" w:lineRule="auto"/>
        <w:ind w:right="283"/>
        <w:jc w:val="both"/>
        <w:rPr>
          <w:color w:val="000000"/>
        </w:rPr>
      </w:pPr>
      <w:r>
        <w:rPr>
          <w:color w:val="000000"/>
        </w:rPr>
        <w:t>UI će se koristiti za predviđanje proizvodnih trendova, rizika bolesti, potreba za resursima i optimalne raspodjele kapaciteta u biljnoj i stočarskoj proizvodnji, veterinarstvu, ribarstvu i akvakulturi. Analitika može poduprijeti upravljanje državnim poljoprivrednim zemljištem, planiranje veterinarskih aktivnosti, praćenje zdravlja životinja i učinkovitije usmjeravanje stručnih i savjetodavnih službi.</w:t>
      </w:r>
    </w:p>
    <w:p w14:paraId="6D1AEF99" w14:textId="77777777" w:rsidR="00F21FE2" w:rsidRPr="009D0F6F" w:rsidRDefault="00F21FE2" w:rsidP="00F21FE2">
      <w:pPr>
        <w:pStyle w:val="Tijeloteksta"/>
        <w:spacing w:line="276" w:lineRule="auto"/>
        <w:ind w:left="540" w:right="283"/>
        <w:jc w:val="both"/>
        <w:rPr>
          <w:color w:val="000000"/>
        </w:rPr>
      </w:pPr>
    </w:p>
    <w:p w14:paraId="5019263F" w14:textId="21200A91" w:rsidR="007E329C" w:rsidRPr="009D0F6F" w:rsidRDefault="00D839BD" w:rsidP="00224D85">
      <w:pPr>
        <w:pStyle w:val="Tijeloteksta"/>
        <w:spacing w:line="276" w:lineRule="auto"/>
        <w:ind w:right="283"/>
        <w:jc w:val="both"/>
        <w:rPr>
          <w:color w:val="000000"/>
        </w:rPr>
      </w:pPr>
      <w:r>
        <w:rPr>
          <w:color w:val="000000"/>
        </w:rPr>
        <w:t>U ribarstvu i akvakulturi UI može pomoći u praćenju okolišnih uvjeta, procjeni biomase, planiranju hranidbe, ranom otkrivanju bolesti i održivom upravljanju ribolovnim resursima. U lovstvu i upravljanju divljači mogu se povezivati podaci s terena, snimke i prostorni podaci radi praćenja populacija i smanjenja šteta.</w:t>
      </w:r>
    </w:p>
    <w:p w14:paraId="23843200" w14:textId="77777777" w:rsidR="001E6BC9" w:rsidRPr="00A609CA" w:rsidRDefault="001E6BC9" w:rsidP="001E6BC9">
      <w:pPr>
        <w:pStyle w:val="Tijeloteksta"/>
        <w:spacing w:line="276" w:lineRule="auto"/>
        <w:ind w:left="540" w:right="283"/>
        <w:jc w:val="both"/>
      </w:pPr>
    </w:p>
    <w:p w14:paraId="2D12D2AF" w14:textId="1F26783E" w:rsidR="00D839BD" w:rsidRPr="00A609CA" w:rsidRDefault="00E95173" w:rsidP="00EF483A">
      <w:pPr>
        <w:pStyle w:val="Naslov5"/>
        <w:spacing w:before="1"/>
      </w:pPr>
      <w:r>
        <w:t>4</w:t>
      </w:r>
      <w:r w:rsidR="00D839BD">
        <w:t>.7.3. Sigurnost hrane, praćenje i održiva prerada</w:t>
      </w:r>
    </w:p>
    <w:p w14:paraId="3C436318" w14:textId="77777777" w:rsidR="001E6BC9" w:rsidRPr="00A609CA" w:rsidRDefault="001E6BC9" w:rsidP="001E6BC9">
      <w:pPr>
        <w:pStyle w:val="Naslov5"/>
        <w:spacing w:before="1"/>
        <w:ind w:left="0"/>
      </w:pPr>
    </w:p>
    <w:p w14:paraId="46295F96" w14:textId="5F3316F3" w:rsidR="00D839BD" w:rsidRPr="009D0F6F" w:rsidRDefault="00D839BD" w:rsidP="00224D85">
      <w:pPr>
        <w:pStyle w:val="Tijeloteksta"/>
        <w:spacing w:line="276" w:lineRule="auto"/>
        <w:ind w:right="283"/>
        <w:jc w:val="both"/>
        <w:rPr>
          <w:color w:val="000000"/>
        </w:rPr>
      </w:pPr>
      <w:r>
        <w:rPr>
          <w:color w:val="000000"/>
        </w:rPr>
        <w:t>UI može unaprijediti kontrolu kvalitete i sigurnosti hrane, rano prepoznavanje rizika u proizvodnim i opskrbnim lancima, praćenje sirovina i proizvoda te optimizaciju prerade, pakiranja i distribucije. Analizom podataka iz proizvodnje i tržišta moguće je preciznije planirati količine, smanjiti gubitke hrane i bolje povezati primarnu proizvodnju s prerađivačkim kapacitetima i potražnjom.</w:t>
      </w:r>
    </w:p>
    <w:p w14:paraId="2A8FCAC0" w14:textId="77777777" w:rsidR="00F21FE2" w:rsidRPr="009D0F6F" w:rsidRDefault="00F21FE2" w:rsidP="00F21FE2">
      <w:pPr>
        <w:pStyle w:val="Tijeloteksta"/>
        <w:spacing w:line="276" w:lineRule="auto"/>
        <w:ind w:left="540" w:right="283"/>
        <w:jc w:val="both"/>
        <w:rPr>
          <w:color w:val="000000"/>
        </w:rPr>
      </w:pPr>
    </w:p>
    <w:p w14:paraId="3EDCAE64" w14:textId="34C84C85" w:rsidR="007E329C" w:rsidRPr="009D0F6F" w:rsidRDefault="000407C9" w:rsidP="00224D85">
      <w:pPr>
        <w:pStyle w:val="Tijeloteksta"/>
        <w:spacing w:line="276" w:lineRule="auto"/>
        <w:ind w:right="283"/>
        <w:jc w:val="both"/>
        <w:rPr>
          <w:color w:val="000000"/>
        </w:rPr>
      </w:pPr>
      <w:r>
        <w:rPr>
          <w:color w:val="000000"/>
        </w:rPr>
        <w:t>Razvoj održivih i kružnih prehrambenih sustava zahtijeva povezivanje podataka o sirovinama, nusproizvodima, otpadu i potrošnji resursa. UI može pomoći u pronalaženju mogućnosti ponovne uporabe i prerade, optimizaciji logistike te razvoju proizvoda veće dodane vrijednosti.</w:t>
      </w:r>
    </w:p>
    <w:p w14:paraId="7AAFCA62" w14:textId="77777777" w:rsidR="001E6BC9" w:rsidRPr="00A609CA" w:rsidRDefault="001E6BC9" w:rsidP="001E6BC9">
      <w:pPr>
        <w:pStyle w:val="Tijeloteksta"/>
        <w:spacing w:line="276" w:lineRule="auto"/>
        <w:ind w:left="540" w:right="283"/>
        <w:jc w:val="both"/>
      </w:pPr>
    </w:p>
    <w:p w14:paraId="385625EE" w14:textId="1AB54239" w:rsidR="00D839BD" w:rsidRPr="00A609CA" w:rsidRDefault="00E95173" w:rsidP="00EF483A">
      <w:pPr>
        <w:pStyle w:val="Naslov5"/>
        <w:spacing w:before="1"/>
      </w:pPr>
      <w:r>
        <w:t>4</w:t>
      </w:r>
      <w:r w:rsidR="00D839BD">
        <w:t>.7.4. Šumarstvo, drvna industrija i bioekonomija</w:t>
      </w:r>
    </w:p>
    <w:p w14:paraId="4AFA5EAF" w14:textId="77777777" w:rsidR="001E6BC9" w:rsidRPr="00A609CA" w:rsidRDefault="001E6BC9" w:rsidP="00EF483A">
      <w:pPr>
        <w:pStyle w:val="Naslov5"/>
        <w:spacing w:before="1"/>
      </w:pPr>
    </w:p>
    <w:p w14:paraId="5BF9F48D" w14:textId="4EA3BB2C" w:rsidR="00D839BD" w:rsidRPr="009D0F6F" w:rsidRDefault="00D839BD" w:rsidP="00224D85">
      <w:pPr>
        <w:pStyle w:val="Tijeloteksta"/>
        <w:spacing w:line="276" w:lineRule="auto"/>
        <w:ind w:right="283"/>
        <w:jc w:val="both"/>
        <w:rPr>
          <w:color w:val="000000"/>
        </w:rPr>
      </w:pPr>
      <w:r>
        <w:rPr>
          <w:color w:val="000000"/>
        </w:rPr>
        <w:t>U šumarstvu će se UI koristiti za analizu satelitskih i zračnih snimaka, inventarizaciju šuma, praćenje zdravstvenog stanja, rano otkrivanje štetnika i bolesti te procjenu rizika od požara. Povezivanje prostornih, klimatskih i gospodarskih podataka može unaprijediti planiranje sječe, obnove i zaštite šumskih ekosustava.</w:t>
      </w:r>
    </w:p>
    <w:p w14:paraId="1DBCCD76" w14:textId="77777777" w:rsidR="00F21FE2" w:rsidRPr="009D0F6F" w:rsidRDefault="00F21FE2" w:rsidP="00F21FE2">
      <w:pPr>
        <w:pStyle w:val="Tijeloteksta"/>
        <w:spacing w:line="276" w:lineRule="auto"/>
        <w:ind w:left="540" w:right="283"/>
        <w:jc w:val="both"/>
        <w:rPr>
          <w:color w:val="000000"/>
        </w:rPr>
      </w:pPr>
    </w:p>
    <w:p w14:paraId="155287D2" w14:textId="7FFBEA88" w:rsidR="007E329C" w:rsidRPr="009D0F6F" w:rsidRDefault="00D839BD" w:rsidP="00224D85">
      <w:pPr>
        <w:pStyle w:val="Tijeloteksta"/>
        <w:spacing w:line="276" w:lineRule="auto"/>
        <w:ind w:right="283"/>
        <w:jc w:val="both"/>
        <w:rPr>
          <w:color w:val="000000"/>
        </w:rPr>
      </w:pPr>
      <w:r>
        <w:rPr>
          <w:color w:val="000000"/>
        </w:rPr>
        <w:t>U drvnoj industriji UI može poduprijeti optimizaciju rezanja i iskorištenja materijala, automatiziranu kontrolu kvalitete, projektiranje prilagođenih proizvoda, prediktivno održavanje i razvoj novih proizvoda povezanih s digitalnim uslugama. Time se povezuju resursna učinkovitost, dizajn, napredna proizvodnja i S3 prioritet Prilagođeni i integrirani proizvodi od drva.</w:t>
      </w:r>
    </w:p>
    <w:p w14:paraId="3EF9C6EB" w14:textId="77777777" w:rsidR="001E6BC9" w:rsidRPr="00A609CA" w:rsidRDefault="001E6BC9" w:rsidP="001E6BC9">
      <w:pPr>
        <w:pStyle w:val="Tijeloteksta"/>
        <w:spacing w:line="276" w:lineRule="auto"/>
        <w:ind w:left="540" w:right="283"/>
        <w:jc w:val="both"/>
      </w:pPr>
    </w:p>
    <w:p w14:paraId="4DE2DC6C" w14:textId="25BBBEB1" w:rsidR="00D839BD" w:rsidRPr="00A609CA" w:rsidRDefault="00E95173" w:rsidP="00F21FE2">
      <w:pPr>
        <w:pStyle w:val="Naslov5"/>
      </w:pPr>
      <w:r>
        <w:t>4</w:t>
      </w:r>
      <w:r w:rsidR="00D839BD">
        <w:t>.7.5. Uvjeti za širu primjenu</w:t>
      </w:r>
    </w:p>
    <w:p w14:paraId="5A762978" w14:textId="77777777" w:rsidR="00C57101" w:rsidRPr="00A609CA" w:rsidRDefault="00C57101" w:rsidP="00081FC3">
      <w:pPr>
        <w:pStyle w:val="Naslov5"/>
        <w:spacing w:before="1"/>
      </w:pPr>
    </w:p>
    <w:p w14:paraId="132F0C14" w14:textId="15267F15" w:rsidR="00D839BD" w:rsidRPr="009D0F6F" w:rsidRDefault="000407C9" w:rsidP="00224D85">
      <w:pPr>
        <w:pStyle w:val="Tijeloteksta"/>
        <w:spacing w:line="276" w:lineRule="auto"/>
        <w:ind w:right="283"/>
        <w:jc w:val="both"/>
        <w:rPr>
          <w:color w:val="000000"/>
        </w:rPr>
      </w:pPr>
      <w:r>
        <w:rPr>
          <w:color w:val="000000"/>
        </w:rPr>
        <w:t>Šira primjena ovisit će o kvaliteti i interoperabilnosti javnih i privatnih podataka, dostupnosti širokopojasne i senzorske infrastrukture u ruralnim područjima, jasnim pravilima pristupa podacima te povjerenju proizvođača. Rješenja trebaju biti jednostavna za uporabu, ekonomski opravdana i dostupna različitim veličinama gospodarstava, uz mogućnost savjetodavne i tehničke podrške.</w:t>
      </w:r>
    </w:p>
    <w:p w14:paraId="28A97157" w14:textId="77777777" w:rsidR="00F21FE2" w:rsidRPr="00A609CA" w:rsidRDefault="00F21FE2" w:rsidP="00F21FE2">
      <w:pPr>
        <w:pStyle w:val="Tijeloteksta"/>
        <w:spacing w:line="276" w:lineRule="auto"/>
        <w:ind w:left="540" w:right="283"/>
        <w:jc w:val="both"/>
      </w:pPr>
    </w:p>
    <w:p w14:paraId="6B98F348" w14:textId="31D5160A" w:rsidR="00582B77" w:rsidRPr="009D0F6F" w:rsidRDefault="000407C9" w:rsidP="00224D85">
      <w:pPr>
        <w:pStyle w:val="Tijeloteksta"/>
        <w:spacing w:line="276" w:lineRule="auto"/>
        <w:ind w:right="283"/>
        <w:jc w:val="both"/>
        <w:rPr>
          <w:color w:val="000000"/>
        </w:rPr>
      </w:pPr>
      <w:r>
        <w:rPr>
          <w:color w:val="000000"/>
        </w:rPr>
        <w:t>Prvi akcijski plan ne sadrži zasebnu sektorsku mjeru za poljoprivredu, hranu i šumarstvo, ali poduzeća i istraživačke organizacije iz tih područja mogu koristiti horizontalne instrumente za istraživanje, inovacije, vaučere, DIH/EDIH usluge i financiranje. Posebne sektorske mjere razradit će se kada budu pripremljeni projekti, utvrđeni nositelji i osigurani podaci i financiranje.</w:t>
      </w:r>
    </w:p>
    <w:p w14:paraId="1161504F" w14:textId="490D0146" w:rsidR="001E6BC9" w:rsidRPr="00A609CA" w:rsidRDefault="00E95173" w:rsidP="00F21FE2">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68" w:name="_Toc236064850"/>
      <w:bookmarkStart w:id="69" w:name="_Toc242947279"/>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.8. Energija, okoliš i klimatska otpornost</w:t>
      </w:r>
      <w:bookmarkEnd w:id="68"/>
      <w:bookmarkEnd w:id="69"/>
    </w:p>
    <w:p w14:paraId="2D7D8F7E" w14:textId="77777777" w:rsidR="00F21FE2" w:rsidRPr="00A609CA" w:rsidRDefault="00F21FE2" w:rsidP="00F21FE2">
      <w:pPr>
        <w:spacing w:after="0"/>
        <w:rPr>
          <w:lang w:val="hr-HR"/>
        </w:rPr>
      </w:pPr>
    </w:p>
    <w:p w14:paraId="4FD198F6" w14:textId="332FAA61" w:rsidR="00582B77" w:rsidRPr="009D0F6F" w:rsidRDefault="000407C9" w:rsidP="00224D85">
      <w:pPr>
        <w:pStyle w:val="Tijeloteksta"/>
        <w:spacing w:line="276" w:lineRule="auto"/>
        <w:ind w:right="283"/>
        <w:jc w:val="both"/>
        <w:rPr>
          <w:color w:val="000000"/>
        </w:rPr>
      </w:pPr>
      <w:r>
        <w:rPr>
          <w:color w:val="000000"/>
        </w:rPr>
        <w:t>Energetska tranzicija, zaštita okoliša i prilagodba klimatskim promjenama oslanjaju se na velike količine vremenskih, prostornih, senzorskih, infrastrukturnih i tržišnih podataka. UI može povezati te izvore, omogućiti preciznije prognoze, optimizirati rad sustava i poduprijeti ranije prepoznavanje rizika. Istodobno, energetski i okolišni sustavi dio su kritične infrastrukture te zahtijevaju visoku razinu fizičke, kibernetičke i operativne otpornosti.</w:t>
      </w:r>
    </w:p>
    <w:p w14:paraId="6E7ED022" w14:textId="77777777" w:rsidR="001E6BC9" w:rsidRPr="00A609CA" w:rsidRDefault="001E6BC9" w:rsidP="001E6BC9">
      <w:pPr>
        <w:pStyle w:val="Tijeloteksta"/>
        <w:spacing w:line="276" w:lineRule="auto"/>
        <w:ind w:left="540" w:right="283"/>
        <w:jc w:val="both"/>
      </w:pPr>
    </w:p>
    <w:p w14:paraId="15074E7F" w14:textId="1EEFBB69" w:rsidR="00D839BD" w:rsidRPr="00A609CA" w:rsidRDefault="00E95173" w:rsidP="00081FC3">
      <w:pPr>
        <w:pStyle w:val="Naslov5"/>
        <w:spacing w:before="1"/>
      </w:pPr>
      <w:r>
        <w:t>4</w:t>
      </w:r>
      <w:r w:rsidR="00D839BD">
        <w:t>.8.1. Optimizacija proizvodnje i integracije obnovljivih izvora energije</w:t>
      </w:r>
    </w:p>
    <w:p w14:paraId="28422BC1" w14:textId="77777777" w:rsidR="00C57101" w:rsidRPr="00A609CA" w:rsidRDefault="00C57101" w:rsidP="00C57101">
      <w:pPr>
        <w:pStyle w:val="Naslov5"/>
        <w:spacing w:before="1"/>
        <w:ind w:left="0"/>
      </w:pPr>
    </w:p>
    <w:p w14:paraId="545B07DF" w14:textId="2035A527" w:rsidR="00D839BD" w:rsidRPr="009D0F6F" w:rsidRDefault="000407C9" w:rsidP="00224D85">
      <w:pPr>
        <w:pStyle w:val="Tijeloteksta"/>
        <w:spacing w:line="276" w:lineRule="auto"/>
        <w:ind w:right="283"/>
        <w:jc w:val="both"/>
        <w:rPr>
          <w:color w:val="000000"/>
        </w:rPr>
      </w:pPr>
      <w:r>
        <w:rPr>
          <w:color w:val="000000"/>
        </w:rPr>
        <w:t>Uvodit će se UI modeli koji povezuju meteorološke podatke, podatke iz vjetroelektrana, solarnih, hidroenergetskih i drugih sustava te predikcije potrošnje kako bi se povećala stabilnost elektroenergetskog sustava i učinkovitije upravljalo proizvodnjom iz obnovljivih izvora. Modeli mogu simulirati scenarije proizvodnje, oscilacije u mreži, rad mikromreža, skladištenje energije i fleksibilnu potrošnju te tako pridonijeti boljem iskorištenju obnovljivih izvora i sigurnosti opskrbe.</w:t>
      </w:r>
    </w:p>
    <w:p w14:paraId="5AA39B99" w14:textId="77777777" w:rsidR="00F21FE2" w:rsidRPr="00A609CA" w:rsidRDefault="00F21FE2" w:rsidP="00F21FE2">
      <w:pPr>
        <w:pStyle w:val="Tijeloteksta"/>
        <w:spacing w:line="276" w:lineRule="auto"/>
        <w:ind w:left="540" w:right="283"/>
        <w:jc w:val="both"/>
      </w:pPr>
    </w:p>
    <w:p w14:paraId="5BD2381D" w14:textId="757DC085" w:rsidR="00582B77" w:rsidRPr="009D0F6F" w:rsidRDefault="000407C9" w:rsidP="00224D85">
      <w:pPr>
        <w:pStyle w:val="Tijeloteksta"/>
        <w:spacing w:line="276" w:lineRule="auto"/>
        <w:ind w:right="283"/>
        <w:jc w:val="both"/>
        <w:rPr>
          <w:color w:val="000000"/>
        </w:rPr>
      </w:pPr>
      <w:r>
        <w:rPr>
          <w:color w:val="000000"/>
        </w:rPr>
        <w:t>Razvoj takvih sustava mora biti praćen sigurnom razmjenom podataka, segmentacijom mreža, kontrolom pristupa i nadzorom integriteta podataka. UI modeli koji upravljaju proizvodnjom ili fleksibilnošću potrošnje moraju biti otporni na manipulaciju podacima, kibernetičke napade i prekide komunikacije, osobito u uvjetima visokog udjela decentraliziranih izvora.</w:t>
      </w:r>
    </w:p>
    <w:p w14:paraId="31C02B14" w14:textId="77777777" w:rsidR="00ED64CF" w:rsidRPr="00A609CA" w:rsidRDefault="00ED64CF" w:rsidP="00ED64CF">
      <w:pPr>
        <w:pStyle w:val="Tijeloteksta"/>
        <w:spacing w:line="276" w:lineRule="auto"/>
        <w:ind w:right="283"/>
        <w:jc w:val="both"/>
      </w:pPr>
    </w:p>
    <w:p w14:paraId="02B7845C" w14:textId="7CA5A41D" w:rsidR="00D839BD" w:rsidRPr="00A609CA" w:rsidRDefault="00E95173" w:rsidP="00081FC3">
      <w:pPr>
        <w:pStyle w:val="Naslov5"/>
        <w:spacing w:before="1"/>
      </w:pPr>
      <w:r>
        <w:t>4</w:t>
      </w:r>
      <w:r w:rsidR="00D839BD">
        <w:t>.8.2. Pametne mreže, prediktivno održavanje i upravljanje energetskim sustavom</w:t>
      </w:r>
    </w:p>
    <w:p w14:paraId="4F07272C" w14:textId="77777777" w:rsidR="002701D7" w:rsidRPr="00A609CA" w:rsidRDefault="002701D7" w:rsidP="00081FC3">
      <w:pPr>
        <w:pStyle w:val="Naslov5"/>
        <w:spacing w:before="1"/>
      </w:pPr>
    </w:p>
    <w:p w14:paraId="555D814E" w14:textId="17D6C365" w:rsidR="00D839BD" w:rsidRPr="009D0F6F" w:rsidRDefault="0080281C" w:rsidP="00224D85">
      <w:pPr>
        <w:pStyle w:val="Tijeloteksta"/>
        <w:spacing w:line="276" w:lineRule="auto"/>
        <w:ind w:right="283"/>
        <w:jc w:val="both"/>
        <w:rPr>
          <w:color w:val="000000"/>
        </w:rPr>
      </w:pPr>
      <w:r>
        <w:rPr>
          <w:color w:val="000000"/>
        </w:rPr>
        <w:t>UI rješenja koristit će se za detekciju kvarova, analizu anomalija, optimizaciju naponskih razina, predviđanje zagušenja i inteligentno upravljanje opterećenjem. Na energetskim objektima, plinovodima, naftovodima, vrelovodima i drugim sustavima modeli za prediktivno održavanje analizirat će vibracije, temperaturu, opterećenje i druge parametre kako bi se kvarovi prepoznali prije nastanka većih posljedica.</w:t>
      </w:r>
    </w:p>
    <w:p w14:paraId="7F487F39" w14:textId="77777777" w:rsidR="00F21FE2" w:rsidRPr="00A609CA" w:rsidRDefault="00F21FE2" w:rsidP="00F21FE2">
      <w:pPr>
        <w:pStyle w:val="Tijeloteksta"/>
        <w:spacing w:line="276" w:lineRule="auto"/>
        <w:ind w:left="540" w:right="283"/>
        <w:jc w:val="both"/>
      </w:pPr>
    </w:p>
    <w:p w14:paraId="7F367CE7" w14:textId="195944F2" w:rsidR="00D839BD" w:rsidRPr="009D0F6F" w:rsidRDefault="006954F9" w:rsidP="00224D85">
      <w:pPr>
        <w:pStyle w:val="Tijeloteksta"/>
        <w:spacing w:line="276" w:lineRule="auto"/>
        <w:ind w:right="283"/>
        <w:jc w:val="both"/>
        <w:rPr>
          <w:color w:val="000000"/>
        </w:rPr>
      </w:pPr>
      <w:r>
        <w:rPr>
          <w:color w:val="000000"/>
        </w:rPr>
        <w:t>Prediktivna analitika može poduprijeti planiranje potrošnje industrijskih korisnika, kućanstava i javnog sektora, upravljanje javnom rasvjetom i energetskom učinkovitošću zgrada te razvoj tržišnih i netržišnih scenarija. Posebna vrijednost UI-ja je u brzoj obradi velikog broja podataka iz SCADA sustava, senzora i meteoroloških izvora, čime se povećava otpornost sustava i omogućuje dugoročnije planiranje investicija.</w:t>
      </w:r>
    </w:p>
    <w:p w14:paraId="3FF8A4F5" w14:textId="77777777" w:rsidR="00F21FE2" w:rsidRPr="00A609CA" w:rsidRDefault="00F21FE2" w:rsidP="00F21FE2">
      <w:pPr>
        <w:pStyle w:val="Tijeloteksta"/>
        <w:spacing w:line="276" w:lineRule="auto"/>
        <w:ind w:left="540" w:right="283"/>
        <w:jc w:val="both"/>
      </w:pPr>
    </w:p>
    <w:p w14:paraId="1F01300B" w14:textId="4961BFA7" w:rsidR="002701D7" w:rsidRPr="009D0F6F" w:rsidRDefault="006954F9" w:rsidP="00224D85">
      <w:pPr>
        <w:pStyle w:val="Tijeloteksta"/>
        <w:spacing w:line="276" w:lineRule="auto"/>
        <w:ind w:right="283"/>
        <w:jc w:val="both"/>
        <w:rPr>
          <w:color w:val="000000"/>
        </w:rPr>
      </w:pPr>
      <w:r>
        <w:rPr>
          <w:color w:val="000000"/>
        </w:rPr>
        <w:t>Rast podatkovnih centara i računalnih kapaciteta za UI povećavat će potražnju za električnom energijom i potrebu za stabilnim napajanjem. Planiranje digitalne infrastrukture zato će se povezivati s energetskom učinkovitošću, raspoloživim kapacitetima mreže, obnovljivim izvorima, otpadnom toplinom i planovima kontinuiteta opskrbe.</w:t>
      </w:r>
    </w:p>
    <w:p w14:paraId="50101F65" w14:textId="77777777" w:rsidR="002701D7" w:rsidRPr="00A609CA" w:rsidRDefault="002701D7" w:rsidP="002701D7">
      <w:pPr>
        <w:pStyle w:val="Tijeloteksta"/>
        <w:spacing w:line="276" w:lineRule="auto"/>
        <w:ind w:left="540" w:right="283"/>
        <w:jc w:val="both"/>
      </w:pPr>
    </w:p>
    <w:p w14:paraId="2C8134DF" w14:textId="09964A2B" w:rsidR="00D839BD" w:rsidRPr="00A609CA" w:rsidRDefault="00E95173" w:rsidP="00081FC3">
      <w:pPr>
        <w:pStyle w:val="Naslov5"/>
        <w:spacing w:before="1"/>
      </w:pPr>
      <w:r>
        <w:t>4</w:t>
      </w:r>
      <w:r w:rsidR="00D839BD">
        <w:t>.8.3. Praćenje bioraznolikosti, staništa i okolišnih rizika</w:t>
      </w:r>
    </w:p>
    <w:p w14:paraId="5139305D" w14:textId="77777777" w:rsidR="002701D7" w:rsidRPr="00A609CA" w:rsidRDefault="002701D7" w:rsidP="00081FC3">
      <w:pPr>
        <w:pStyle w:val="Naslov5"/>
        <w:spacing w:before="1"/>
      </w:pPr>
    </w:p>
    <w:p w14:paraId="73D61E95" w14:textId="353C5E7E" w:rsidR="00D839BD" w:rsidRPr="009D0F6F" w:rsidRDefault="006954F9" w:rsidP="00224D85">
      <w:pPr>
        <w:pStyle w:val="Tijeloteksta"/>
        <w:spacing w:line="276" w:lineRule="auto"/>
        <w:ind w:right="283"/>
        <w:jc w:val="both"/>
        <w:rPr>
          <w:color w:val="000000"/>
        </w:rPr>
      </w:pPr>
      <w:r>
        <w:rPr>
          <w:color w:val="000000"/>
        </w:rPr>
        <w:t>Napredni UI modeli razvijat će se za praćenje bioraznolikosti, staništa i okolišnih pritisaka, oslanjajući se na postojeće baze i sustave, uključujući BioAtlas, okolišne evidencije, prostorne podatke i podatke daljinskih istraživanja. Modeli mogu povezivati opažanja vrsta s intenzitetom zahvata, istraživačkim naporom, prostorom i vremenom te prikazivati trendove kroz karte, prostorne analize i scenarije budućeg stanja.</w:t>
      </w:r>
    </w:p>
    <w:p w14:paraId="19726411" w14:textId="77777777" w:rsidR="00F21FE2" w:rsidRPr="00A609CA" w:rsidRDefault="00F21FE2" w:rsidP="00F21FE2">
      <w:pPr>
        <w:pStyle w:val="Tijeloteksta"/>
        <w:spacing w:line="276" w:lineRule="auto"/>
        <w:ind w:left="540" w:right="283"/>
        <w:jc w:val="both"/>
      </w:pPr>
    </w:p>
    <w:p w14:paraId="6A02004A" w14:textId="14E4FA54" w:rsidR="00582B77" w:rsidRPr="009D0F6F" w:rsidRDefault="006954F9" w:rsidP="00224D85">
      <w:pPr>
        <w:pStyle w:val="Tijeloteksta"/>
        <w:spacing w:line="276" w:lineRule="auto"/>
        <w:ind w:right="283"/>
        <w:jc w:val="both"/>
        <w:rPr>
          <w:color w:val="000000"/>
        </w:rPr>
      </w:pPr>
      <w:r>
        <w:rPr>
          <w:color w:val="000000"/>
        </w:rPr>
        <w:t>UI će omogućiti brže prepoznavanje neuobičajenih pojava, poput naglog pada broja opažanja, promjena u staništima ili rasta pritisaka u određenom području. Time se može ubrzati definiranje mjera očuvanja i obnove, poboljšati procjena učinkovitosti postojećih mjera te osigurati kvalitetnija podloga za prostorno planiranje, upravljanje zahvatima i ulaganja.</w:t>
      </w:r>
    </w:p>
    <w:p w14:paraId="05992F46" w14:textId="77777777" w:rsidR="002701D7" w:rsidRPr="00A609CA" w:rsidRDefault="002701D7" w:rsidP="002701D7">
      <w:pPr>
        <w:pStyle w:val="Tijeloteksta"/>
        <w:spacing w:line="276" w:lineRule="auto"/>
        <w:ind w:left="540" w:right="283"/>
        <w:jc w:val="both"/>
      </w:pPr>
    </w:p>
    <w:p w14:paraId="1E1AE718" w14:textId="7864AFED" w:rsidR="00D839BD" w:rsidRPr="00A609CA" w:rsidRDefault="00E95173" w:rsidP="00081FC3">
      <w:pPr>
        <w:pStyle w:val="Naslov5"/>
        <w:spacing w:before="1"/>
      </w:pPr>
      <w:r>
        <w:t>4</w:t>
      </w:r>
      <w:r w:rsidR="00D839BD">
        <w:t>.8.4. Vode, otpad i kružno gospodarstvo</w:t>
      </w:r>
    </w:p>
    <w:p w14:paraId="05930CB4" w14:textId="77777777" w:rsidR="002701D7" w:rsidRPr="00A609CA" w:rsidRDefault="002701D7" w:rsidP="00081FC3">
      <w:pPr>
        <w:pStyle w:val="Naslov5"/>
        <w:spacing w:before="1"/>
      </w:pPr>
    </w:p>
    <w:p w14:paraId="09204C07" w14:textId="68EF16B1" w:rsidR="00D839BD" w:rsidRPr="009D0F6F" w:rsidRDefault="00D839BD" w:rsidP="00224D85">
      <w:pPr>
        <w:pStyle w:val="Tijeloteksta"/>
        <w:spacing w:line="276" w:lineRule="auto"/>
        <w:ind w:right="283"/>
        <w:jc w:val="both"/>
        <w:rPr>
          <w:color w:val="000000"/>
        </w:rPr>
      </w:pPr>
      <w:r>
        <w:rPr>
          <w:color w:val="000000"/>
        </w:rPr>
        <w:t>U upravljanju vodama UI će se koristiti za optimizaciju vodoopskrbnih mreža, smanjenje gubitaka i prediktivno održavanje crpki, ventila i cjevovoda. Povezivanje nadzornih, meteoroloških i senzorskih podataka omogućit će prepoznavanje anomalija, predviđanje kvarova i optimizaciju potrošnje energije u gotovo stvarnom vremenu.</w:t>
      </w:r>
    </w:p>
    <w:p w14:paraId="44E15E07" w14:textId="77777777" w:rsidR="00F21FE2" w:rsidRPr="009D0F6F" w:rsidRDefault="00F21FE2" w:rsidP="00F21FE2">
      <w:pPr>
        <w:pStyle w:val="Tijeloteksta"/>
        <w:spacing w:line="276" w:lineRule="auto"/>
        <w:ind w:left="540" w:right="283"/>
        <w:jc w:val="both"/>
        <w:rPr>
          <w:color w:val="000000"/>
        </w:rPr>
      </w:pPr>
    </w:p>
    <w:p w14:paraId="2F141135" w14:textId="2B372C88" w:rsidR="00582B77" w:rsidRPr="009D0F6F" w:rsidRDefault="00D839BD" w:rsidP="00224D85">
      <w:pPr>
        <w:pStyle w:val="Tijeloteksta"/>
        <w:spacing w:line="276" w:lineRule="auto"/>
        <w:ind w:right="283"/>
        <w:jc w:val="both"/>
        <w:rPr>
          <w:color w:val="000000"/>
        </w:rPr>
      </w:pPr>
      <w:r>
        <w:rPr>
          <w:color w:val="000000"/>
        </w:rPr>
        <w:t>U gospodarenju otpadom i razvoju kružnoga gospodarstva UI alati mogu povezivati podatke iz komunalnih sustava, industrijske proizvodnje, nadzornih aplikacija i registara. Primjene uključuju optimizaciju ruta prikupljanja otpada, procjenu tokova materijala, detekciju nepravilnosti u odlaganju, automatizirano razvrstavanje i pronalaženje mogućnosti ponovne uporabe i recikliranja. Virtualni asistenti mogu građanima i obveznicima pružati jasne upute za pravilno korištenje informacijskih sustava i ispunjavanje obveza.</w:t>
      </w:r>
    </w:p>
    <w:p w14:paraId="7A3E826B" w14:textId="77777777" w:rsidR="002E580C" w:rsidRPr="00A609CA" w:rsidRDefault="002E580C" w:rsidP="002E580C">
      <w:pPr>
        <w:pStyle w:val="Tijeloteksta"/>
        <w:spacing w:line="276" w:lineRule="auto"/>
        <w:ind w:left="540" w:right="283"/>
        <w:jc w:val="both"/>
      </w:pPr>
    </w:p>
    <w:p w14:paraId="31A4CABD" w14:textId="1B1B0789" w:rsidR="00D839BD" w:rsidRPr="00A609CA" w:rsidRDefault="00E95173" w:rsidP="00081FC3">
      <w:pPr>
        <w:pStyle w:val="Naslov5"/>
        <w:spacing w:before="1"/>
      </w:pPr>
      <w:r>
        <w:t>4</w:t>
      </w:r>
      <w:r w:rsidR="00D839BD">
        <w:t>.8.5. Klimatski rizici, požari i prilagodba klimatskim promjenama</w:t>
      </w:r>
    </w:p>
    <w:p w14:paraId="0BF3770A" w14:textId="77777777" w:rsidR="002701D7" w:rsidRPr="00A609CA" w:rsidRDefault="002701D7" w:rsidP="00081FC3">
      <w:pPr>
        <w:pStyle w:val="Naslov5"/>
        <w:spacing w:before="1"/>
      </w:pPr>
    </w:p>
    <w:p w14:paraId="1A0277F3" w14:textId="64A1C8F7" w:rsidR="00D839BD" w:rsidRPr="009D0F6F" w:rsidRDefault="006954F9" w:rsidP="00224D85">
      <w:pPr>
        <w:pStyle w:val="Tijeloteksta"/>
        <w:spacing w:line="276" w:lineRule="auto"/>
        <w:ind w:right="283"/>
        <w:jc w:val="both"/>
        <w:rPr>
          <w:color w:val="000000"/>
        </w:rPr>
      </w:pPr>
      <w:r>
        <w:rPr>
          <w:color w:val="000000"/>
        </w:rPr>
        <w:t>Razvijat će se specijalizirani UI modeli za predviđanje poplava, suša, toplinskih valova, požara, obalnih ugroza i drugih klimatskih pojava. Modeli će povezivati podatke meteoroloških i hidroloških postaja, satelita, senzora u okolišu, infrastrukturnih sustava, poljoprivrednih baza i klimatskih scenarija. Automatizirana detekcija promjena omogućit će prepoznavanje ranih znakova ugroze, prostornu analizu i modeliranje lokalnih i nacionalnih učinaka.</w:t>
      </w:r>
    </w:p>
    <w:p w14:paraId="1B438141" w14:textId="77777777" w:rsidR="00F21FE2" w:rsidRPr="00A609CA" w:rsidRDefault="00F21FE2" w:rsidP="00F21FE2">
      <w:pPr>
        <w:pStyle w:val="Tijeloteksta"/>
        <w:spacing w:line="276" w:lineRule="auto"/>
        <w:ind w:left="540" w:right="283"/>
        <w:jc w:val="both"/>
      </w:pPr>
    </w:p>
    <w:p w14:paraId="6BC05D19" w14:textId="7EB433B8" w:rsidR="00D839BD" w:rsidRPr="009D0F6F" w:rsidRDefault="00D839BD" w:rsidP="00224D85">
      <w:pPr>
        <w:pStyle w:val="Tijeloteksta"/>
        <w:spacing w:line="276" w:lineRule="auto"/>
        <w:ind w:right="283"/>
        <w:jc w:val="both"/>
        <w:rPr>
          <w:color w:val="000000"/>
        </w:rPr>
      </w:pPr>
      <w:r>
        <w:rPr>
          <w:color w:val="000000"/>
        </w:rPr>
        <w:t xml:space="preserve">U upravljanju požarima UI može analizirati meteorološke podatke, vegetaciju, satelitske snimke i senzorske </w:t>
      </w:r>
      <w:r>
        <w:rPr>
          <w:color w:val="000000"/>
        </w:rPr>
        <w:lastRenderedPageBreak/>
        <w:t>mreže radi procjene rizika, otkrivanja žarišta i predviđanja dinamike širenja. Takvi sustavi trebaju podupirati operativne službe, civilnu zaštitu i lokalne jedinice, uz jasno definirane protokole za provjeru podataka i donošenje odluka.</w:t>
      </w:r>
    </w:p>
    <w:p w14:paraId="574EB4C0" w14:textId="77777777" w:rsidR="00F21FE2" w:rsidRPr="009D0F6F" w:rsidRDefault="00F21FE2" w:rsidP="00F21FE2">
      <w:pPr>
        <w:pStyle w:val="Tijeloteksta"/>
        <w:spacing w:line="276" w:lineRule="auto"/>
        <w:ind w:left="540" w:right="283"/>
        <w:jc w:val="both"/>
        <w:rPr>
          <w:color w:val="000000"/>
        </w:rPr>
      </w:pPr>
    </w:p>
    <w:p w14:paraId="4D497293" w14:textId="4C225BF5" w:rsidR="00582B77" w:rsidRPr="009D0F6F" w:rsidRDefault="00D839BD" w:rsidP="00224D85">
      <w:pPr>
        <w:pStyle w:val="Tijeloteksta"/>
        <w:spacing w:line="276" w:lineRule="auto"/>
        <w:ind w:right="283"/>
        <w:jc w:val="both"/>
        <w:rPr>
          <w:color w:val="000000"/>
        </w:rPr>
      </w:pPr>
      <w:r>
        <w:rPr>
          <w:color w:val="000000"/>
        </w:rPr>
        <w:t>U prvom akcijskom planu nisu predviđene zasebne sektorske mjere za energetiku, okoliš i klimu. Njihov razvoj u prvom razdoblju podupirat će horizontalna ulaganja u infrastrukturu, podatke, kibernetičku sigurnost, istraživanje i inovacije. Sektorske mjere uvrštavat će se u sljedeće akcijske planove prema pripremljenosti projekata, strateškoj važnosti i dostupnosti financiranja.</w:t>
      </w:r>
    </w:p>
    <w:p w14:paraId="154A4E6A" w14:textId="77777777" w:rsidR="002E580C" w:rsidRPr="00A609CA" w:rsidRDefault="002E580C" w:rsidP="002E580C">
      <w:pPr>
        <w:pStyle w:val="Tijeloteksta"/>
        <w:spacing w:line="276" w:lineRule="auto"/>
        <w:ind w:left="540" w:right="283"/>
        <w:jc w:val="both"/>
      </w:pPr>
    </w:p>
    <w:p w14:paraId="5790A36C" w14:textId="5B1487A2" w:rsidR="002E580C" w:rsidRPr="00A609CA" w:rsidRDefault="00E95173" w:rsidP="00F21FE2">
      <w:pPr>
        <w:pStyle w:val="Naslov3"/>
        <w:keepNext w:val="0"/>
        <w:keepLines w:val="0"/>
        <w:widowControl w:val="0"/>
        <w:autoSpaceDE w:val="0"/>
        <w:autoSpaceDN w:val="0"/>
        <w:spacing w:before="0" w:line="240" w:lineRule="auto"/>
        <w:jc w:val="both"/>
        <w:rPr>
          <w:rFonts w:ascii="Times New Roman" w:eastAsia="Times New Roman" w:hAnsi="Times New Roman" w:cs="Times New Roman"/>
          <w:b/>
          <w:bCs/>
          <w:color w:val="auto"/>
          <w:lang w:val="hr-HR"/>
        </w:rPr>
      </w:pPr>
      <w:bookmarkStart w:id="70" w:name="_Toc236064851"/>
      <w:bookmarkStart w:id="71" w:name="_Toc242947280"/>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.9. Promet, mobilnost i logistika</w:t>
      </w:r>
      <w:bookmarkEnd w:id="70"/>
      <w:bookmarkEnd w:id="71"/>
    </w:p>
    <w:p w14:paraId="3423D4B8" w14:textId="77777777" w:rsidR="00F21FE2" w:rsidRPr="00A609CA" w:rsidRDefault="00F21FE2" w:rsidP="00F21FE2">
      <w:pPr>
        <w:spacing w:after="0"/>
        <w:rPr>
          <w:lang w:val="hr-HR"/>
        </w:rPr>
      </w:pPr>
    </w:p>
    <w:p w14:paraId="504145BA" w14:textId="512F85B2" w:rsidR="002E580C" w:rsidRPr="009D0F6F" w:rsidRDefault="006954F9" w:rsidP="00224D85">
      <w:pPr>
        <w:pStyle w:val="Tijeloteksta"/>
        <w:spacing w:line="276" w:lineRule="auto"/>
        <w:ind w:right="283"/>
        <w:jc w:val="both"/>
        <w:rPr>
          <w:color w:val="000000"/>
        </w:rPr>
      </w:pPr>
      <w:r>
        <w:rPr>
          <w:color w:val="000000"/>
        </w:rPr>
        <w:t>Prometni sustav obuhvaća cestovni, željeznički, pomorski, riječni i zračni promet te generira velike količine podataka iz kamera, senzora, vozila, infrastrukture, navigacijskih i upravljačkih sustava. UI može povećati sigurnost i protočnost, unaprijediti održavanje infrastrukture, optimizirati javni prijevoz i logistiku te bolje povezati različite oblike mobilnosti. Primjena se izravno povezuje sa S3 prioritetom Pametan i zeleni promet.</w:t>
      </w:r>
    </w:p>
    <w:p w14:paraId="6BBA6A31" w14:textId="77777777" w:rsidR="002E580C" w:rsidRPr="00A609CA" w:rsidRDefault="002E580C" w:rsidP="002E580C">
      <w:pPr>
        <w:pStyle w:val="Tijeloteksta"/>
        <w:spacing w:line="276" w:lineRule="auto"/>
        <w:ind w:left="540" w:right="283"/>
        <w:jc w:val="both"/>
      </w:pPr>
    </w:p>
    <w:p w14:paraId="0D2336AB" w14:textId="617FD0B1" w:rsidR="00D839BD" w:rsidRPr="00A609CA" w:rsidRDefault="00E95173" w:rsidP="00081FC3">
      <w:pPr>
        <w:pStyle w:val="Naslov5"/>
        <w:spacing w:before="1"/>
      </w:pPr>
      <w:r>
        <w:t>4</w:t>
      </w:r>
      <w:r w:rsidR="00D839BD">
        <w:t>.9.1. Inteligentno upravljanje prometom i sigurnost</w:t>
      </w:r>
    </w:p>
    <w:p w14:paraId="6E80E103" w14:textId="77777777" w:rsidR="00F21FE2" w:rsidRPr="00A609CA" w:rsidRDefault="00F21FE2" w:rsidP="00081FC3">
      <w:pPr>
        <w:pStyle w:val="Naslov5"/>
        <w:spacing w:before="1"/>
      </w:pPr>
    </w:p>
    <w:p w14:paraId="2CF969D4" w14:textId="4DDF0D61" w:rsidR="00F21FE2" w:rsidRPr="009D0F6F" w:rsidRDefault="0094689D" w:rsidP="00224D85">
      <w:pPr>
        <w:pStyle w:val="Tijeloteksta"/>
        <w:spacing w:line="276" w:lineRule="auto"/>
        <w:ind w:right="283"/>
        <w:jc w:val="both"/>
        <w:rPr>
          <w:color w:val="000000"/>
        </w:rPr>
      </w:pPr>
      <w:r>
        <w:rPr>
          <w:color w:val="000000"/>
        </w:rPr>
        <w:t>Republika Hrvatska će postupno uvoditi UI sustave za nadzor, predikciju i upravljanje prometnim tokovima u urbanim i međugradskim prometnicama. Sustavi koji na temelju kamera i senzora prate gustoću prometa, prepoznaju incidente i optimiziraju rad semafora mogu se nadograditi prediktivnim modelima koji povezuju prometne podatke, vremenske uvjete, sezonalnost turizma i događaje u stvarnom vremenu kako bi se spriječili zastoji i povećala protočnost.</w:t>
      </w:r>
    </w:p>
    <w:p w14:paraId="32087A1F" w14:textId="77777777" w:rsidR="00F21FE2" w:rsidRPr="00A609CA" w:rsidRDefault="00F21FE2" w:rsidP="00F21FE2">
      <w:pPr>
        <w:pStyle w:val="Tijeloteksta"/>
        <w:spacing w:line="276" w:lineRule="auto"/>
        <w:ind w:left="540" w:right="283"/>
        <w:jc w:val="both"/>
      </w:pPr>
    </w:p>
    <w:p w14:paraId="17A316C7" w14:textId="109045F7" w:rsidR="00F21FE2" w:rsidRPr="009D0F6F" w:rsidRDefault="0094689D" w:rsidP="00224D85">
      <w:pPr>
        <w:pStyle w:val="Tijeloteksta"/>
        <w:spacing w:line="276" w:lineRule="auto"/>
        <w:ind w:right="283"/>
        <w:jc w:val="both"/>
        <w:rPr>
          <w:color w:val="000000"/>
        </w:rPr>
      </w:pPr>
      <w:r>
        <w:rPr>
          <w:color w:val="000000"/>
        </w:rPr>
        <w:t>UI će podupirati automatsko prepoznavanje opasnih situacija, poput naglog kočenja, vožnje u suprotnom smjeru, prelaska u nedopuštenu traku ili drugih rizičnih ponašanja, te slanje upozorenja centrima za upravljanje prometom i hitnim službama. Uporaba videonadzora i drugih senzora provodit će se uz jasnu pravnu osnovu, zaštitu osobnih podataka, sigurnost sustava i ograničenje obrade na svrhu za koju je uvedena.</w:t>
      </w:r>
    </w:p>
    <w:p w14:paraId="35BC6608" w14:textId="77777777" w:rsidR="00F21FE2" w:rsidRPr="00A609CA" w:rsidRDefault="00F21FE2" w:rsidP="00F21FE2">
      <w:pPr>
        <w:pStyle w:val="Tijeloteksta"/>
        <w:spacing w:line="276" w:lineRule="auto"/>
        <w:ind w:right="283"/>
        <w:jc w:val="both"/>
      </w:pPr>
    </w:p>
    <w:p w14:paraId="36263D7D" w14:textId="12E7051F" w:rsidR="00582B77" w:rsidRPr="009D0F6F" w:rsidRDefault="00D839BD" w:rsidP="00224D85">
      <w:pPr>
        <w:pStyle w:val="Tijeloteksta"/>
        <w:spacing w:line="276" w:lineRule="auto"/>
        <w:ind w:right="283"/>
        <w:jc w:val="both"/>
        <w:rPr>
          <w:color w:val="000000"/>
        </w:rPr>
      </w:pPr>
      <w:r>
        <w:rPr>
          <w:color w:val="000000"/>
        </w:rPr>
        <w:t>U željezničkom sustavu UI se može koristiti za nadzor tunela, mostova, pružnih prijelaza, sustava napajanja i kritičnih komponenti vlakova te prediktivno održavanje. U pomorstvu i unutarnjoj plovidbi napredna analitika može poduprijeti nadzor plovidbe, identifikaciju opasnih situacija, traganje i spašavanje te sigurnije upravljanje kritičnim plovnim sektorima. U zračnom prometu UI može poduprijeti predviđanje kašnjenja, optimizaciju rasporeda i održavanje, uz poštivanje međunarodnih sigurnosnih pravila.</w:t>
      </w:r>
    </w:p>
    <w:p w14:paraId="50349A4C" w14:textId="77777777" w:rsidR="001E6BC9" w:rsidRPr="00A609CA" w:rsidRDefault="001E6BC9" w:rsidP="001E6BC9">
      <w:pPr>
        <w:pStyle w:val="Tijeloteksta"/>
        <w:spacing w:line="276" w:lineRule="auto"/>
        <w:ind w:left="540" w:right="283"/>
        <w:jc w:val="both"/>
      </w:pPr>
    </w:p>
    <w:p w14:paraId="3C0A7E14" w14:textId="6BA41A13" w:rsidR="00D839BD" w:rsidRPr="00A609CA" w:rsidRDefault="00E95173" w:rsidP="00081FC3">
      <w:pPr>
        <w:pStyle w:val="Naslov5"/>
        <w:spacing w:before="1"/>
      </w:pPr>
      <w:r>
        <w:t>4</w:t>
      </w:r>
      <w:r w:rsidR="00D839BD">
        <w:t>.9.2. Javni prijevoz i integrirana mobilnost</w:t>
      </w:r>
    </w:p>
    <w:p w14:paraId="6F6CC9B0" w14:textId="77777777" w:rsidR="00A51B9E" w:rsidRPr="00A609CA" w:rsidRDefault="00A51B9E" w:rsidP="00A51B9E">
      <w:pPr>
        <w:pStyle w:val="Naslov5"/>
        <w:spacing w:before="1"/>
        <w:ind w:left="0"/>
      </w:pPr>
    </w:p>
    <w:p w14:paraId="7993967C" w14:textId="76597D4B" w:rsidR="00D839BD" w:rsidRPr="009D0F6F" w:rsidRDefault="00D839BD" w:rsidP="00224D85">
      <w:pPr>
        <w:pStyle w:val="Tijeloteksta"/>
        <w:spacing w:line="276" w:lineRule="auto"/>
        <w:ind w:right="283"/>
        <w:jc w:val="both"/>
        <w:rPr>
          <w:color w:val="000000"/>
        </w:rPr>
      </w:pPr>
      <w:r>
        <w:rPr>
          <w:color w:val="000000"/>
        </w:rPr>
        <w:t>UI će se koristiti za planiranje pouzdanijeg javnog prijevoza, optimizaciju voznih redova, prilagodbu linija stvarnom broju putnika i dinamičko upravljanje kapacitetom autobusa, tramvaja, vlakova i brodskih linija. Sustavi će se prilagođavati sezonalnosti, lokalnim obrascima putovanja, otočnim zajednicama i turističkim opterećenjima.</w:t>
      </w:r>
    </w:p>
    <w:p w14:paraId="2564F8AE" w14:textId="77777777" w:rsidR="00F21FE2" w:rsidRPr="009D0F6F" w:rsidRDefault="00F21FE2" w:rsidP="00F21FE2">
      <w:pPr>
        <w:pStyle w:val="Tijeloteksta"/>
        <w:spacing w:line="276" w:lineRule="auto"/>
        <w:ind w:left="540" w:right="283"/>
        <w:jc w:val="both"/>
        <w:rPr>
          <w:color w:val="000000"/>
        </w:rPr>
      </w:pPr>
    </w:p>
    <w:p w14:paraId="7027CD93" w14:textId="71B79BDE" w:rsidR="00582B77" w:rsidRPr="009D0F6F" w:rsidRDefault="0094689D" w:rsidP="00224D85">
      <w:pPr>
        <w:pStyle w:val="Tijeloteksta"/>
        <w:spacing w:line="276" w:lineRule="auto"/>
        <w:ind w:right="283"/>
        <w:jc w:val="both"/>
        <w:rPr>
          <w:color w:val="000000"/>
        </w:rPr>
      </w:pPr>
      <w:r>
        <w:rPr>
          <w:color w:val="000000"/>
        </w:rPr>
        <w:t xml:space="preserve">Povezivanje javnog prijevoza, taksi usluga, mikromobilnosti, željeznice i brodskih linija u integrirane sustave mobilnosti omogućit će korisnicima jednostavnije planiranje putovanja, a upraviteljima bolje korištenje kapaciteta. U turističkim središtima UI može predviđati prometne vrhunce, upravljati parkirnim zonama i </w:t>
      </w:r>
      <w:r>
        <w:rPr>
          <w:color w:val="000000"/>
        </w:rPr>
        <w:lastRenderedPageBreak/>
        <w:t>smanjivati pritisak na gradske centre.</w:t>
      </w:r>
    </w:p>
    <w:p w14:paraId="64DDD86C" w14:textId="77777777" w:rsidR="001E6BC9" w:rsidRPr="00A609CA" w:rsidRDefault="001E6BC9" w:rsidP="001E6BC9">
      <w:pPr>
        <w:pStyle w:val="Tijeloteksta"/>
        <w:spacing w:line="276" w:lineRule="auto"/>
        <w:ind w:left="540" w:right="283"/>
        <w:jc w:val="both"/>
      </w:pPr>
    </w:p>
    <w:p w14:paraId="79B6D6B8" w14:textId="57F9C040" w:rsidR="00D839BD" w:rsidRPr="00A609CA" w:rsidRDefault="00E95173" w:rsidP="00081FC3">
      <w:pPr>
        <w:pStyle w:val="Naslov5"/>
        <w:spacing w:before="1"/>
      </w:pPr>
      <w:r>
        <w:t>4</w:t>
      </w:r>
      <w:r w:rsidR="00D839BD">
        <w:t>.9.3. Pametna logistika, luke, pristaništa i multimodalni transport</w:t>
      </w:r>
    </w:p>
    <w:p w14:paraId="3E40162B" w14:textId="77777777" w:rsidR="00EF7FF3" w:rsidRPr="00A609CA" w:rsidRDefault="00EF7FF3" w:rsidP="00081FC3">
      <w:pPr>
        <w:pStyle w:val="Naslov5"/>
        <w:spacing w:before="1"/>
      </w:pPr>
    </w:p>
    <w:p w14:paraId="765847AD" w14:textId="4388561B" w:rsidR="00D839BD" w:rsidRPr="009D0F6F" w:rsidRDefault="002405CE" w:rsidP="00224D85">
      <w:pPr>
        <w:pStyle w:val="Tijeloteksta"/>
        <w:spacing w:line="276" w:lineRule="auto"/>
        <w:ind w:right="283"/>
        <w:jc w:val="both"/>
        <w:rPr>
          <w:color w:val="000000"/>
        </w:rPr>
      </w:pPr>
      <w:r>
        <w:rPr>
          <w:color w:val="000000"/>
        </w:rPr>
        <w:t>UI modeli koristit će se za optimizaciju ruta, smanjenje praznih kilometara, predviđanje kašnjenja i upravljanje skladištima uz uporabu pametnih senzora i automatiziranih procesa. Povezivanje podataka iz luka, željezničkih terminala, cestovnih sustava i logističkih centara omogućit će preciznije planiranje multimodalnog prijevoza tereta i bolju povezanost logističkih čvorišta.</w:t>
      </w:r>
    </w:p>
    <w:p w14:paraId="0A6633FC" w14:textId="77777777" w:rsidR="00F21FE2" w:rsidRPr="00A609CA" w:rsidRDefault="00F21FE2" w:rsidP="00F21FE2">
      <w:pPr>
        <w:pStyle w:val="Tijeloteksta"/>
        <w:spacing w:line="276" w:lineRule="auto"/>
        <w:ind w:left="540" w:right="283"/>
        <w:jc w:val="both"/>
      </w:pPr>
    </w:p>
    <w:p w14:paraId="33C2BB59" w14:textId="0377A322" w:rsidR="00D839BD" w:rsidRPr="009D0F6F" w:rsidRDefault="00D839BD" w:rsidP="00224D85">
      <w:pPr>
        <w:pStyle w:val="Tijeloteksta"/>
        <w:spacing w:line="276" w:lineRule="auto"/>
        <w:ind w:right="283"/>
        <w:jc w:val="both"/>
        <w:rPr>
          <w:color w:val="000000"/>
        </w:rPr>
      </w:pPr>
      <w:r>
        <w:rPr>
          <w:color w:val="000000"/>
        </w:rPr>
        <w:t>U lukama i pristaništima UI se može koristiti za nadzor, kontrolu, planiranje i upravljanje prometom unutar lučkog područja, optimizaciju zauzetosti vezova, skladišnog prostora i željezničkih kolosijeka te predviđanje gužvi. Preduvjet je digitalizacija procesa i odgovarajuće opremanje videonadzornim, računalnim i komunikacijskim sustavima. U prometu na unutarnjim vodama UI može poduprijeti upravljanje pristanišnom infrastrukturom, održavanje, sigurnost i planiranje putničkog i nautičkog prometa.</w:t>
      </w:r>
    </w:p>
    <w:p w14:paraId="7E7F1AE4" w14:textId="77777777" w:rsidR="00F21FE2" w:rsidRPr="00A609CA" w:rsidRDefault="00F21FE2" w:rsidP="00F21FE2">
      <w:pPr>
        <w:pStyle w:val="Tijeloteksta"/>
        <w:spacing w:line="276" w:lineRule="auto"/>
        <w:ind w:left="540" w:right="283"/>
        <w:jc w:val="both"/>
      </w:pPr>
    </w:p>
    <w:p w14:paraId="7BF0DD90" w14:textId="7F1662EA" w:rsidR="00582B77" w:rsidRPr="009D0F6F" w:rsidRDefault="00D839BD" w:rsidP="00224D85">
      <w:pPr>
        <w:pStyle w:val="Tijeloteksta"/>
        <w:spacing w:line="276" w:lineRule="auto"/>
        <w:ind w:right="283"/>
        <w:jc w:val="both"/>
        <w:rPr>
          <w:color w:val="000000"/>
        </w:rPr>
      </w:pPr>
      <w:r>
        <w:rPr>
          <w:color w:val="000000"/>
        </w:rPr>
        <w:t>U području elektromobilnosti UI će se koristiti za predviđanje potrošnje energije, planiranje lokacija punionica i upravljanje opterećenjem elektroenergetske mreže. Time se prometno planiranje povezuje s energetskim sustavom, cijenama energije i lokalnim potrebama korisnika.</w:t>
      </w:r>
    </w:p>
    <w:p w14:paraId="0890A43F" w14:textId="77777777" w:rsidR="001E6BC9" w:rsidRPr="00A609CA" w:rsidRDefault="001E6BC9" w:rsidP="001E6BC9">
      <w:pPr>
        <w:pStyle w:val="Tijeloteksta"/>
        <w:spacing w:line="276" w:lineRule="auto"/>
        <w:ind w:left="540" w:right="283"/>
        <w:jc w:val="both"/>
      </w:pPr>
    </w:p>
    <w:p w14:paraId="4268BB24" w14:textId="7BC9BD0D" w:rsidR="00D839BD" w:rsidRPr="00A609CA" w:rsidRDefault="00E95173" w:rsidP="00081FC3">
      <w:pPr>
        <w:pStyle w:val="Naslov5"/>
        <w:spacing w:before="1"/>
      </w:pPr>
      <w:r>
        <w:t>4</w:t>
      </w:r>
      <w:r w:rsidR="00D839BD">
        <w:t>.9.4. Prediktivno održavanje prometne infrastrukture</w:t>
      </w:r>
    </w:p>
    <w:p w14:paraId="716EA671" w14:textId="77777777" w:rsidR="00F21FE2" w:rsidRPr="00A609CA" w:rsidRDefault="00F21FE2" w:rsidP="00081FC3">
      <w:pPr>
        <w:pStyle w:val="Naslov5"/>
        <w:spacing w:before="1"/>
      </w:pPr>
    </w:p>
    <w:p w14:paraId="1A2A02BA" w14:textId="5E7977E9" w:rsidR="00F21FE2" w:rsidRPr="009D0F6F" w:rsidRDefault="00D839BD" w:rsidP="00224D85">
      <w:pPr>
        <w:pStyle w:val="Tijeloteksta"/>
        <w:spacing w:line="276" w:lineRule="auto"/>
        <w:ind w:right="283"/>
        <w:jc w:val="both"/>
        <w:rPr>
          <w:color w:val="000000"/>
        </w:rPr>
      </w:pPr>
      <w:r>
        <w:rPr>
          <w:color w:val="000000"/>
        </w:rPr>
        <w:t>UI može automatizirati procjenu stanja kolnika, mostova, željezničke i lučke infrastrukture na temelju snimki, senzorskih podataka i evidencija održavanja. Prediktivni modeli omogućit će ranije prepoznavanje propadanja, bolje određivanje prioriteta ulaganja i smanjenje troškova neplaniranih intervencija. Rezultati trebaju biti povezani s jasnim standardima pregleda i potvrdom stručnih službi.</w:t>
      </w:r>
    </w:p>
    <w:p w14:paraId="0099BB78" w14:textId="77777777" w:rsidR="00F21FE2" w:rsidRPr="009D0F6F" w:rsidRDefault="00F21FE2" w:rsidP="00F21FE2">
      <w:pPr>
        <w:pStyle w:val="Tijeloteksta"/>
        <w:spacing w:line="276" w:lineRule="auto"/>
        <w:ind w:left="540" w:right="283"/>
        <w:jc w:val="both"/>
        <w:rPr>
          <w:color w:val="000000"/>
        </w:rPr>
      </w:pPr>
    </w:p>
    <w:p w14:paraId="7C46DBF1" w14:textId="609B4E9D" w:rsidR="00DB5418" w:rsidRPr="009D0F6F" w:rsidRDefault="0094689D" w:rsidP="00224D85">
      <w:pPr>
        <w:pStyle w:val="Tijeloteksta"/>
        <w:spacing w:line="276" w:lineRule="auto"/>
        <w:ind w:right="283"/>
        <w:jc w:val="both"/>
        <w:rPr>
          <w:color w:val="000000"/>
        </w:rPr>
      </w:pPr>
      <w:r>
        <w:rPr>
          <w:color w:val="000000"/>
        </w:rPr>
        <w:t>Prvi akcijski plan uključuje pilot primjenu UI-ja za pametno upravljanje putničkim i komunalnim pristaništima na unutarnjim vodama te sustav automatske ocjene stanja kolnika i prediktivnog upravljanja održavanjem županijskih i lokalnih cesta. Ti pilot-projekti trebaju stvoriti znanje, podatkovne modele i standarde koji se, nakon vrednovanja, mogu prilagoditi drugim upraviteljima i vrstama infrastrukture.</w:t>
      </w:r>
    </w:p>
    <w:p w14:paraId="3A9FEAFB" w14:textId="4C590631" w:rsidR="008927C1" w:rsidRPr="00A609CA" w:rsidRDefault="00E95173" w:rsidP="008927C1">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72" w:name="_Toc236064852"/>
      <w:bookmarkStart w:id="73" w:name="_Toc242947281"/>
      <w:r>
        <w:rPr>
          <w:rFonts w:ascii="Times New Roman" w:hAnsi="Times New Roman"/>
          <w:b/>
          <w:color w:val="000000"/>
          <w:lang w:val="hr-HR"/>
        </w:rPr>
        <w:t>4</w:t>
      </w:r>
      <w:r w:rsidR="00D839BD">
        <w:rPr>
          <w:rFonts w:ascii="Times New Roman" w:hAnsi="Times New Roman"/>
          <w:b/>
          <w:color w:val="000000"/>
          <w:lang w:val="hr-HR"/>
        </w:rPr>
        <w:t>.10. Turizam i pametno upravljanje des</w:t>
      </w:r>
      <w:r w:rsidR="00D839BD">
        <w:rPr>
          <w:rFonts w:ascii="Times New Roman" w:eastAsia="Times New Roman" w:hAnsi="Times New Roman" w:cs="Times New Roman"/>
          <w:b/>
          <w:bCs/>
          <w:color w:val="auto"/>
          <w:lang w:val="hr-HR"/>
        </w:rPr>
        <w:t>tinacijama</w:t>
      </w:r>
      <w:bookmarkEnd w:id="72"/>
      <w:bookmarkEnd w:id="73"/>
    </w:p>
    <w:p w14:paraId="2AFB0538" w14:textId="77777777" w:rsidR="008927C1" w:rsidRPr="00A609CA" w:rsidRDefault="008927C1" w:rsidP="008927C1">
      <w:pPr>
        <w:rPr>
          <w:lang w:val="hr-HR"/>
        </w:rPr>
      </w:pPr>
    </w:p>
    <w:p w14:paraId="5A19DB37" w14:textId="36253FFE" w:rsidR="00D839BD" w:rsidRPr="009D0F6F" w:rsidRDefault="001909F8" w:rsidP="00224D85">
      <w:pPr>
        <w:pStyle w:val="Tijeloteksta"/>
        <w:spacing w:line="276" w:lineRule="auto"/>
        <w:ind w:right="283"/>
        <w:jc w:val="both"/>
        <w:rPr>
          <w:color w:val="000000"/>
        </w:rPr>
      </w:pPr>
      <w:r w:rsidRPr="001909F8">
        <w:rPr>
          <w:color w:val="000000"/>
        </w:rPr>
        <w:t>Turizam je jedan od strateških sektora hrvatskog gospodarstva i područje s velikim potencijalom za odgovornu i ciljanu primjenu UI-ja. Primjena će biti usmjerena na povećanje konkurentnosti i dodane vrijednosti turizma, cjelogodišnji i regionalno uravnotežen turizam, učinkovitije upravljanje turističkim destinacijama i resursima, personalizaciju turističkih i povezanih usluga te jačanje održivosti i otpornosti sektora na vanjske šokove.</w:t>
      </w:r>
      <w:r w:rsidR="0094689D">
        <w:rPr>
          <w:color w:val="000000"/>
        </w:rPr>
        <w:t>.</w:t>
      </w:r>
    </w:p>
    <w:p w14:paraId="34FC7E00" w14:textId="77777777" w:rsidR="00F21FE2" w:rsidRPr="009D0F6F" w:rsidRDefault="00F21FE2" w:rsidP="00F21FE2">
      <w:pPr>
        <w:pStyle w:val="Tijeloteksta"/>
        <w:spacing w:line="276" w:lineRule="auto"/>
        <w:ind w:left="540" w:right="283"/>
        <w:jc w:val="both"/>
        <w:rPr>
          <w:color w:val="000000"/>
        </w:rPr>
      </w:pPr>
    </w:p>
    <w:p w14:paraId="06CD7303" w14:textId="4E14BAAE" w:rsidR="00582B77" w:rsidRPr="009D0F6F" w:rsidRDefault="003B4122" w:rsidP="00224D85">
      <w:pPr>
        <w:pStyle w:val="Tijeloteksta"/>
        <w:spacing w:line="276" w:lineRule="auto"/>
        <w:ind w:right="283"/>
        <w:jc w:val="both"/>
        <w:rPr>
          <w:color w:val="000000"/>
        </w:rPr>
      </w:pPr>
      <w:r w:rsidRPr="003B4122">
        <w:rPr>
          <w:color w:val="000000"/>
        </w:rPr>
        <w:t>Turizam se promatra kao horizontalni sektor koji se oslanja na promet, energetiku, zaštitu okoliša, prostorno planiranje, kulturu, gastronomiju i javne podatkovne sustave. Takav integrirani pristup omogućuje učinkovitije upravljanje turističkim tokovima, infrastrukturom i prirodnim resursima te razvoj pametnih, otpornih i održivih destinacija.</w:t>
      </w:r>
      <w:r w:rsidR="0094689D">
        <w:rPr>
          <w:color w:val="000000"/>
        </w:rPr>
        <w:t>.</w:t>
      </w:r>
    </w:p>
    <w:p w14:paraId="1266D9E7" w14:textId="77777777" w:rsidR="001C7CF7" w:rsidRPr="00A609CA" w:rsidRDefault="001C7CF7" w:rsidP="001C7CF7">
      <w:pPr>
        <w:pStyle w:val="Tijeloteksta"/>
        <w:spacing w:line="276" w:lineRule="auto"/>
        <w:ind w:right="283"/>
        <w:jc w:val="both"/>
      </w:pPr>
    </w:p>
    <w:p w14:paraId="5157A8A0" w14:textId="170EFD00" w:rsidR="00D839BD" w:rsidRPr="00A609CA" w:rsidRDefault="00E95173" w:rsidP="00081FC3">
      <w:pPr>
        <w:pStyle w:val="Naslov5"/>
        <w:spacing w:before="1"/>
      </w:pPr>
      <w:r>
        <w:t>4</w:t>
      </w:r>
      <w:r w:rsidR="00D839BD">
        <w:t>.10.1. Upravljanje turističkim tokovima i opterećenjem destinacija</w:t>
      </w:r>
    </w:p>
    <w:p w14:paraId="683EA4DE" w14:textId="77777777" w:rsidR="001E6BC9" w:rsidRPr="00A609CA" w:rsidRDefault="001E6BC9" w:rsidP="00081FC3">
      <w:pPr>
        <w:pStyle w:val="Naslov5"/>
        <w:spacing w:before="1"/>
      </w:pPr>
    </w:p>
    <w:p w14:paraId="2AECF5BE" w14:textId="6AAB25F4" w:rsidR="00D839BD" w:rsidRPr="009D0F6F" w:rsidRDefault="00D839BD" w:rsidP="00224D85">
      <w:pPr>
        <w:pStyle w:val="Tijeloteksta"/>
        <w:spacing w:line="276" w:lineRule="auto"/>
        <w:ind w:right="283"/>
        <w:jc w:val="both"/>
        <w:rPr>
          <w:color w:val="000000"/>
        </w:rPr>
      </w:pPr>
      <w:r>
        <w:rPr>
          <w:color w:val="000000"/>
        </w:rPr>
        <w:lastRenderedPageBreak/>
        <w:t>UI će se koristiti za predviđanje dolazaka, dnevnih i sezonskih vršnih opterećenja, kretanja posjetitelja i pritisaka na promet, komunalnu infrastrukturu, kulturnu baštinu i prirodne resurse. Povezivanjem podataka o smještaju, prometu, događanjima, vremenu i potrošnji moguće je pravodobno prilagoditi javni prijevoz, upravljanje prometom, rad komunalnih službi i informiranje posjetitelja.</w:t>
      </w:r>
    </w:p>
    <w:p w14:paraId="228735F1" w14:textId="77777777" w:rsidR="00F21FE2" w:rsidRPr="009D0F6F" w:rsidRDefault="00F21FE2" w:rsidP="00F21FE2">
      <w:pPr>
        <w:pStyle w:val="Tijeloteksta"/>
        <w:spacing w:line="276" w:lineRule="auto"/>
        <w:ind w:left="540" w:right="283"/>
        <w:jc w:val="both"/>
        <w:rPr>
          <w:color w:val="000000"/>
        </w:rPr>
      </w:pPr>
    </w:p>
    <w:p w14:paraId="77051A72" w14:textId="0C4A8306" w:rsidR="00DB5418" w:rsidRPr="009D0F6F" w:rsidRDefault="003B4122" w:rsidP="00224D85">
      <w:pPr>
        <w:pStyle w:val="Tijeloteksta"/>
        <w:spacing w:line="276" w:lineRule="auto"/>
        <w:ind w:right="283"/>
        <w:jc w:val="both"/>
        <w:rPr>
          <w:color w:val="000000"/>
        </w:rPr>
      </w:pPr>
      <w:r w:rsidRPr="003B4122">
        <w:rPr>
          <w:color w:val="000000"/>
        </w:rPr>
        <w:t>U turističkim destinacijama UI može poduprijeti prostorno i vremensko raspoređivanje posjeta, upravljanje parkiranjem, usmjeravati tokove izvan najopterećenijih lokacija, te pratiti učinke na lokalnu zajednicu. Cilj upravljanja turističkim tokovima nije samo usmjeravanje kretanja posjetitelja u prostoru i vremenu tako da se postigne ravnoteža između turističke potražnje, kapaciteta destinacije i kvalitete iskustva posjetitelja već i uravnoteženje gospodarskih, okolišnih i društvenih učinaka turizma.</w:t>
      </w:r>
      <w:r w:rsidR="00D839BD">
        <w:rPr>
          <w:color w:val="000000"/>
        </w:rPr>
        <w:t>.</w:t>
      </w:r>
    </w:p>
    <w:p w14:paraId="050059B2" w14:textId="77777777" w:rsidR="001E6BC9" w:rsidRPr="00A609CA" w:rsidRDefault="001E6BC9" w:rsidP="001E6BC9">
      <w:pPr>
        <w:pStyle w:val="Tijeloteksta"/>
        <w:spacing w:line="276" w:lineRule="auto"/>
        <w:ind w:left="540" w:right="283"/>
        <w:jc w:val="both"/>
      </w:pPr>
    </w:p>
    <w:p w14:paraId="0719E733" w14:textId="438D7B72" w:rsidR="00D839BD" w:rsidRPr="00A609CA" w:rsidRDefault="00E95173" w:rsidP="00081FC3">
      <w:pPr>
        <w:pStyle w:val="Naslov5"/>
        <w:spacing w:before="1"/>
      </w:pPr>
      <w:r>
        <w:t>4</w:t>
      </w:r>
      <w:r w:rsidR="00D839BD">
        <w:t>.10.2. Personalizirane, pristupačne i kvalitetnije turističke usluge</w:t>
      </w:r>
    </w:p>
    <w:p w14:paraId="4EA6DAB5" w14:textId="77777777" w:rsidR="008927C1" w:rsidRPr="00A609CA" w:rsidRDefault="008927C1" w:rsidP="00081FC3">
      <w:pPr>
        <w:pStyle w:val="Naslov5"/>
        <w:spacing w:before="1"/>
      </w:pPr>
    </w:p>
    <w:p w14:paraId="07C7452E" w14:textId="3D90732A" w:rsidR="00D839BD" w:rsidRPr="009D0F6F" w:rsidRDefault="0094689D" w:rsidP="00224D85">
      <w:pPr>
        <w:pStyle w:val="Tijeloteksta"/>
        <w:spacing w:line="276" w:lineRule="auto"/>
        <w:ind w:right="283"/>
        <w:jc w:val="both"/>
        <w:rPr>
          <w:color w:val="000000"/>
        </w:rPr>
      </w:pPr>
      <w:r>
        <w:rPr>
          <w:color w:val="000000"/>
        </w:rPr>
        <w:t>Digitalni asistenti i sustavi preporuka mogu posjetiteljima pružati informacije o prijevozu, sadržajima, dostupnosti, sigurnosti i lokalnim uslugama, uz podršku na više jezika. Posebna vrijednost je u povećanju pristupačnosti za osobe s invaliditetom i prilagodbi informacija različitim potrebama korisnika.</w:t>
      </w:r>
    </w:p>
    <w:p w14:paraId="5AEBF6A3" w14:textId="77777777" w:rsidR="00F21FE2" w:rsidRPr="009D0F6F" w:rsidRDefault="00F21FE2" w:rsidP="00F21FE2">
      <w:pPr>
        <w:pStyle w:val="Tijeloteksta"/>
        <w:spacing w:line="276" w:lineRule="auto"/>
        <w:ind w:left="540" w:right="283"/>
        <w:jc w:val="both"/>
        <w:rPr>
          <w:color w:val="000000"/>
        </w:rPr>
      </w:pPr>
    </w:p>
    <w:p w14:paraId="1D1C6C89" w14:textId="248A36D6" w:rsidR="00DB5418" w:rsidRPr="009D0F6F" w:rsidRDefault="0094689D" w:rsidP="00224D85">
      <w:pPr>
        <w:pStyle w:val="Tijeloteksta"/>
        <w:spacing w:line="276" w:lineRule="auto"/>
        <w:ind w:right="283"/>
        <w:jc w:val="both"/>
        <w:rPr>
          <w:color w:val="000000"/>
        </w:rPr>
      </w:pPr>
      <w:r>
        <w:rPr>
          <w:color w:val="000000"/>
        </w:rPr>
        <w:t>Poduzeća mogu koristiti UI za analizu potražnje, upravljanje cijenama i kapacitetima, optimizaciju poslovnih procesa, razvoj personaliziranih ponuda i kvalitetnije upravljanje odnosima s korisnicima. Primjene moraju biti transparentne, utemeljene na zakonito prikupljenim podacima i oblikovane tako da ne dovode do diskriminacije ili netransparentnog profiliranja korisnika.</w:t>
      </w:r>
    </w:p>
    <w:p w14:paraId="492A4DE0" w14:textId="77777777" w:rsidR="001E6BC9" w:rsidRPr="00A609CA" w:rsidRDefault="001E6BC9" w:rsidP="001E6BC9">
      <w:pPr>
        <w:pStyle w:val="Tijeloteksta"/>
        <w:spacing w:line="276" w:lineRule="auto"/>
        <w:ind w:left="540" w:right="283"/>
        <w:jc w:val="both"/>
      </w:pPr>
    </w:p>
    <w:p w14:paraId="0E78E47E" w14:textId="274CACB2" w:rsidR="00D839BD" w:rsidRPr="00A609CA" w:rsidRDefault="00E95173" w:rsidP="00081FC3">
      <w:pPr>
        <w:pStyle w:val="Naslov5"/>
        <w:spacing w:before="1"/>
      </w:pPr>
      <w:r>
        <w:t>4</w:t>
      </w:r>
      <w:r w:rsidR="00D839BD">
        <w:t>.10.3. Održive i otporne destinacije</w:t>
      </w:r>
    </w:p>
    <w:p w14:paraId="7B90AC09" w14:textId="77777777" w:rsidR="001E6BC9" w:rsidRPr="00A609CA" w:rsidRDefault="001E6BC9" w:rsidP="00081FC3">
      <w:pPr>
        <w:pStyle w:val="Naslov5"/>
        <w:spacing w:before="1"/>
      </w:pPr>
    </w:p>
    <w:p w14:paraId="4EE26880" w14:textId="062123E0" w:rsidR="00D839BD" w:rsidRPr="009D0F6F" w:rsidRDefault="00D839BD" w:rsidP="00224D85">
      <w:pPr>
        <w:pStyle w:val="Tijeloteksta"/>
        <w:spacing w:line="276" w:lineRule="auto"/>
        <w:ind w:right="283"/>
        <w:jc w:val="both"/>
        <w:rPr>
          <w:color w:val="000000"/>
        </w:rPr>
      </w:pPr>
      <w:r>
        <w:rPr>
          <w:color w:val="000000"/>
        </w:rPr>
        <w:t>UI može poduprijeti optimizaciju potrošnje energije i vode, upravljanje otpadom, rano prepoznavanje okolišnih i klimatskih rizika te planiranje kapaciteta u razdobljima velikog opterećenja. Povezivanje turističkih podataka s prometnim, okolišnim i energetskim sustavima omogućit će donošenje odluka utemeljenih na podacima i učinkovitije upravljanje destinacijom kao cjelinom.</w:t>
      </w:r>
    </w:p>
    <w:p w14:paraId="5E25458A" w14:textId="77777777" w:rsidR="00F21FE2" w:rsidRPr="009D0F6F" w:rsidRDefault="00F21FE2" w:rsidP="00F21FE2">
      <w:pPr>
        <w:pStyle w:val="Tijeloteksta"/>
        <w:spacing w:line="276" w:lineRule="auto"/>
        <w:ind w:left="540" w:right="283"/>
        <w:jc w:val="both"/>
        <w:rPr>
          <w:color w:val="000000"/>
        </w:rPr>
      </w:pPr>
    </w:p>
    <w:p w14:paraId="66A9B186" w14:textId="32644BC1" w:rsidR="00582B77" w:rsidRPr="009D0F6F" w:rsidRDefault="0094689D" w:rsidP="00224D85">
      <w:pPr>
        <w:pStyle w:val="Tijeloteksta"/>
        <w:spacing w:line="276" w:lineRule="auto"/>
        <w:ind w:right="283"/>
        <w:jc w:val="both"/>
        <w:rPr>
          <w:color w:val="000000"/>
        </w:rPr>
      </w:pPr>
      <w:r>
        <w:rPr>
          <w:color w:val="000000"/>
        </w:rPr>
        <w:t>Prvi akcijski plan ne sadržava zasebnu mjeru za turizam, ali pojedini prometni i javnosektorski pilot-projekti izravno doprinose upravljanju turističkim tokovima i destinacijama. Dodatne mjere razvijat će se u suradnji s nadležnim tijelima i lokalnim zajednicama kada budu pripremljeni projekti, definirani modeli razmjene podataka i osigurani izvori financiranja.</w:t>
      </w:r>
    </w:p>
    <w:p w14:paraId="0E9C0943" w14:textId="1D4A662C" w:rsidR="001E6BC9" w:rsidRPr="00A609CA" w:rsidRDefault="00E95173" w:rsidP="001C7CF7">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74" w:name="_Toc242947282"/>
      <w:bookmarkStart w:id="75" w:name="_Toc236064853"/>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.11. Kultura</w:t>
      </w:r>
      <w:r w:rsidR="00FE2EDA">
        <w:rPr>
          <w:rFonts w:ascii="Times New Roman" w:eastAsia="Times New Roman" w:hAnsi="Times New Roman" w:cs="Times New Roman"/>
          <w:b/>
          <w:bCs/>
          <w:color w:val="auto"/>
          <w:lang w:val="hr-HR"/>
        </w:rPr>
        <w:t xml:space="preserve"> i</w:t>
      </w:r>
      <w:r w:rsidR="00D839BD">
        <w:rPr>
          <w:rFonts w:ascii="Times New Roman" w:eastAsia="Times New Roman" w:hAnsi="Times New Roman" w:cs="Times New Roman"/>
          <w:b/>
          <w:bCs/>
          <w:color w:val="auto"/>
          <w:lang w:val="hr-HR"/>
        </w:rPr>
        <w:t xml:space="preserve"> mediji</w:t>
      </w:r>
      <w:bookmarkEnd w:id="74"/>
      <w:r w:rsidR="00741336">
        <w:rPr>
          <w:rFonts w:ascii="Times New Roman" w:eastAsia="Times New Roman" w:hAnsi="Times New Roman" w:cs="Times New Roman"/>
          <w:b/>
          <w:bCs/>
          <w:color w:val="auto"/>
          <w:lang w:val="hr-HR"/>
        </w:rPr>
        <w:t xml:space="preserve"> </w:t>
      </w:r>
      <w:bookmarkEnd w:id="75"/>
    </w:p>
    <w:p w14:paraId="4ECE8CDA" w14:textId="77777777" w:rsidR="001C7CF7" w:rsidRPr="00A609CA" w:rsidRDefault="001C7CF7" w:rsidP="001C7CF7">
      <w:pPr>
        <w:spacing w:after="0"/>
        <w:rPr>
          <w:lang w:val="hr-HR"/>
        </w:rPr>
      </w:pPr>
    </w:p>
    <w:p w14:paraId="20092442" w14:textId="6FEB0FE5" w:rsidR="00D839BD" w:rsidRPr="009D0F6F" w:rsidRDefault="00D839BD" w:rsidP="00224D85">
      <w:pPr>
        <w:pStyle w:val="Tijeloteksta"/>
        <w:spacing w:line="276" w:lineRule="auto"/>
        <w:ind w:right="283"/>
        <w:jc w:val="both"/>
        <w:rPr>
          <w:color w:val="000000"/>
        </w:rPr>
      </w:pPr>
      <w:r>
        <w:rPr>
          <w:color w:val="000000"/>
        </w:rPr>
        <w:t xml:space="preserve">U kulturnim i kreativnim sektorima te medijima generativni UI već ima izravan učinak na procese stvaranja, produkcije, distribucije i monetizacije sadržaja. </w:t>
      </w:r>
      <w:r w:rsidR="00741336" w:rsidRPr="00741336">
        <w:rPr>
          <w:color w:val="000000"/>
        </w:rPr>
        <w:t>Radnici u kulturnim i kreativnim sektorima, ustanove i građani sve intenzivnije koriste UI alate za tekstualni, glazbeni, fotografski, audiovizualni i multimedijski sadržaj.</w:t>
      </w:r>
      <w:r>
        <w:rPr>
          <w:color w:val="000000"/>
        </w:rPr>
        <w:t>. UI može povećati produktivnost, otvoriti nove oblike umjetničkog izraza i olakšati međunarodnu dostupnost hrvatske kulturne produkcije, ali istodobno mijenja tržišne odnose i položaj autora i nositelja prava.</w:t>
      </w:r>
    </w:p>
    <w:p w14:paraId="7344A179" w14:textId="77777777" w:rsidR="00F21FE2" w:rsidRPr="009D0F6F" w:rsidRDefault="00F21FE2" w:rsidP="00F21FE2">
      <w:pPr>
        <w:pStyle w:val="Tijeloteksta"/>
        <w:spacing w:line="276" w:lineRule="auto"/>
        <w:ind w:left="540" w:right="283"/>
        <w:jc w:val="both"/>
        <w:rPr>
          <w:color w:val="000000"/>
        </w:rPr>
      </w:pPr>
    </w:p>
    <w:p w14:paraId="1519DE47" w14:textId="27CDC4D8" w:rsidR="00582B77" w:rsidRPr="009D0F6F" w:rsidRDefault="00DA7FFC" w:rsidP="00224D85">
      <w:pPr>
        <w:pStyle w:val="Tijeloteksta"/>
        <w:spacing w:line="276" w:lineRule="auto"/>
        <w:ind w:right="283"/>
        <w:jc w:val="both"/>
        <w:rPr>
          <w:color w:val="000000"/>
        </w:rPr>
      </w:pPr>
      <w:r w:rsidRPr="00DA7FFC">
        <w:rPr>
          <w:color w:val="000000"/>
        </w:rPr>
        <w:t>Potrebno je osigurati strateški, pravno jasan i institucionalno koordiniran pristup koji omogućuje inovacije, a istodobno štiti autorska i srodna prava, medijski integritet i vrijednost ljudskog kreativnog rada. Područje se povezuje sa S3 prioritetom Digitalni proizvodi i platforme.</w:t>
      </w:r>
      <w:r>
        <w:rPr>
          <w:color w:val="000000"/>
        </w:rPr>
        <w:t xml:space="preserve"> </w:t>
      </w:r>
    </w:p>
    <w:p w14:paraId="0BA9B18D" w14:textId="77777777" w:rsidR="001E6BC9" w:rsidRPr="00A609CA" w:rsidRDefault="001E6BC9" w:rsidP="001E6BC9">
      <w:pPr>
        <w:pStyle w:val="Tijeloteksta"/>
        <w:spacing w:line="276" w:lineRule="auto"/>
        <w:ind w:left="540" w:right="283"/>
        <w:jc w:val="both"/>
      </w:pPr>
    </w:p>
    <w:p w14:paraId="12A60E7A" w14:textId="5667E51D" w:rsidR="00D839BD" w:rsidRPr="00A609CA" w:rsidRDefault="00E95173" w:rsidP="00081FC3">
      <w:pPr>
        <w:pStyle w:val="Naslov5"/>
        <w:spacing w:before="1"/>
      </w:pPr>
      <w:r>
        <w:t>4</w:t>
      </w:r>
      <w:r w:rsidR="00D839BD">
        <w:t>.11.1. UI u stvaranju, produkciji, distribuciji i dostupnosti sadržaja</w:t>
      </w:r>
    </w:p>
    <w:p w14:paraId="736B6A84" w14:textId="77777777" w:rsidR="001E6BC9" w:rsidRPr="00A609CA" w:rsidRDefault="001E6BC9" w:rsidP="00081FC3">
      <w:pPr>
        <w:pStyle w:val="Naslov5"/>
        <w:spacing w:before="1"/>
      </w:pPr>
    </w:p>
    <w:p w14:paraId="07860A3B" w14:textId="1C0567AA" w:rsidR="00D839BD" w:rsidRPr="009D0F6F" w:rsidRDefault="0094689D" w:rsidP="00224D85">
      <w:pPr>
        <w:pStyle w:val="Tijeloteksta"/>
        <w:spacing w:line="276" w:lineRule="auto"/>
        <w:ind w:right="283"/>
        <w:jc w:val="both"/>
        <w:rPr>
          <w:color w:val="000000"/>
        </w:rPr>
      </w:pPr>
      <w:r>
        <w:rPr>
          <w:color w:val="000000"/>
        </w:rPr>
        <w:t xml:space="preserve">UI će se koristiti kao alat za potporu stvaranju, obradi, prijevodu, titlovanju, restauraciji, katalogizaciji, pretraživanju i distribuciji kulturnih i medijskih sadržaja. Kulturne ustanove mogu koristiti UI za obradu digitalizirane baštine, automatsko obogaćivanje metapodataka, prepoznavanje sadržaja i razvoj pristupačnih digitalnih usluga. </w:t>
      </w:r>
      <w:r w:rsidR="0004395B" w:rsidRPr="0004395B">
        <w:rPr>
          <w:color w:val="000000"/>
        </w:rPr>
        <w:t>Poduzeća u kulturnim i kreativnim sektorima mogu razvijati nove proizvode, interaktivne formate i međunarodno konkurentne usluge</w:t>
      </w:r>
      <w:r w:rsidR="0004395B">
        <w:rPr>
          <w:color w:val="000000"/>
        </w:rPr>
        <w:t>.</w:t>
      </w:r>
    </w:p>
    <w:p w14:paraId="5A5469F6" w14:textId="77777777" w:rsidR="00F21FE2" w:rsidRPr="009D0F6F" w:rsidRDefault="00F21FE2" w:rsidP="00F21FE2">
      <w:pPr>
        <w:pStyle w:val="Tijeloteksta"/>
        <w:spacing w:line="276" w:lineRule="auto"/>
        <w:ind w:left="540" w:right="283"/>
        <w:jc w:val="both"/>
        <w:rPr>
          <w:color w:val="000000"/>
        </w:rPr>
      </w:pPr>
    </w:p>
    <w:p w14:paraId="6F8C1424" w14:textId="2568B1CC" w:rsidR="00582B77" w:rsidRPr="009D0F6F" w:rsidRDefault="0094689D" w:rsidP="00224D85">
      <w:pPr>
        <w:pStyle w:val="Tijeloteksta"/>
        <w:spacing w:line="276" w:lineRule="auto"/>
        <w:ind w:right="283"/>
        <w:jc w:val="both"/>
        <w:rPr>
          <w:color w:val="000000"/>
        </w:rPr>
      </w:pPr>
      <w:r>
        <w:rPr>
          <w:color w:val="000000"/>
        </w:rPr>
        <w:t>Potrebno je jasno razlikovati situacije u kojima je UI pomoćno sredstvo ljudskog autora, uz relevantan ljudski kreativni doprinos, od sadržaja nastalog bez takvog doprinosa. Smjernice za ustanove, autore i poduzeća trebaju pomoći u zakonitoj i odgovornoj uporabi alata, dokumentiranju kreativnog procesa i informiranju korisnika.</w:t>
      </w:r>
    </w:p>
    <w:p w14:paraId="6D6BE413" w14:textId="77777777" w:rsidR="001E6BC9" w:rsidRPr="00A609CA" w:rsidRDefault="001E6BC9" w:rsidP="001E6BC9">
      <w:pPr>
        <w:pStyle w:val="Tijeloteksta"/>
        <w:spacing w:line="276" w:lineRule="auto"/>
        <w:ind w:left="540" w:right="283"/>
        <w:jc w:val="both"/>
      </w:pPr>
    </w:p>
    <w:p w14:paraId="7AA85B16" w14:textId="6666F4A7" w:rsidR="00D839BD" w:rsidRPr="00A609CA" w:rsidRDefault="00E95173" w:rsidP="00081FC3">
      <w:pPr>
        <w:pStyle w:val="Naslov5"/>
        <w:spacing w:before="1"/>
      </w:pPr>
      <w:r>
        <w:t>4</w:t>
      </w:r>
      <w:r w:rsidR="00D839BD">
        <w:t>.11.2. Uporaba zaštićenih sadržaja za treniranje UI modela</w:t>
      </w:r>
    </w:p>
    <w:p w14:paraId="1D3B272D" w14:textId="77777777" w:rsidR="001E6BC9" w:rsidRPr="00A609CA" w:rsidRDefault="001E6BC9" w:rsidP="00081FC3">
      <w:pPr>
        <w:pStyle w:val="Naslov5"/>
        <w:spacing w:before="1"/>
      </w:pPr>
    </w:p>
    <w:p w14:paraId="27BB501B" w14:textId="7BF044AD" w:rsidR="00D839BD" w:rsidRPr="009D0F6F" w:rsidRDefault="0094689D" w:rsidP="00224D85">
      <w:pPr>
        <w:pStyle w:val="Tijeloteksta"/>
        <w:spacing w:line="276" w:lineRule="auto"/>
        <w:ind w:right="283"/>
        <w:jc w:val="both"/>
        <w:rPr>
          <w:color w:val="000000"/>
        </w:rPr>
      </w:pPr>
      <w:r>
        <w:rPr>
          <w:color w:val="000000"/>
        </w:rPr>
        <w:t xml:space="preserve">Treniranje generativnih UI modela uključuje obradu velikih količina tekstualnih, glazbenih, vizualnih i audiovizualnih </w:t>
      </w:r>
      <w:r w:rsidR="003F4A55">
        <w:rPr>
          <w:color w:val="000000"/>
        </w:rPr>
        <w:t>sadržaja</w:t>
      </w:r>
      <w:r>
        <w:rPr>
          <w:color w:val="000000"/>
        </w:rPr>
        <w:t xml:space="preserve">, od kojih su mnoga zaštićena autorskim pravom. Ključna pitanja odnose se na zakonitost uporabe </w:t>
      </w:r>
      <w:r w:rsidR="003F4A55">
        <w:rPr>
          <w:color w:val="000000"/>
        </w:rPr>
        <w:t>sadržaja</w:t>
      </w:r>
      <w:r>
        <w:rPr>
          <w:color w:val="000000"/>
        </w:rPr>
        <w:t>, primjenu iznimaka za rudarenje teksta i podataka iz članaka 3. i 4. Direktive (EU) 2019/790, transparentnost izvora podataka, ostvarivanje prava na izuzeće kada je ono predviđeno propisima te modele licenciranja i naknade nositeljima prava.</w:t>
      </w:r>
    </w:p>
    <w:p w14:paraId="3B33E605" w14:textId="77777777" w:rsidR="00F21FE2" w:rsidRPr="009D0F6F" w:rsidRDefault="00F21FE2" w:rsidP="00F21FE2">
      <w:pPr>
        <w:pStyle w:val="Tijeloteksta"/>
        <w:spacing w:line="276" w:lineRule="auto"/>
        <w:ind w:left="540" w:right="283"/>
        <w:jc w:val="both"/>
        <w:rPr>
          <w:color w:val="000000"/>
        </w:rPr>
      </w:pPr>
    </w:p>
    <w:p w14:paraId="5C5CC4EC" w14:textId="003BADF3" w:rsidR="00582B77" w:rsidRPr="009D0F6F" w:rsidRDefault="00D839BD" w:rsidP="00224D85">
      <w:pPr>
        <w:pStyle w:val="Tijeloteksta"/>
        <w:spacing w:line="276" w:lineRule="auto"/>
        <w:ind w:right="283"/>
        <w:jc w:val="both"/>
        <w:rPr>
          <w:color w:val="000000"/>
        </w:rPr>
      </w:pPr>
      <w:r>
        <w:rPr>
          <w:color w:val="000000"/>
        </w:rPr>
        <w:t>U razvoju nacionalnih jezičnih tehnologija i velikog jezičnog modela za hrvatski jezik posebna će se pozornost posvetiti zakonitoj i transparentnoj uporabi nacionalnih jezičnih i kulturnih korpusa. Digitalna i jezična suverenost ne smije se ostvarivati na štetu domaćih autora, nakladnika i drugih nositelja prava. Poticat će se razvoj jasnih smjernica, suradnja s organizacijama za kolektivno ostvarivanje prava, odgovarajući modeli licenciranja i, gdje je primjenjivo, pravedne naknade te tehnička rješenja za identifikaciju i praćenje uporabe zaštićenih sadržaja.</w:t>
      </w:r>
    </w:p>
    <w:p w14:paraId="78F64F47" w14:textId="77777777" w:rsidR="001E6BC9" w:rsidRPr="00A609CA" w:rsidRDefault="001E6BC9" w:rsidP="001E6BC9">
      <w:pPr>
        <w:pStyle w:val="Tijeloteksta"/>
        <w:spacing w:line="276" w:lineRule="auto"/>
        <w:ind w:left="540" w:right="283"/>
        <w:jc w:val="both"/>
      </w:pPr>
    </w:p>
    <w:p w14:paraId="1DDEB930" w14:textId="11B9803D" w:rsidR="00D839BD" w:rsidRPr="00A609CA" w:rsidRDefault="00E95173" w:rsidP="00081FC3">
      <w:pPr>
        <w:pStyle w:val="Naslov5"/>
        <w:spacing w:before="1"/>
      </w:pPr>
      <w:r>
        <w:t>4</w:t>
      </w:r>
      <w:r w:rsidR="00D839BD">
        <w:t>.11.3. Generirani sadržaj, autorstvo i transparentnost</w:t>
      </w:r>
    </w:p>
    <w:p w14:paraId="2306F29C" w14:textId="77777777" w:rsidR="001E6BC9" w:rsidRPr="00A609CA" w:rsidRDefault="001E6BC9" w:rsidP="00081FC3">
      <w:pPr>
        <w:pStyle w:val="Naslov5"/>
        <w:spacing w:before="1"/>
      </w:pPr>
    </w:p>
    <w:p w14:paraId="04731F76" w14:textId="4B87A492" w:rsidR="00D839BD" w:rsidRPr="009D0F6F" w:rsidRDefault="00D839BD" w:rsidP="00224D85">
      <w:pPr>
        <w:pStyle w:val="Tijeloteksta"/>
        <w:spacing w:line="276" w:lineRule="auto"/>
        <w:ind w:right="283"/>
        <w:jc w:val="both"/>
        <w:rPr>
          <w:color w:val="000000"/>
        </w:rPr>
      </w:pPr>
      <w:r>
        <w:rPr>
          <w:color w:val="000000"/>
        </w:rPr>
        <w:t>U fazi generiranja sadržaja pojavljuju se pitanja oponašanja prepoznatljivog stila autora, mogućih nedopuštenih prerada, autorstva i pravne zaštite generiranog sadržaja, zavaravajuće atribucije i povrede moralnih prava</w:t>
      </w:r>
      <w:r w:rsidR="009578C8">
        <w:rPr>
          <w:color w:val="000000"/>
        </w:rPr>
        <w:t xml:space="preserve"> autora</w:t>
      </w:r>
      <w:r>
        <w:rPr>
          <w:color w:val="000000"/>
        </w:rPr>
        <w:t xml:space="preserve">. Potrebno je razvijati regulatorne smjernice i institucionalne kapacitete za tumačenje i primjenu autorskog prava kako bi se osigurala pravna sigurnost za autore, kulturne ustanove, poduzetnike i </w:t>
      </w:r>
      <w:r w:rsidR="009578C8">
        <w:rPr>
          <w:color w:val="000000"/>
        </w:rPr>
        <w:t>građane</w:t>
      </w:r>
      <w:r>
        <w:rPr>
          <w:color w:val="000000"/>
        </w:rPr>
        <w:t>.</w:t>
      </w:r>
    </w:p>
    <w:p w14:paraId="3480CA27" w14:textId="77777777" w:rsidR="00F21FE2" w:rsidRPr="009D0F6F" w:rsidRDefault="00F21FE2" w:rsidP="00F21FE2">
      <w:pPr>
        <w:pStyle w:val="Tijeloteksta"/>
        <w:spacing w:line="276" w:lineRule="auto"/>
        <w:ind w:left="540" w:right="283"/>
        <w:jc w:val="both"/>
        <w:rPr>
          <w:color w:val="000000"/>
        </w:rPr>
      </w:pPr>
    </w:p>
    <w:p w14:paraId="0D6F3204" w14:textId="778199B8" w:rsidR="00582B77" w:rsidRPr="009D0F6F" w:rsidRDefault="0094689D" w:rsidP="00224D85">
      <w:pPr>
        <w:pStyle w:val="Tijeloteksta"/>
        <w:spacing w:line="276" w:lineRule="auto"/>
        <w:ind w:right="283"/>
        <w:jc w:val="both"/>
        <w:rPr>
          <w:color w:val="000000"/>
        </w:rPr>
      </w:pPr>
      <w:r>
        <w:rPr>
          <w:color w:val="000000"/>
        </w:rPr>
        <w:t xml:space="preserve">Transparentnost sadržaja generiranog uporabom UI-ja ili manipuliranog uporabom UI-ja bit će važna radi zaštite potrošača, nositelja prava i integriteta informacijskog prostora. Označavanje sadržaja provodit će se u skladu s europskim propisima i uz uvažavanje konteksta, svrhe i mogućeg rizika obmane, a osobito u skladu s obvezama transparentnosti iz članka 50. Akta o UI-ju. Posebna će se pozornost posvetiti </w:t>
      </w:r>
      <w:r>
        <w:rPr>
          <w:i/>
          <w:color w:val="000000"/>
        </w:rPr>
        <w:t xml:space="preserve">deepfake </w:t>
      </w:r>
      <w:r>
        <w:rPr>
          <w:color w:val="000000"/>
        </w:rPr>
        <w:t>sadržajima, manipulaciji identitetom i uporabi sintetičkog sadržaja u medijskom i političkom prostoru.</w:t>
      </w:r>
    </w:p>
    <w:p w14:paraId="34A2533B" w14:textId="77777777" w:rsidR="001E6BC9" w:rsidRPr="00A609CA" w:rsidRDefault="001E6BC9" w:rsidP="001E6BC9">
      <w:pPr>
        <w:pStyle w:val="Tijeloteksta"/>
        <w:spacing w:line="276" w:lineRule="auto"/>
        <w:ind w:left="540" w:right="283"/>
        <w:jc w:val="both"/>
      </w:pPr>
    </w:p>
    <w:p w14:paraId="16464383" w14:textId="0FBC0787" w:rsidR="00D839BD" w:rsidRPr="00A609CA" w:rsidRDefault="00E95173" w:rsidP="00081FC3">
      <w:pPr>
        <w:pStyle w:val="Naslov5"/>
        <w:spacing w:before="1"/>
      </w:pPr>
      <w:r>
        <w:t>4</w:t>
      </w:r>
      <w:r w:rsidR="00D839BD">
        <w:t>.11.4. Umjetnička, tržišna i društvena dimenzija</w:t>
      </w:r>
    </w:p>
    <w:p w14:paraId="6ABD7CAE" w14:textId="77777777" w:rsidR="001E6BC9" w:rsidRPr="00A609CA" w:rsidRDefault="001E6BC9" w:rsidP="00081FC3">
      <w:pPr>
        <w:pStyle w:val="Naslov5"/>
        <w:spacing w:before="1"/>
      </w:pPr>
    </w:p>
    <w:p w14:paraId="2098BC2D" w14:textId="139AFDB2" w:rsidR="00D839BD" w:rsidRPr="009D0F6F" w:rsidRDefault="002405CE" w:rsidP="00224D85">
      <w:pPr>
        <w:pStyle w:val="Tijeloteksta"/>
        <w:spacing w:line="276" w:lineRule="auto"/>
        <w:ind w:right="283"/>
        <w:jc w:val="both"/>
        <w:rPr>
          <w:color w:val="000000"/>
        </w:rPr>
      </w:pPr>
      <w:r>
        <w:rPr>
          <w:color w:val="000000"/>
        </w:rPr>
        <w:t xml:space="preserve">UI alati mijenjaju način na koji se doživljavaju kreativnost, autorstvo i stvaralački proces te mogu utjecati na </w:t>
      </w:r>
      <w:r>
        <w:rPr>
          <w:color w:val="000000"/>
        </w:rPr>
        <w:lastRenderedPageBreak/>
        <w:t>percepciju vrijednosti ljudskog rada. Postoji rizik homogenizacije estetskih obrazaca, prekomjerne standardizacije sadržaja i koncentracije tržišne moći na platformama koje upravljaju UI modelima i distribucijom. Istodobno, odgovorna primjena može otvoriti prostor za nove umjetničke prakse, interdisciplinarnu suradnju, očuvanje i dostupnost baštine te internacionalizaciju hrvatske kulturne produkcije.</w:t>
      </w:r>
    </w:p>
    <w:p w14:paraId="5AB87D4A" w14:textId="77777777" w:rsidR="00F21FE2" w:rsidRPr="009D0F6F" w:rsidRDefault="00F21FE2" w:rsidP="00F21FE2">
      <w:pPr>
        <w:pStyle w:val="Tijeloteksta"/>
        <w:spacing w:line="276" w:lineRule="auto"/>
        <w:ind w:left="540" w:right="283"/>
        <w:jc w:val="both"/>
        <w:rPr>
          <w:color w:val="000000"/>
        </w:rPr>
      </w:pPr>
    </w:p>
    <w:p w14:paraId="1E77DE0C" w14:textId="6DDEC9AE" w:rsidR="00D839BD" w:rsidRPr="009D0F6F" w:rsidRDefault="0094689D" w:rsidP="00224D85">
      <w:pPr>
        <w:pStyle w:val="Tijeloteksta"/>
        <w:spacing w:line="276" w:lineRule="auto"/>
        <w:ind w:right="283"/>
        <w:jc w:val="both"/>
        <w:rPr>
          <w:color w:val="000000"/>
        </w:rPr>
      </w:pPr>
      <w:r>
        <w:rPr>
          <w:color w:val="000000"/>
        </w:rPr>
        <w:t>Nacionaln</w:t>
      </w:r>
      <w:r w:rsidR="00CB34CA">
        <w:rPr>
          <w:color w:val="000000"/>
        </w:rPr>
        <w:t>e</w:t>
      </w:r>
      <w:r>
        <w:rPr>
          <w:color w:val="000000"/>
        </w:rPr>
        <w:t xml:space="preserve"> politik</w:t>
      </w:r>
      <w:r w:rsidR="00CB34CA">
        <w:rPr>
          <w:color w:val="000000"/>
        </w:rPr>
        <w:t>e</w:t>
      </w:r>
      <w:r>
        <w:rPr>
          <w:color w:val="000000"/>
        </w:rPr>
        <w:t xml:space="preserve"> treba</w:t>
      </w:r>
      <w:r w:rsidR="00CB34CA">
        <w:rPr>
          <w:color w:val="000000"/>
        </w:rPr>
        <w:t>ju</w:t>
      </w:r>
      <w:r>
        <w:rPr>
          <w:color w:val="000000"/>
        </w:rPr>
        <w:t xml:space="preserve"> istodobno štititi temeljna načela autorskog prava i moralna prava autora, osiguravati transparentnost kada je potrebna radi zaštite korisnika i nositelja prava, poticati razvoj domaćih UI rješenja u kreativnom sektoru te jačati kapacitete kulturnih i medijskih institucija i poduzeća za zakonitu i odgovornu uporabu UI alata.</w:t>
      </w:r>
    </w:p>
    <w:p w14:paraId="07BDD649" w14:textId="77777777" w:rsidR="00F21FE2" w:rsidRPr="009D0F6F" w:rsidRDefault="00F21FE2" w:rsidP="00F21FE2">
      <w:pPr>
        <w:pStyle w:val="Tijeloteksta"/>
        <w:spacing w:line="276" w:lineRule="auto"/>
        <w:ind w:left="540" w:right="283"/>
        <w:jc w:val="both"/>
        <w:rPr>
          <w:color w:val="000000"/>
        </w:rPr>
      </w:pPr>
    </w:p>
    <w:p w14:paraId="778E21B6" w14:textId="453792BA" w:rsidR="00D839BD" w:rsidRPr="009D0F6F" w:rsidRDefault="0094689D" w:rsidP="00224D85">
      <w:pPr>
        <w:pStyle w:val="Tijeloteksta"/>
        <w:spacing w:line="276" w:lineRule="auto"/>
        <w:ind w:right="283"/>
        <w:jc w:val="both"/>
        <w:rPr>
          <w:color w:val="000000"/>
        </w:rPr>
      </w:pPr>
      <w:r>
        <w:rPr>
          <w:color w:val="000000"/>
        </w:rPr>
        <w:t>Prvi akcijski plan uključuje mjeru praćenja razvoja i primjene UI-ja u kulturi i medijima te pravodobne prilagodbe zakonodavnog, institucionalnog i provedbenog okvira standardima EU-a. Na temelju rezultata praćenja</w:t>
      </w:r>
      <w:r w:rsidR="00432383">
        <w:rPr>
          <w:color w:val="000000"/>
        </w:rPr>
        <w:t xml:space="preserve"> razvoja i primjene UI-ja</w:t>
      </w:r>
      <w:r>
        <w:rPr>
          <w:color w:val="000000"/>
        </w:rPr>
        <w:t>, dijaloga s autorima, nositeljima prava, kulturnim i medijskim institucijama te razvoja europskog okvira razradit će se dodatne mjere u sljedećim akcijskim planovima.</w:t>
      </w:r>
    </w:p>
    <w:p w14:paraId="22B03B87" w14:textId="3CB0C694" w:rsidR="00D839BD" w:rsidRPr="00A609CA" w:rsidRDefault="00E95173" w:rsidP="00683224">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76" w:name="_Toc236064854"/>
      <w:bookmarkStart w:id="77" w:name="_Toc242947283"/>
      <w:r>
        <w:rPr>
          <w:rFonts w:ascii="Times New Roman" w:eastAsia="Times New Roman" w:hAnsi="Times New Roman" w:cs="Times New Roman"/>
          <w:b/>
          <w:bCs/>
          <w:color w:val="auto"/>
          <w:lang w:val="hr-HR"/>
        </w:rPr>
        <w:t>4</w:t>
      </w:r>
      <w:r w:rsidR="00D839BD">
        <w:rPr>
          <w:rFonts w:ascii="Times New Roman" w:eastAsia="Times New Roman" w:hAnsi="Times New Roman" w:cs="Times New Roman"/>
          <w:b/>
          <w:bCs/>
          <w:color w:val="auto"/>
          <w:lang w:val="hr-HR"/>
        </w:rPr>
        <w:t>.12. Provedbena dinamika i daljnje razvijanje područja primjene</w:t>
      </w:r>
      <w:bookmarkEnd w:id="76"/>
      <w:bookmarkEnd w:id="77"/>
    </w:p>
    <w:p w14:paraId="5DE87FFC" w14:textId="32989F52" w:rsidR="00D839BD" w:rsidRPr="009D0F6F" w:rsidRDefault="009D22ED" w:rsidP="00224D85">
      <w:pPr>
        <w:pStyle w:val="Tijeloteksta"/>
        <w:spacing w:before="301" w:line="276" w:lineRule="auto"/>
        <w:ind w:right="283"/>
        <w:jc w:val="both"/>
        <w:rPr>
          <w:color w:val="000000"/>
        </w:rPr>
      </w:pPr>
      <w:r>
        <w:rPr>
          <w:color w:val="000000"/>
        </w:rPr>
        <w:t>Ključna područja primjene UI-ja međusobno su povezana i oslanjaju se na iste horizontalne preduvjete. Kvalitetni i interoperabilni podaci, dostupna računalna infrastruktura, razvoj hrvatskih jezičnih tehnologija, kompetencije stručnjaka i korisnika, kibernetička sigurnost, zakonitost i odgovorno upravljanje određivat će brzinu i kvalitetu primjene u svim sektorima. Zbog toga će se pri razvoju novih projekata poticati uporaba zajedničkih platformi, standarda i komponenti koje se mogu sigurno ponovno koristiti.</w:t>
      </w:r>
    </w:p>
    <w:p w14:paraId="3B82CD80" w14:textId="2DC0A305" w:rsidR="00D839BD" w:rsidRPr="009D0F6F" w:rsidRDefault="009D22ED" w:rsidP="00224D85">
      <w:pPr>
        <w:pStyle w:val="Tijeloteksta"/>
        <w:spacing w:before="301" w:line="276" w:lineRule="auto"/>
        <w:ind w:right="283"/>
        <w:jc w:val="both"/>
        <w:rPr>
          <w:color w:val="000000"/>
        </w:rPr>
      </w:pPr>
      <w:r>
        <w:rPr>
          <w:color w:val="000000"/>
        </w:rPr>
        <w:t>Prvi akcijski plan usmjeren je na stvaranje temeljnih kapaciteta i početni portfelj konkretnih primjena u javnim uslugama, pravosuđu, carinskim poslovima, zdravstvu, prometnoj infrastrukturi, policijskim procesima te kulturi i medijima. Takav odabir odražava spremnost projekata i nositelja u trenutku izrade plana, a ne konačnu hijerarhiju strateške važnosti područja.</w:t>
      </w:r>
    </w:p>
    <w:p w14:paraId="24127102" w14:textId="36162DA1" w:rsidR="00D839BD" w:rsidRPr="009D0F6F" w:rsidRDefault="009D22ED" w:rsidP="00224D85">
      <w:pPr>
        <w:pStyle w:val="Tijeloteksta"/>
        <w:spacing w:before="301" w:line="276" w:lineRule="auto"/>
        <w:ind w:right="283"/>
        <w:jc w:val="both"/>
        <w:rPr>
          <w:color w:val="000000"/>
        </w:rPr>
      </w:pPr>
      <w:r>
        <w:rPr>
          <w:color w:val="000000"/>
        </w:rPr>
        <w:t>U sljedećim akcijskim planovima portfelj će se dopunjavati na temelju utvrđenih sektorskih potreba, rezultata prvih pilot-projekata, raspoloživosti kvalitetnih podataka i infrastrukture, procjene regulatornih i sigurnosnih zahtjeva, mogućnosti skaliranja i ponovne uporabe te osiguranih izvora financiranja. Posebna će se pozornost posvetiti projektima koji povezuju javni sektor, znanstveno-istraživačku zajednicu i gospodarstvo te doprinose prioritetnim područjima S3, europskim podatkovnim prostorima i lancima vrijednosti.</w:t>
      </w:r>
    </w:p>
    <w:p w14:paraId="72861478" w14:textId="7ADFC0B0" w:rsidR="00D839BD" w:rsidRDefault="009D22ED" w:rsidP="00224D85">
      <w:pPr>
        <w:pStyle w:val="Tijeloteksta"/>
        <w:spacing w:before="301" w:line="276" w:lineRule="auto"/>
        <w:ind w:right="283"/>
        <w:jc w:val="both"/>
        <w:rPr>
          <w:color w:val="000000"/>
        </w:rPr>
      </w:pPr>
      <w:r>
        <w:rPr>
          <w:color w:val="000000"/>
        </w:rPr>
        <w:t>Time se Nacionalnim planom uspostavlja dovoljno jasan strateški smjer, ali i fleksibilnost potrebna za prilagodbu brzom tehnološkom razvoju. Cilj nije unaprijed propisati svaku buduću primjenu, nego osigurati da se UI u Republici Hrvatskoj razvija i koristi ondje gdje može stvoriti najveću i mjerljivu javnu, gospodarsku i društvenu vrijednost, uz očuvanje sigurnosti, prava i povjerenja građana.</w:t>
      </w:r>
    </w:p>
    <w:p w14:paraId="411C1CC5" w14:textId="77777777" w:rsidR="0061355F" w:rsidRPr="00A609CA" w:rsidRDefault="0061355F" w:rsidP="00715AB7">
      <w:pPr>
        <w:rPr>
          <w:lang w:val="hr-HR"/>
        </w:rPr>
      </w:pPr>
    </w:p>
    <w:p w14:paraId="7664EDB3" w14:textId="77777777" w:rsidR="00E33A96" w:rsidRDefault="00E33A96">
      <w:pPr>
        <w:spacing w:after="160" w:line="259" w:lineRule="auto"/>
        <w:rPr>
          <w:rFonts w:ascii="Times New Roman" w:eastAsia="Times New Roman" w:hAnsi="Times New Roman" w:cs="Times New Roman"/>
          <w:b/>
          <w:bCs/>
          <w:sz w:val="24"/>
          <w:szCs w:val="24"/>
          <w:lang w:val="hr-HR"/>
        </w:rPr>
      </w:pPr>
      <w:bookmarkStart w:id="78" w:name="_Toc236064855"/>
      <w:bookmarkStart w:id="79" w:name="_TOC_250016"/>
      <w:r>
        <w:rPr>
          <w:rFonts w:ascii="Times New Roman" w:eastAsia="Times New Roman" w:hAnsi="Times New Roman" w:cs="Times New Roman"/>
          <w:b/>
          <w:bCs/>
          <w:sz w:val="24"/>
          <w:szCs w:val="24"/>
          <w:lang w:val="hr-HR"/>
        </w:rPr>
        <w:br w:type="page"/>
      </w:r>
    </w:p>
    <w:p w14:paraId="6C4489AC" w14:textId="203A448F" w:rsidR="004A5971" w:rsidRDefault="004A5971" w:rsidP="004A5971">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80" w:name="_Toc242947284"/>
      <w:r w:rsidRPr="004A5971">
        <w:rPr>
          <w:rFonts w:ascii="Times New Roman" w:eastAsia="Times New Roman" w:hAnsi="Times New Roman" w:cs="Times New Roman"/>
          <w:b/>
          <w:bCs/>
          <w:color w:val="auto"/>
          <w:sz w:val="24"/>
          <w:szCs w:val="24"/>
          <w:lang w:val="hr-HR"/>
        </w:rPr>
        <w:lastRenderedPageBreak/>
        <w:t>Mjere za provedbu posebnih ciljeva</w:t>
      </w:r>
      <w:bookmarkEnd w:id="80"/>
    </w:p>
    <w:p w14:paraId="1B7D2B66" w14:textId="77777777" w:rsidR="004A5971" w:rsidRDefault="004A5971" w:rsidP="004A5971">
      <w:pPr>
        <w:rPr>
          <w:lang w:val="hr-HR"/>
        </w:rPr>
      </w:pPr>
    </w:p>
    <w:p w14:paraId="5E200FBE" w14:textId="30AABF83" w:rsidR="0049136F" w:rsidRDefault="0049136F" w:rsidP="00224D85">
      <w:pPr>
        <w:pStyle w:val="Tijeloteksta"/>
        <w:spacing w:before="301" w:line="276" w:lineRule="auto"/>
        <w:ind w:right="283"/>
        <w:jc w:val="both"/>
        <w:rPr>
          <w:color w:val="000000"/>
        </w:rPr>
      </w:pPr>
      <w:r w:rsidRPr="0049136F">
        <w:rPr>
          <w:color w:val="000000"/>
        </w:rPr>
        <w:t>Za provedbu posebnih ciljeva Nacionalnog plana utvrđuju se mjere prikazane u nastavku, s oznakom i nazivom mjere, tijelom nadležnim za provedbu i rokom izvršenja. Mjere se detaljnije razrađuju u akcijskim planovima za provedbu Nacionalnog plana, u kojima se utvrđuju aktivnosti, pokazatelji rezultata, ključne točke ostvarenja, financijska sredstva i izvori financiranja te drugi elementi potrebni za njihovu provedbu.</w:t>
      </w:r>
    </w:p>
    <w:p w14:paraId="352F9221" w14:textId="298365A6" w:rsidR="0049136F" w:rsidRPr="00B54470" w:rsidRDefault="00224D85" w:rsidP="00224D85">
      <w:pPr>
        <w:pStyle w:val="Tijeloteksta"/>
        <w:spacing w:before="301" w:line="276" w:lineRule="auto"/>
        <w:ind w:right="283"/>
        <w:jc w:val="both"/>
        <w:rPr>
          <w:color w:val="000000"/>
        </w:rPr>
      </w:pPr>
      <w:r>
        <w:rPr>
          <w:color w:val="000000"/>
        </w:rPr>
        <w:t>Tablica m</w:t>
      </w:r>
      <w:r w:rsidR="0049136F" w:rsidRPr="00B54470">
        <w:rPr>
          <w:color w:val="000000"/>
        </w:rPr>
        <w:t>jer</w:t>
      </w:r>
      <w:r>
        <w:rPr>
          <w:color w:val="000000"/>
        </w:rPr>
        <w:t>a</w:t>
      </w:r>
      <w:r w:rsidR="0049136F" w:rsidRPr="00B54470">
        <w:rPr>
          <w:color w:val="000000"/>
        </w:rPr>
        <w:t xml:space="preserve"> za provedbu posebnih ciljeva</w:t>
      </w:r>
      <w:r w:rsidR="00966E60" w:rsidRPr="00B54470">
        <w:rPr>
          <w:color w:val="000000"/>
        </w:rPr>
        <w:t xml:space="preserve"> u prvom provedbenom razdoblju od 2026. do 2028. godine</w:t>
      </w:r>
      <w:r>
        <w:rPr>
          <w:color w:val="000000"/>
        </w:rPr>
        <w:t>:</w:t>
      </w:r>
    </w:p>
    <w:tbl>
      <w:tblPr>
        <w:tblStyle w:val="Reetkatablice"/>
        <w:tblW w:w="10165" w:type="dxa"/>
        <w:jc w:val="center"/>
        <w:tblLayout w:type="fixed"/>
        <w:tblLook w:val="04A0" w:firstRow="1" w:lastRow="0" w:firstColumn="1" w:lastColumn="0" w:noHBand="0" w:noVBand="1"/>
      </w:tblPr>
      <w:tblGrid>
        <w:gridCol w:w="6054"/>
        <w:gridCol w:w="2126"/>
        <w:gridCol w:w="1985"/>
      </w:tblGrid>
      <w:tr w:rsidR="00862E62" w:rsidRPr="00B54470" w14:paraId="3A0BE5F3" w14:textId="77777777" w:rsidTr="001518AB">
        <w:trPr>
          <w:tblHeader/>
          <w:jc w:val="center"/>
        </w:trPr>
        <w:tc>
          <w:tcPr>
            <w:tcW w:w="6054" w:type="dxa"/>
            <w:vAlign w:val="center"/>
          </w:tcPr>
          <w:p w14:paraId="49B692AF"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b/>
                <w:sz w:val="24"/>
                <w:szCs w:val="24"/>
                <w:lang w:val="hr-HR"/>
              </w:rPr>
              <w:t>Oznaka i naziv mjere</w:t>
            </w:r>
          </w:p>
        </w:tc>
        <w:tc>
          <w:tcPr>
            <w:tcW w:w="2126" w:type="dxa"/>
            <w:vAlign w:val="center"/>
          </w:tcPr>
          <w:p w14:paraId="7C263011"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b/>
                <w:sz w:val="24"/>
                <w:szCs w:val="24"/>
                <w:lang w:val="hr-HR"/>
              </w:rPr>
              <w:t>Tijela nadležna za provedbu</w:t>
            </w:r>
          </w:p>
        </w:tc>
        <w:tc>
          <w:tcPr>
            <w:tcW w:w="1985" w:type="dxa"/>
            <w:vAlign w:val="center"/>
          </w:tcPr>
          <w:p w14:paraId="600EFCFA"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b/>
                <w:sz w:val="24"/>
                <w:szCs w:val="24"/>
                <w:lang w:val="hr-HR"/>
              </w:rPr>
              <w:t>Rok izvršenja</w:t>
            </w:r>
          </w:p>
        </w:tc>
      </w:tr>
      <w:tr w:rsidR="00862E62" w:rsidRPr="00B54470" w14:paraId="043FDD03" w14:textId="77777777" w:rsidTr="001518AB">
        <w:trPr>
          <w:jc w:val="center"/>
        </w:trPr>
        <w:tc>
          <w:tcPr>
            <w:tcW w:w="10165" w:type="dxa"/>
            <w:gridSpan w:val="3"/>
            <w:shd w:val="clear" w:color="auto" w:fill="E7E6E6"/>
            <w:vAlign w:val="center"/>
          </w:tcPr>
          <w:p w14:paraId="75818107" w14:textId="77777777" w:rsidR="00862E62" w:rsidRPr="00B54470" w:rsidRDefault="00862E62" w:rsidP="001518AB">
            <w:pPr>
              <w:spacing w:before="40" w:after="40"/>
              <w:rPr>
                <w:rFonts w:ascii="Times New Roman" w:hAnsi="Times New Roman" w:cs="Times New Roman"/>
                <w:sz w:val="24"/>
                <w:szCs w:val="24"/>
                <w:lang w:val="hr-HR"/>
              </w:rPr>
            </w:pPr>
            <w:r w:rsidRPr="00B54470">
              <w:rPr>
                <w:rFonts w:ascii="Times New Roman" w:hAnsi="Times New Roman" w:cs="Times New Roman"/>
                <w:b/>
                <w:sz w:val="24"/>
                <w:szCs w:val="24"/>
                <w:lang w:val="hr-HR"/>
              </w:rPr>
              <w:t>Posebni cilj 1. Osnažiti ljudske potencijale za razvoj i primjenu UI-ja</w:t>
            </w:r>
          </w:p>
        </w:tc>
      </w:tr>
      <w:tr w:rsidR="00862E62" w:rsidRPr="00B54470" w14:paraId="6B6B481A" w14:textId="77777777" w:rsidTr="001518AB">
        <w:trPr>
          <w:cantSplit/>
          <w:jc w:val="center"/>
        </w:trPr>
        <w:tc>
          <w:tcPr>
            <w:tcW w:w="6054" w:type="dxa"/>
            <w:vAlign w:val="center"/>
          </w:tcPr>
          <w:p w14:paraId="210E6C1F"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 Podizanje razine pismenosti građana u području UI-ja</w:t>
            </w:r>
          </w:p>
        </w:tc>
        <w:tc>
          <w:tcPr>
            <w:tcW w:w="2126" w:type="dxa"/>
            <w:vAlign w:val="center"/>
          </w:tcPr>
          <w:p w14:paraId="4156A54C"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34102BC1"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2030.</w:t>
            </w:r>
          </w:p>
        </w:tc>
      </w:tr>
      <w:tr w:rsidR="00862E62" w:rsidRPr="00B54470" w14:paraId="77826ABA" w14:textId="77777777" w:rsidTr="001518AB">
        <w:trPr>
          <w:cantSplit/>
          <w:jc w:val="center"/>
        </w:trPr>
        <w:tc>
          <w:tcPr>
            <w:tcW w:w="6054" w:type="dxa"/>
            <w:vAlign w:val="center"/>
          </w:tcPr>
          <w:p w14:paraId="0DBA081B"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 Nacionalna kampanja podizanja svijesti i povjerenja u UI</w:t>
            </w:r>
          </w:p>
        </w:tc>
        <w:tc>
          <w:tcPr>
            <w:tcW w:w="2126" w:type="dxa"/>
            <w:vAlign w:val="center"/>
          </w:tcPr>
          <w:p w14:paraId="34D5B49F"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057F162D"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72831DA5" w14:textId="77777777" w:rsidTr="001518AB">
        <w:trPr>
          <w:cantSplit/>
          <w:jc w:val="center"/>
        </w:trPr>
        <w:tc>
          <w:tcPr>
            <w:tcW w:w="6054" w:type="dxa"/>
            <w:vAlign w:val="center"/>
          </w:tcPr>
          <w:p w14:paraId="61454C1E"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3. Integracija i primjena UI-ja u obrazovnom sustavu</w:t>
            </w:r>
          </w:p>
        </w:tc>
        <w:tc>
          <w:tcPr>
            <w:tcW w:w="2126" w:type="dxa"/>
            <w:vAlign w:val="center"/>
          </w:tcPr>
          <w:p w14:paraId="3A860021"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MZOM</w:t>
            </w:r>
          </w:p>
        </w:tc>
        <w:tc>
          <w:tcPr>
            <w:tcW w:w="1985" w:type="dxa"/>
            <w:vAlign w:val="center"/>
          </w:tcPr>
          <w:p w14:paraId="41BFB4AD"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Q3 2029.</w:t>
            </w:r>
          </w:p>
        </w:tc>
      </w:tr>
      <w:tr w:rsidR="00862E62" w:rsidRPr="00B54470" w14:paraId="10449655" w14:textId="77777777" w:rsidTr="001518AB">
        <w:trPr>
          <w:cantSplit/>
          <w:jc w:val="center"/>
        </w:trPr>
        <w:tc>
          <w:tcPr>
            <w:tcW w:w="6054" w:type="dxa"/>
            <w:vAlign w:val="center"/>
          </w:tcPr>
          <w:p w14:paraId="2B154A1D"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4. Razvoj kompetencija nastavnika za primjenu UI-ja u obrazovanju</w:t>
            </w:r>
          </w:p>
        </w:tc>
        <w:tc>
          <w:tcPr>
            <w:tcW w:w="2126" w:type="dxa"/>
            <w:vAlign w:val="center"/>
          </w:tcPr>
          <w:p w14:paraId="6AC90815"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MZOM</w:t>
            </w:r>
          </w:p>
        </w:tc>
        <w:tc>
          <w:tcPr>
            <w:tcW w:w="1985" w:type="dxa"/>
            <w:vAlign w:val="center"/>
          </w:tcPr>
          <w:p w14:paraId="3D480DC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43DA9B07" w14:textId="77777777" w:rsidTr="001518AB">
        <w:trPr>
          <w:cantSplit/>
          <w:jc w:val="center"/>
        </w:trPr>
        <w:tc>
          <w:tcPr>
            <w:tcW w:w="6054" w:type="dxa"/>
            <w:vAlign w:val="center"/>
          </w:tcPr>
          <w:p w14:paraId="3247FFF7" w14:textId="488F6956"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 xml:space="preserve">Mjera 5. Razvoj UI vještina kroz sustav vaučera i mikrokvalifikacija </w:t>
            </w:r>
          </w:p>
        </w:tc>
        <w:tc>
          <w:tcPr>
            <w:tcW w:w="2126" w:type="dxa"/>
            <w:vAlign w:val="center"/>
          </w:tcPr>
          <w:p w14:paraId="0F336C58"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MROSP</w:t>
            </w:r>
          </w:p>
        </w:tc>
        <w:tc>
          <w:tcPr>
            <w:tcW w:w="1985" w:type="dxa"/>
            <w:vAlign w:val="center"/>
          </w:tcPr>
          <w:p w14:paraId="42D015A1"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2030.</w:t>
            </w:r>
          </w:p>
        </w:tc>
      </w:tr>
      <w:tr w:rsidR="00862E62" w:rsidRPr="00B54470" w14:paraId="54488CCD" w14:textId="77777777" w:rsidTr="001518AB">
        <w:trPr>
          <w:cantSplit/>
          <w:jc w:val="center"/>
        </w:trPr>
        <w:tc>
          <w:tcPr>
            <w:tcW w:w="6054" w:type="dxa"/>
            <w:vAlign w:val="center"/>
          </w:tcPr>
          <w:p w14:paraId="347A37B5"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6. Uspostava UI kompetencijskog centra za podršku primjeni UI-ja u javnoj upravi</w:t>
            </w:r>
          </w:p>
        </w:tc>
        <w:tc>
          <w:tcPr>
            <w:tcW w:w="2126" w:type="dxa"/>
            <w:vAlign w:val="center"/>
          </w:tcPr>
          <w:p w14:paraId="4FB7DE43"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5BD6A36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58589CEE" w14:textId="77777777" w:rsidTr="001518AB">
        <w:trPr>
          <w:cantSplit/>
          <w:jc w:val="center"/>
        </w:trPr>
        <w:tc>
          <w:tcPr>
            <w:tcW w:w="6054" w:type="dxa"/>
            <w:vAlign w:val="center"/>
          </w:tcPr>
          <w:p w14:paraId="7E4E6624"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7. Sustavni razvoj UI kompetencija u javnoj upravi</w:t>
            </w:r>
          </w:p>
        </w:tc>
        <w:tc>
          <w:tcPr>
            <w:tcW w:w="2126" w:type="dxa"/>
            <w:vAlign w:val="center"/>
          </w:tcPr>
          <w:p w14:paraId="20B172D5"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528F23A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5F1CA877" w14:textId="77777777" w:rsidTr="001518AB">
        <w:trPr>
          <w:jc w:val="center"/>
        </w:trPr>
        <w:tc>
          <w:tcPr>
            <w:tcW w:w="10165" w:type="dxa"/>
            <w:gridSpan w:val="3"/>
            <w:shd w:val="clear" w:color="auto" w:fill="E7E6E6"/>
            <w:vAlign w:val="center"/>
          </w:tcPr>
          <w:p w14:paraId="5A8944AE" w14:textId="77777777" w:rsidR="00862E62" w:rsidRPr="00B54470" w:rsidRDefault="00862E62" w:rsidP="001518AB">
            <w:pPr>
              <w:spacing w:before="40" w:after="40"/>
              <w:rPr>
                <w:rFonts w:ascii="Times New Roman" w:hAnsi="Times New Roman" w:cs="Times New Roman"/>
                <w:sz w:val="24"/>
                <w:szCs w:val="24"/>
                <w:lang w:val="hr-HR"/>
              </w:rPr>
            </w:pPr>
            <w:r w:rsidRPr="00B54470">
              <w:rPr>
                <w:rFonts w:ascii="Times New Roman" w:hAnsi="Times New Roman" w:cs="Times New Roman"/>
                <w:b/>
                <w:sz w:val="24"/>
                <w:szCs w:val="24"/>
                <w:lang w:val="hr-HR"/>
              </w:rPr>
              <w:t>Posebni cilj 2. Osigurati suverenu, sigurnu i otpornu računalnu infrastrukturu i podatke</w:t>
            </w:r>
          </w:p>
        </w:tc>
      </w:tr>
      <w:tr w:rsidR="00862E62" w:rsidRPr="00B54470" w14:paraId="3BD34ED8" w14:textId="77777777" w:rsidTr="001518AB">
        <w:trPr>
          <w:cantSplit/>
          <w:jc w:val="center"/>
        </w:trPr>
        <w:tc>
          <w:tcPr>
            <w:tcW w:w="6054" w:type="dxa"/>
            <w:vAlign w:val="center"/>
          </w:tcPr>
          <w:p w14:paraId="6977D497"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8. Podizanje razine kibernetičke sigurnosti nacionalne UI infrastrukture</w:t>
            </w:r>
          </w:p>
        </w:tc>
        <w:tc>
          <w:tcPr>
            <w:tcW w:w="2126" w:type="dxa"/>
            <w:vAlign w:val="center"/>
          </w:tcPr>
          <w:p w14:paraId="35238C4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2FC88CE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6360E395" w14:textId="77777777" w:rsidTr="001518AB">
        <w:trPr>
          <w:cantSplit/>
          <w:jc w:val="center"/>
        </w:trPr>
        <w:tc>
          <w:tcPr>
            <w:tcW w:w="6054" w:type="dxa"/>
            <w:vAlign w:val="center"/>
          </w:tcPr>
          <w:p w14:paraId="348479C7"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9. Okvir za upravljanje, interoperabilnost i pripremu podataka za primjenu UI-ja u javnom sektoru</w:t>
            </w:r>
          </w:p>
        </w:tc>
        <w:tc>
          <w:tcPr>
            <w:tcW w:w="2126" w:type="dxa"/>
            <w:vAlign w:val="center"/>
          </w:tcPr>
          <w:p w14:paraId="5940A1C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1F8C45DD"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087325F6" w14:textId="77777777" w:rsidTr="001518AB">
        <w:trPr>
          <w:cantSplit/>
          <w:jc w:val="center"/>
        </w:trPr>
        <w:tc>
          <w:tcPr>
            <w:tcW w:w="6054" w:type="dxa"/>
            <w:vAlign w:val="center"/>
          </w:tcPr>
          <w:p w14:paraId="1707C318"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10. Nadogradnja CDU-a u platformu za primjenu UI-ja u javnoj upravi (Cro-AI Platform)</w:t>
            </w:r>
          </w:p>
        </w:tc>
        <w:tc>
          <w:tcPr>
            <w:tcW w:w="2126" w:type="dxa"/>
            <w:vAlign w:val="center"/>
          </w:tcPr>
          <w:p w14:paraId="1FD41BC7"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273A73A4"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2C16C8D7" w14:textId="77777777" w:rsidTr="001518AB">
        <w:trPr>
          <w:cantSplit/>
          <w:jc w:val="center"/>
        </w:trPr>
        <w:tc>
          <w:tcPr>
            <w:tcW w:w="6054" w:type="dxa"/>
            <w:vAlign w:val="center"/>
          </w:tcPr>
          <w:p w14:paraId="4483F781"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11. Uspostava hrvatske UI tvornice i razvoj nacionalne HPC/UI infrastrukture</w:t>
            </w:r>
          </w:p>
        </w:tc>
        <w:tc>
          <w:tcPr>
            <w:tcW w:w="2126" w:type="dxa"/>
            <w:vAlign w:val="center"/>
          </w:tcPr>
          <w:p w14:paraId="15BADEF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MZOM</w:t>
            </w:r>
          </w:p>
        </w:tc>
        <w:tc>
          <w:tcPr>
            <w:tcW w:w="1985" w:type="dxa"/>
            <w:vAlign w:val="center"/>
          </w:tcPr>
          <w:p w14:paraId="3D09628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42E2D033" w14:textId="77777777" w:rsidTr="001518AB">
        <w:trPr>
          <w:cantSplit/>
          <w:jc w:val="center"/>
        </w:trPr>
        <w:tc>
          <w:tcPr>
            <w:tcW w:w="6054" w:type="dxa"/>
            <w:vAlign w:val="center"/>
          </w:tcPr>
          <w:p w14:paraId="01239F20"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12. Sudjelovanje u regionalnom konzorciju za UI gigatvornicu</w:t>
            </w:r>
          </w:p>
        </w:tc>
        <w:tc>
          <w:tcPr>
            <w:tcW w:w="2126" w:type="dxa"/>
            <w:vAlign w:val="center"/>
          </w:tcPr>
          <w:p w14:paraId="4E9C38E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MZOM</w:t>
            </w:r>
          </w:p>
        </w:tc>
        <w:tc>
          <w:tcPr>
            <w:tcW w:w="1985" w:type="dxa"/>
            <w:vAlign w:val="center"/>
          </w:tcPr>
          <w:p w14:paraId="5A3F2106"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3175013E" w14:textId="77777777" w:rsidTr="001518AB">
        <w:trPr>
          <w:cantSplit/>
          <w:jc w:val="center"/>
        </w:trPr>
        <w:tc>
          <w:tcPr>
            <w:tcW w:w="6054" w:type="dxa"/>
            <w:vAlign w:val="center"/>
          </w:tcPr>
          <w:p w14:paraId="125A1962"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lastRenderedPageBreak/>
              <w:t>Mjera 13. Veliki jezični model za hrvatski jezik (HR-VJM)</w:t>
            </w:r>
          </w:p>
        </w:tc>
        <w:tc>
          <w:tcPr>
            <w:tcW w:w="2126" w:type="dxa"/>
            <w:vAlign w:val="center"/>
          </w:tcPr>
          <w:p w14:paraId="258C8AD0"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MZOM</w:t>
            </w:r>
          </w:p>
        </w:tc>
        <w:tc>
          <w:tcPr>
            <w:tcW w:w="1985" w:type="dxa"/>
            <w:vAlign w:val="center"/>
          </w:tcPr>
          <w:p w14:paraId="1BB6089C"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7CC588AE" w14:textId="77777777" w:rsidTr="001518AB">
        <w:trPr>
          <w:cantSplit/>
          <w:jc w:val="center"/>
        </w:trPr>
        <w:tc>
          <w:tcPr>
            <w:tcW w:w="6054" w:type="dxa"/>
            <w:vAlign w:val="center"/>
          </w:tcPr>
          <w:p w14:paraId="70BD86AE"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29. Uspostava nacionalnog sigurnog okruženja za obradu zdravstvenih podataka (SPE) na CDU-u kao dijeljene infrastrukture europskih podatkovnih prostora</w:t>
            </w:r>
          </w:p>
        </w:tc>
        <w:tc>
          <w:tcPr>
            <w:tcW w:w="2126" w:type="dxa"/>
            <w:vAlign w:val="center"/>
          </w:tcPr>
          <w:p w14:paraId="31E4B547"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MIZ</w:t>
            </w:r>
          </w:p>
        </w:tc>
        <w:tc>
          <w:tcPr>
            <w:tcW w:w="1985" w:type="dxa"/>
            <w:vAlign w:val="center"/>
          </w:tcPr>
          <w:p w14:paraId="2E0B2635"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Q1 2029.</w:t>
            </w:r>
          </w:p>
        </w:tc>
      </w:tr>
      <w:tr w:rsidR="00862E62" w:rsidRPr="00B54470" w14:paraId="09ABE2BE" w14:textId="77777777" w:rsidTr="001518AB">
        <w:trPr>
          <w:jc w:val="center"/>
        </w:trPr>
        <w:tc>
          <w:tcPr>
            <w:tcW w:w="10165" w:type="dxa"/>
            <w:gridSpan w:val="3"/>
            <w:shd w:val="clear" w:color="auto" w:fill="E7E6E6"/>
            <w:vAlign w:val="center"/>
          </w:tcPr>
          <w:p w14:paraId="41197BB7" w14:textId="77777777" w:rsidR="00862E62" w:rsidRPr="00B54470" w:rsidRDefault="00862E62" w:rsidP="001518AB">
            <w:pPr>
              <w:spacing w:before="40" w:after="40"/>
              <w:rPr>
                <w:rFonts w:ascii="Times New Roman" w:hAnsi="Times New Roman" w:cs="Times New Roman"/>
                <w:sz w:val="24"/>
                <w:szCs w:val="24"/>
                <w:lang w:val="hr-HR"/>
              </w:rPr>
            </w:pPr>
            <w:r w:rsidRPr="00B54470">
              <w:rPr>
                <w:rFonts w:ascii="Times New Roman" w:hAnsi="Times New Roman" w:cs="Times New Roman"/>
                <w:b/>
                <w:sz w:val="24"/>
                <w:szCs w:val="24"/>
                <w:lang w:val="hr-HR"/>
              </w:rPr>
              <w:t>Posebni cilj 3. Uspostaviti sustav etične i zakonite primjene UI-ja</w:t>
            </w:r>
          </w:p>
        </w:tc>
      </w:tr>
      <w:tr w:rsidR="00862E62" w:rsidRPr="00B54470" w14:paraId="4CDAF122" w14:textId="77777777" w:rsidTr="001518AB">
        <w:trPr>
          <w:cantSplit/>
          <w:jc w:val="center"/>
        </w:trPr>
        <w:tc>
          <w:tcPr>
            <w:tcW w:w="6054" w:type="dxa"/>
            <w:vAlign w:val="center"/>
          </w:tcPr>
          <w:p w14:paraId="22263C89"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14. Uspostava zakonskog, institucionalnog i operativnog okvira za provedbu Akta o UI-ju</w:t>
            </w:r>
          </w:p>
        </w:tc>
        <w:tc>
          <w:tcPr>
            <w:tcW w:w="2126" w:type="dxa"/>
            <w:vAlign w:val="center"/>
          </w:tcPr>
          <w:p w14:paraId="2FED1F60"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36D963EB"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Q2 2028.</w:t>
            </w:r>
          </w:p>
        </w:tc>
      </w:tr>
      <w:tr w:rsidR="00862E62" w:rsidRPr="00B54470" w14:paraId="37B09F22" w14:textId="77777777" w:rsidTr="001518AB">
        <w:trPr>
          <w:cantSplit/>
          <w:jc w:val="center"/>
        </w:trPr>
        <w:tc>
          <w:tcPr>
            <w:tcW w:w="6054" w:type="dxa"/>
            <w:vAlign w:val="center"/>
          </w:tcPr>
          <w:p w14:paraId="06617920"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 xml:space="preserve">Mjera 15. Odgovorno upravljanje primjenom UI-ja u javnom sektoru – uspostava </w:t>
            </w:r>
            <w:r w:rsidRPr="001A17F1">
              <w:rPr>
                <w:rFonts w:ascii="Times New Roman" w:hAnsi="Times New Roman" w:cs="Times New Roman"/>
                <w:i/>
                <w:iCs/>
                <w:sz w:val="24"/>
                <w:szCs w:val="24"/>
                <w:lang w:val="hr-HR"/>
              </w:rPr>
              <w:t>AI Governance</w:t>
            </w:r>
            <w:r w:rsidRPr="00B54470">
              <w:rPr>
                <w:rFonts w:ascii="Times New Roman" w:hAnsi="Times New Roman" w:cs="Times New Roman"/>
                <w:sz w:val="24"/>
                <w:szCs w:val="24"/>
                <w:lang w:val="hr-HR"/>
              </w:rPr>
              <w:t xml:space="preserve"> modela</w:t>
            </w:r>
          </w:p>
        </w:tc>
        <w:tc>
          <w:tcPr>
            <w:tcW w:w="2126" w:type="dxa"/>
            <w:vAlign w:val="center"/>
          </w:tcPr>
          <w:p w14:paraId="647076F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49901634"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27BA04A8" w14:textId="77777777" w:rsidTr="001518AB">
        <w:trPr>
          <w:cantSplit/>
          <w:jc w:val="center"/>
        </w:trPr>
        <w:tc>
          <w:tcPr>
            <w:tcW w:w="6054" w:type="dxa"/>
            <w:vAlign w:val="center"/>
          </w:tcPr>
          <w:p w14:paraId="0DD5B7D1"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16. Uspostava regulatornog izoliranog okruženja za testiranje i validaciju UI rješenja u kontroliranim uvjetima</w:t>
            </w:r>
          </w:p>
        </w:tc>
        <w:tc>
          <w:tcPr>
            <w:tcW w:w="2126" w:type="dxa"/>
            <w:vAlign w:val="center"/>
          </w:tcPr>
          <w:p w14:paraId="5AF985F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31947785"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2406CDBC" w14:textId="77777777" w:rsidTr="001518AB">
        <w:trPr>
          <w:cantSplit/>
          <w:jc w:val="center"/>
        </w:trPr>
        <w:tc>
          <w:tcPr>
            <w:tcW w:w="6054" w:type="dxa"/>
            <w:vAlign w:val="center"/>
          </w:tcPr>
          <w:p w14:paraId="2651649E"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26. Upotreba UI alata za unaprjeđenje sustava e-Građani i optimizaciju integracije e-usluga</w:t>
            </w:r>
          </w:p>
        </w:tc>
        <w:tc>
          <w:tcPr>
            <w:tcW w:w="2126" w:type="dxa"/>
            <w:vAlign w:val="center"/>
          </w:tcPr>
          <w:p w14:paraId="1B8DD519"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2B34CF70"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34DA748A" w14:textId="77777777" w:rsidTr="001518AB">
        <w:trPr>
          <w:cantSplit/>
          <w:jc w:val="center"/>
        </w:trPr>
        <w:tc>
          <w:tcPr>
            <w:tcW w:w="6054" w:type="dxa"/>
            <w:vAlign w:val="center"/>
          </w:tcPr>
          <w:p w14:paraId="340F7B2A"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27. Razvoj UI alata za analizu sudskih postupaka</w:t>
            </w:r>
          </w:p>
        </w:tc>
        <w:tc>
          <w:tcPr>
            <w:tcW w:w="2126" w:type="dxa"/>
            <w:vAlign w:val="center"/>
          </w:tcPr>
          <w:p w14:paraId="50F4DA3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5C654A26"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Q3 2030.</w:t>
            </w:r>
          </w:p>
        </w:tc>
      </w:tr>
      <w:tr w:rsidR="00862E62" w:rsidRPr="00B54470" w14:paraId="09B29B5B" w14:textId="77777777" w:rsidTr="001518AB">
        <w:trPr>
          <w:cantSplit/>
          <w:jc w:val="center"/>
        </w:trPr>
        <w:tc>
          <w:tcPr>
            <w:tcW w:w="6054" w:type="dxa"/>
            <w:vAlign w:val="center"/>
          </w:tcPr>
          <w:p w14:paraId="3BB598B7"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32. Implementacija UI rješenja u operativnim policijskim procesima</w:t>
            </w:r>
          </w:p>
        </w:tc>
        <w:tc>
          <w:tcPr>
            <w:tcW w:w="2126" w:type="dxa"/>
            <w:vAlign w:val="center"/>
          </w:tcPr>
          <w:p w14:paraId="40B0825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MUP</w:t>
            </w:r>
          </w:p>
        </w:tc>
        <w:tc>
          <w:tcPr>
            <w:tcW w:w="1985" w:type="dxa"/>
            <w:vAlign w:val="center"/>
          </w:tcPr>
          <w:p w14:paraId="4E861A7A"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52AC8698" w14:textId="77777777" w:rsidTr="001518AB">
        <w:trPr>
          <w:cantSplit/>
          <w:jc w:val="center"/>
        </w:trPr>
        <w:tc>
          <w:tcPr>
            <w:tcW w:w="6054" w:type="dxa"/>
            <w:vAlign w:val="center"/>
          </w:tcPr>
          <w:p w14:paraId="23FEAE27"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33. Praćenje primjene UI-ja u području kulture i medija</w:t>
            </w:r>
          </w:p>
        </w:tc>
        <w:tc>
          <w:tcPr>
            <w:tcW w:w="2126" w:type="dxa"/>
            <w:vAlign w:val="center"/>
          </w:tcPr>
          <w:p w14:paraId="7C6BDB91" w14:textId="2379629C"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MKM</w:t>
            </w:r>
          </w:p>
        </w:tc>
        <w:tc>
          <w:tcPr>
            <w:tcW w:w="1985" w:type="dxa"/>
            <w:vAlign w:val="center"/>
          </w:tcPr>
          <w:p w14:paraId="50D33BD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03B9DF15" w14:textId="77777777" w:rsidTr="001518AB">
        <w:trPr>
          <w:jc w:val="center"/>
        </w:trPr>
        <w:tc>
          <w:tcPr>
            <w:tcW w:w="10165" w:type="dxa"/>
            <w:gridSpan w:val="3"/>
            <w:shd w:val="clear" w:color="auto" w:fill="E7E6E6"/>
            <w:vAlign w:val="center"/>
          </w:tcPr>
          <w:p w14:paraId="3FB451FB" w14:textId="77777777" w:rsidR="00862E62" w:rsidRPr="00B54470" w:rsidRDefault="00862E62" w:rsidP="001518AB">
            <w:pPr>
              <w:spacing w:before="40" w:after="40"/>
              <w:rPr>
                <w:rFonts w:ascii="Times New Roman" w:hAnsi="Times New Roman" w:cs="Times New Roman"/>
                <w:sz w:val="24"/>
                <w:szCs w:val="24"/>
                <w:lang w:val="hr-HR"/>
              </w:rPr>
            </w:pPr>
            <w:r w:rsidRPr="00B54470">
              <w:rPr>
                <w:rFonts w:ascii="Times New Roman" w:hAnsi="Times New Roman" w:cs="Times New Roman"/>
                <w:b/>
                <w:sz w:val="24"/>
                <w:szCs w:val="24"/>
                <w:lang w:val="hr-HR"/>
              </w:rPr>
              <w:t>Posebni cilj 4. Poticati istraživanje, inovacije, razvoj i primjenu UI-ja u gospodarstvu</w:t>
            </w:r>
          </w:p>
        </w:tc>
      </w:tr>
      <w:tr w:rsidR="00862E62" w:rsidRPr="00B54470" w14:paraId="541E5B3E" w14:textId="77777777" w:rsidTr="001518AB">
        <w:trPr>
          <w:cantSplit/>
          <w:jc w:val="center"/>
        </w:trPr>
        <w:tc>
          <w:tcPr>
            <w:tcW w:w="6054" w:type="dxa"/>
            <w:vAlign w:val="center"/>
          </w:tcPr>
          <w:p w14:paraId="0CAFD464"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17. Potpora istraživanju, razvoju, inovacijama te transferu tehnologije za primjenu UI rješenja</w:t>
            </w:r>
          </w:p>
        </w:tc>
        <w:tc>
          <w:tcPr>
            <w:tcW w:w="2126" w:type="dxa"/>
            <w:vAlign w:val="center"/>
          </w:tcPr>
          <w:p w14:paraId="5073B6CD"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MINGO, MZOM</w:t>
            </w:r>
          </w:p>
        </w:tc>
        <w:tc>
          <w:tcPr>
            <w:tcW w:w="1985" w:type="dxa"/>
            <w:vAlign w:val="center"/>
          </w:tcPr>
          <w:p w14:paraId="0238B257"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2030.</w:t>
            </w:r>
          </w:p>
        </w:tc>
      </w:tr>
      <w:tr w:rsidR="00862E62" w:rsidRPr="00B54470" w14:paraId="14EBF9FA" w14:textId="77777777" w:rsidTr="001518AB">
        <w:trPr>
          <w:cantSplit/>
          <w:jc w:val="center"/>
        </w:trPr>
        <w:tc>
          <w:tcPr>
            <w:tcW w:w="6054" w:type="dxa"/>
            <w:vAlign w:val="center"/>
          </w:tcPr>
          <w:p w14:paraId="2B9F36BD"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18. Potpora DIH-ovima i EDIH-ovima za integraciju usluga UI-ja u gospodarstvu</w:t>
            </w:r>
          </w:p>
        </w:tc>
        <w:tc>
          <w:tcPr>
            <w:tcW w:w="2126" w:type="dxa"/>
            <w:vAlign w:val="center"/>
          </w:tcPr>
          <w:p w14:paraId="1603B9A5"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MINGO</w:t>
            </w:r>
          </w:p>
        </w:tc>
        <w:tc>
          <w:tcPr>
            <w:tcW w:w="1985" w:type="dxa"/>
            <w:vAlign w:val="center"/>
          </w:tcPr>
          <w:p w14:paraId="27F59F46"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2030.</w:t>
            </w:r>
          </w:p>
        </w:tc>
      </w:tr>
      <w:tr w:rsidR="00862E62" w:rsidRPr="00B54470" w14:paraId="6DFCEBFE" w14:textId="77777777" w:rsidTr="001518AB">
        <w:trPr>
          <w:cantSplit/>
          <w:jc w:val="center"/>
        </w:trPr>
        <w:tc>
          <w:tcPr>
            <w:tcW w:w="6054" w:type="dxa"/>
            <w:vAlign w:val="center"/>
          </w:tcPr>
          <w:p w14:paraId="3BE1B27A"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19. Razvoj i primjena UI-ja u MSP-ovima kroz ciljane vaučere</w:t>
            </w:r>
          </w:p>
        </w:tc>
        <w:tc>
          <w:tcPr>
            <w:tcW w:w="2126" w:type="dxa"/>
            <w:vAlign w:val="center"/>
          </w:tcPr>
          <w:p w14:paraId="5C88D72C"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MINGO</w:t>
            </w:r>
          </w:p>
        </w:tc>
        <w:tc>
          <w:tcPr>
            <w:tcW w:w="1985" w:type="dxa"/>
            <w:vAlign w:val="center"/>
          </w:tcPr>
          <w:p w14:paraId="08B39F8F"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338E08FF" w14:textId="77777777" w:rsidTr="001518AB">
        <w:trPr>
          <w:cantSplit/>
          <w:jc w:val="center"/>
        </w:trPr>
        <w:tc>
          <w:tcPr>
            <w:tcW w:w="6054" w:type="dxa"/>
            <w:vAlign w:val="center"/>
          </w:tcPr>
          <w:p w14:paraId="1AF64E36"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 xml:space="preserve">Mjera 20. Financijski instrumenti za UI </w:t>
            </w:r>
            <w:r w:rsidRPr="001A17F1">
              <w:rPr>
                <w:rFonts w:ascii="Times New Roman" w:hAnsi="Times New Roman" w:cs="Times New Roman"/>
                <w:i/>
                <w:iCs/>
                <w:sz w:val="24"/>
                <w:szCs w:val="24"/>
                <w:lang w:val="hr-HR"/>
              </w:rPr>
              <w:t>startup</w:t>
            </w:r>
            <w:r w:rsidRPr="00B54470">
              <w:rPr>
                <w:rFonts w:ascii="Times New Roman" w:hAnsi="Times New Roman" w:cs="Times New Roman"/>
                <w:sz w:val="24"/>
                <w:szCs w:val="24"/>
                <w:lang w:val="hr-HR"/>
              </w:rPr>
              <w:t xml:space="preserve"> i </w:t>
            </w:r>
            <w:r w:rsidRPr="001A17F1">
              <w:rPr>
                <w:rFonts w:ascii="Times New Roman" w:hAnsi="Times New Roman" w:cs="Times New Roman"/>
                <w:i/>
                <w:iCs/>
                <w:sz w:val="24"/>
                <w:szCs w:val="24"/>
                <w:lang w:val="hr-HR"/>
              </w:rPr>
              <w:t>scale-up</w:t>
            </w:r>
            <w:r w:rsidRPr="00B54470">
              <w:rPr>
                <w:rFonts w:ascii="Times New Roman" w:hAnsi="Times New Roman" w:cs="Times New Roman"/>
                <w:sz w:val="24"/>
                <w:szCs w:val="24"/>
                <w:lang w:val="hr-HR"/>
              </w:rPr>
              <w:t xml:space="preserve"> poduzeća</w:t>
            </w:r>
          </w:p>
        </w:tc>
        <w:tc>
          <w:tcPr>
            <w:tcW w:w="2126" w:type="dxa"/>
            <w:vAlign w:val="center"/>
          </w:tcPr>
          <w:p w14:paraId="7623267C"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MRRFEU, MINGO</w:t>
            </w:r>
          </w:p>
        </w:tc>
        <w:tc>
          <w:tcPr>
            <w:tcW w:w="1985" w:type="dxa"/>
            <w:vAlign w:val="center"/>
          </w:tcPr>
          <w:p w14:paraId="3D885E14"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2032.</w:t>
            </w:r>
          </w:p>
        </w:tc>
      </w:tr>
      <w:tr w:rsidR="00862E62" w:rsidRPr="00B54470" w14:paraId="3CB75D52" w14:textId="77777777" w:rsidTr="001518AB">
        <w:trPr>
          <w:cantSplit/>
          <w:jc w:val="center"/>
        </w:trPr>
        <w:tc>
          <w:tcPr>
            <w:tcW w:w="6054" w:type="dxa"/>
            <w:vAlign w:val="center"/>
          </w:tcPr>
          <w:p w14:paraId="6AFBEF68"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21. Kreditni i jamstveni instrumenti za primjenu i skaliranje UI-ja u poduzećima</w:t>
            </w:r>
          </w:p>
        </w:tc>
        <w:tc>
          <w:tcPr>
            <w:tcW w:w="2126" w:type="dxa"/>
            <w:vAlign w:val="center"/>
          </w:tcPr>
          <w:p w14:paraId="5E1C61A4"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MRRFEU, MINGO</w:t>
            </w:r>
          </w:p>
        </w:tc>
        <w:tc>
          <w:tcPr>
            <w:tcW w:w="1985" w:type="dxa"/>
            <w:vAlign w:val="center"/>
          </w:tcPr>
          <w:p w14:paraId="01DAA9F9"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2032.</w:t>
            </w:r>
          </w:p>
        </w:tc>
      </w:tr>
      <w:tr w:rsidR="00862E62" w:rsidRPr="00B54470" w14:paraId="35B7B90F" w14:textId="77777777" w:rsidTr="001518AB">
        <w:trPr>
          <w:cantSplit/>
          <w:jc w:val="center"/>
        </w:trPr>
        <w:tc>
          <w:tcPr>
            <w:tcW w:w="6054" w:type="dxa"/>
            <w:vAlign w:val="center"/>
          </w:tcPr>
          <w:p w14:paraId="6183DE8B"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 xml:space="preserve">Mjera 22. </w:t>
            </w:r>
            <w:r w:rsidRPr="001A17F1">
              <w:rPr>
                <w:rFonts w:ascii="Times New Roman" w:hAnsi="Times New Roman" w:cs="Times New Roman"/>
                <w:i/>
                <w:iCs/>
                <w:sz w:val="24"/>
                <w:szCs w:val="24"/>
                <w:lang w:val="hr-HR"/>
              </w:rPr>
              <w:t>GovTech</w:t>
            </w:r>
            <w:r w:rsidRPr="00B54470">
              <w:rPr>
                <w:rFonts w:ascii="Times New Roman" w:hAnsi="Times New Roman" w:cs="Times New Roman"/>
                <w:sz w:val="24"/>
                <w:szCs w:val="24"/>
                <w:lang w:val="hr-HR"/>
              </w:rPr>
              <w:t xml:space="preserve"> pilot i inovativna javna nabava za UI</w:t>
            </w:r>
          </w:p>
        </w:tc>
        <w:tc>
          <w:tcPr>
            <w:tcW w:w="2126" w:type="dxa"/>
            <w:vAlign w:val="center"/>
          </w:tcPr>
          <w:p w14:paraId="1AFD5D7B"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04F7E924"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23A7B77D" w14:textId="77777777" w:rsidTr="001518AB">
        <w:trPr>
          <w:cantSplit/>
          <w:jc w:val="center"/>
        </w:trPr>
        <w:tc>
          <w:tcPr>
            <w:tcW w:w="6054" w:type="dxa"/>
            <w:vAlign w:val="center"/>
          </w:tcPr>
          <w:p w14:paraId="64434A04"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lastRenderedPageBreak/>
              <w:t>Mjera 23. Nacionalni model potpore za sudjelovanje hrvatskih poduzeća u strateškim europskim UI projektima</w:t>
            </w:r>
          </w:p>
        </w:tc>
        <w:tc>
          <w:tcPr>
            <w:tcW w:w="2126" w:type="dxa"/>
            <w:vAlign w:val="center"/>
          </w:tcPr>
          <w:p w14:paraId="047B65E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  MRRFEU</w:t>
            </w:r>
          </w:p>
        </w:tc>
        <w:tc>
          <w:tcPr>
            <w:tcW w:w="1985" w:type="dxa"/>
            <w:vAlign w:val="center"/>
          </w:tcPr>
          <w:p w14:paraId="0D021336"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2123CECF" w14:textId="77777777" w:rsidTr="001518AB">
        <w:trPr>
          <w:cantSplit/>
          <w:jc w:val="center"/>
        </w:trPr>
        <w:tc>
          <w:tcPr>
            <w:tcW w:w="6054" w:type="dxa"/>
            <w:vAlign w:val="center"/>
          </w:tcPr>
          <w:p w14:paraId="74370B14"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 xml:space="preserve">Mjera 24. Uključivanje hrvatskih dionika u europske lance vrijednosti za UI i poluvodičke tehnologije </w:t>
            </w:r>
            <w:r w:rsidRPr="001A17F1">
              <w:rPr>
                <w:rFonts w:ascii="Times New Roman" w:hAnsi="Times New Roman" w:cs="Times New Roman"/>
                <w:i/>
                <w:iCs/>
                <w:sz w:val="24"/>
                <w:szCs w:val="24"/>
                <w:lang w:val="hr-HR"/>
              </w:rPr>
              <w:t>(AI &amp; Chips Croatia)</w:t>
            </w:r>
          </w:p>
        </w:tc>
        <w:tc>
          <w:tcPr>
            <w:tcW w:w="2126" w:type="dxa"/>
            <w:vAlign w:val="center"/>
          </w:tcPr>
          <w:p w14:paraId="7EB0E1D8"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62D504B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5448A11B" w14:textId="77777777" w:rsidTr="001518AB">
        <w:trPr>
          <w:cantSplit/>
          <w:jc w:val="center"/>
        </w:trPr>
        <w:tc>
          <w:tcPr>
            <w:tcW w:w="6054" w:type="dxa"/>
            <w:vAlign w:val="center"/>
          </w:tcPr>
          <w:p w14:paraId="75C1903F"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25. Razvoj kompetencija i usluga u području poluvodičkih tehnologija relevantnih za razvoj i primjenu UI-ja (Projekt CROCCS)</w:t>
            </w:r>
          </w:p>
        </w:tc>
        <w:tc>
          <w:tcPr>
            <w:tcW w:w="2126" w:type="dxa"/>
            <w:vAlign w:val="center"/>
          </w:tcPr>
          <w:p w14:paraId="1DC7B1CE"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MPUDT</w:t>
            </w:r>
          </w:p>
        </w:tc>
        <w:tc>
          <w:tcPr>
            <w:tcW w:w="1985" w:type="dxa"/>
            <w:vAlign w:val="center"/>
          </w:tcPr>
          <w:p w14:paraId="10FCFB7D"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2029.</w:t>
            </w:r>
          </w:p>
        </w:tc>
      </w:tr>
      <w:tr w:rsidR="00862E62" w:rsidRPr="00B54470" w14:paraId="3A07C25B" w14:textId="77777777" w:rsidTr="001518AB">
        <w:trPr>
          <w:cantSplit/>
          <w:jc w:val="center"/>
        </w:trPr>
        <w:tc>
          <w:tcPr>
            <w:tcW w:w="6054" w:type="dxa"/>
            <w:vAlign w:val="center"/>
          </w:tcPr>
          <w:p w14:paraId="01597994"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28. Uspostava okvira za implementaciju UI rješenja za korisnike usluga Carinske uprave</w:t>
            </w:r>
          </w:p>
        </w:tc>
        <w:tc>
          <w:tcPr>
            <w:tcW w:w="2126" w:type="dxa"/>
            <w:vAlign w:val="center"/>
          </w:tcPr>
          <w:p w14:paraId="6099E467"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MFIN</w:t>
            </w:r>
          </w:p>
        </w:tc>
        <w:tc>
          <w:tcPr>
            <w:tcW w:w="1985" w:type="dxa"/>
            <w:vAlign w:val="center"/>
          </w:tcPr>
          <w:p w14:paraId="0ADC21C2"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2393E8F3" w14:textId="77777777" w:rsidTr="001518AB">
        <w:trPr>
          <w:cantSplit/>
          <w:jc w:val="center"/>
        </w:trPr>
        <w:tc>
          <w:tcPr>
            <w:tcW w:w="6054" w:type="dxa"/>
            <w:vAlign w:val="center"/>
          </w:tcPr>
          <w:p w14:paraId="56B7DD59" w14:textId="77777777" w:rsidR="00862E62" w:rsidRPr="00B54470" w:rsidRDefault="00862E62" w:rsidP="001518AB">
            <w:pPr>
              <w:rPr>
                <w:rFonts w:ascii="Times New Roman" w:hAnsi="Times New Roman" w:cs="Times New Roman"/>
                <w:sz w:val="24"/>
                <w:szCs w:val="24"/>
                <w:lang w:val="hr-HR"/>
              </w:rPr>
            </w:pPr>
            <w:r w:rsidRPr="00B54470">
              <w:rPr>
                <w:rFonts w:ascii="Times New Roman" w:hAnsi="Times New Roman" w:cs="Times New Roman"/>
                <w:sz w:val="24"/>
                <w:szCs w:val="24"/>
                <w:lang w:val="hr-HR"/>
              </w:rPr>
              <w:t>Mjera 30. Pilot primjena UI-ja za pametno upravljanje putničkim i komunalnim pristaništima na unutarnjim vodama</w:t>
            </w:r>
          </w:p>
        </w:tc>
        <w:tc>
          <w:tcPr>
            <w:tcW w:w="2126" w:type="dxa"/>
            <w:vAlign w:val="center"/>
          </w:tcPr>
          <w:p w14:paraId="66B37353"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Lučka uprava Sisak</w:t>
            </w:r>
          </w:p>
        </w:tc>
        <w:tc>
          <w:tcPr>
            <w:tcW w:w="1985" w:type="dxa"/>
            <w:vAlign w:val="center"/>
          </w:tcPr>
          <w:p w14:paraId="0D5C28BF" w14:textId="77777777" w:rsidR="00862E62" w:rsidRPr="00B54470" w:rsidRDefault="00862E62" w:rsidP="001518AB">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r w:rsidR="00862E62" w:rsidRPr="00B54470" w14:paraId="0959F15E" w14:textId="77777777" w:rsidTr="001518AB">
        <w:trPr>
          <w:cantSplit/>
          <w:jc w:val="center"/>
        </w:trPr>
        <w:tc>
          <w:tcPr>
            <w:tcW w:w="6054" w:type="dxa"/>
            <w:vAlign w:val="center"/>
          </w:tcPr>
          <w:p w14:paraId="7C5C89A4" w14:textId="77777777" w:rsidR="00862E62" w:rsidRPr="00B54470" w:rsidRDefault="00862E62" w:rsidP="00224D85">
            <w:pPr>
              <w:rPr>
                <w:rFonts w:ascii="Times New Roman" w:hAnsi="Times New Roman" w:cs="Times New Roman"/>
                <w:sz w:val="24"/>
                <w:szCs w:val="24"/>
                <w:lang w:val="hr-HR"/>
              </w:rPr>
            </w:pPr>
            <w:r w:rsidRPr="00B54470">
              <w:rPr>
                <w:rFonts w:ascii="Times New Roman" w:hAnsi="Times New Roman" w:cs="Times New Roman"/>
                <w:sz w:val="24"/>
                <w:szCs w:val="24"/>
                <w:lang w:val="hr-HR"/>
              </w:rPr>
              <w:t>Mjera 31. Sustav automatske UI ocjene stanja kolnika i prediktivnog upravljanja održavanjem mreže županijskih i lokalnih cesta na području Zagrebačke županije</w:t>
            </w:r>
          </w:p>
        </w:tc>
        <w:tc>
          <w:tcPr>
            <w:tcW w:w="2126" w:type="dxa"/>
            <w:vAlign w:val="center"/>
          </w:tcPr>
          <w:p w14:paraId="051950D8" w14:textId="77777777" w:rsidR="00862E62" w:rsidRPr="00B54470" w:rsidRDefault="00862E62" w:rsidP="00224D85">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MMPI</w:t>
            </w:r>
          </w:p>
        </w:tc>
        <w:tc>
          <w:tcPr>
            <w:tcW w:w="1985" w:type="dxa"/>
            <w:vAlign w:val="center"/>
          </w:tcPr>
          <w:p w14:paraId="373F101D" w14:textId="77777777" w:rsidR="00862E62" w:rsidRPr="00B54470" w:rsidRDefault="00862E62" w:rsidP="00224D85">
            <w:pPr>
              <w:jc w:val="center"/>
              <w:rPr>
                <w:rFonts w:ascii="Times New Roman" w:hAnsi="Times New Roman" w:cs="Times New Roman"/>
                <w:sz w:val="24"/>
                <w:szCs w:val="24"/>
                <w:lang w:val="hr-HR"/>
              </w:rPr>
            </w:pPr>
            <w:r w:rsidRPr="00B54470">
              <w:rPr>
                <w:rFonts w:ascii="Times New Roman" w:hAnsi="Times New Roman" w:cs="Times New Roman"/>
                <w:sz w:val="24"/>
                <w:szCs w:val="24"/>
                <w:lang w:val="hr-HR"/>
              </w:rPr>
              <w:t>Q4 2028.</w:t>
            </w:r>
          </w:p>
        </w:tc>
      </w:tr>
    </w:tbl>
    <w:p w14:paraId="0FFC890F" w14:textId="77777777" w:rsidR="00A52ABC" w:rsidRDefault="00A52ABC" w:rsidP="00A52ABC">
      <w:pPr>
        <w:pStyle w:val="Naslov2"/>
        <w:keepNext w:val="0"/>
        <w:keepLines w:val="0"/>
        <w:widowControl w:val="0"/>
        <w:tabs>
          <w:tab w:val="left" w:pos="621"/>
        </w:tabs>
        <w:autoSpaceDE w:val="0"/>
        <w:autoSpaceDN w:val="0"/>
        <w:spacing w:before="0" w:after="240" w:line="240" w:lineRule="auto"/>
        <w:rPr>
          <w:rFonts w:ascii="Times New Roman" w:eastAsia="Times New Roman" w:hAnsi="Times New Roman" w:cs="Times New Roman"/>
          <w:b/>
          <w:bCs/>
          <w:color w:val="auto"/>
          <w:sz w:val="24"/>
          <w:szCs w:val="24"/>
          <w:lang w:val="hr-HR"/>
        </w:rPr>
      </w:pPr>
    </w:p>
    <w:p w14:paraId="2B029D2F" w14:textId="77777777" w:rsidR="00E33A96" w:rsidRDefault="00E33A96">
      <w:pPr>
        <w:spacing w:after="160" w:line="259" w:lineRule="auto"/>
        <w:rPr>
          <w:rFonts w:ascii="Times New Roman" w:eastAsia="Times New Roman" w:hAnsi="Times New Roman" w:cs="Times New Roman"/>
          <w:b/>
          <w:bCs/>
          <w:sz w:val="24"/>
          <w:szCs w:val="24"/>
          <w:lang w:val="hr-HR"/>
        </w:rPr>
      </w:pPr>
      <w:r>
        <w:rPr>
          <w:rFonts w:ascii="Times New Roman" w:eastAsia="Times New Roman" w:hAnsi="Times New Roman" w:cs="Times New Roman"/>
          <w:b/>
          <w:bCs/>
          <w:sz w:val="24"/>
          <w:szCs w:val="24"/>
          <w:lang w:val="hr-HR"/>
        </w:rPr>
        <w:br w:type="page"/>
      </w:r>
    </w:p>
    <w:p w14:paraId="2D339874" w14:textId="18FFDE5F" w:rsidR="007141AB" w:rsidRPr="00A609CA" w:rsidRDefault="00465326" w:rsidP="00A52ABC">
      <w:pPr>
        <w:pStyle w:val="Naslov2"/>
        <w:keepNext w:val="0"/>
        <w:keepLines w:val="0"/>
        <w:widowControl w:val="0"/>
        <w:numPr>
          <w:ilvl w:val="0"/>
          <w:numId w:val="1"/>
        </w:numPr>
        <w:tabs>
          <w:tab w:val="left" w:pos="621"/>
        </w:tabs>
        <w:autoSpaceDE w:val="0"/>
        <w:autoSpaceDN w:val="0"/>
        <w:spacing w:before="58" w:after="240" w:line="240" w:lineRule="auto"/>
        <w:ind w:hanging="480"/>
        <w:rPr>
          <w:rFonts w:ascii="Times New Roman" w:eastAsia="Times New Roman" w:hAnsi="Times New Roman" w:cs="Times New Roman"/>
          <w:b/>
          <w:bCs/>
          <w:color w:val="auto"/>
          <w:sz w:val="24"/>
          <w:szCs w:val="24"/>
          <w:lang w:val="hr-HR"/>
        </w:rPr>
      </w:pPr>
      <w:bookmarkStart w:id="81" w:name="_Toc242947285"/>
      <w:r>
        <w:rPr>
          <w:rFonts w:ascii="Times New Roman" w:eastAsia="Times New Roman" w:hAnsi="Times New Roman" w:cs="Times New Roman"/>
          <w:b/>
          <w:bCs/>
          <w:color w:val="auto"/>
          <w:sz w:val="24"/>
          <w:szCs w:val="24"/>
          <w:lang w:val="hr-HR"/>
        </w:rPr>
        <w:lastRenderedPageBreak/>
        <w:t>Indikativni financijski plan</w:t>
      </w:r>
      <w:bookmarkEnd w:id="78"/>
      <w:bookmarkEnd w:id="81"/>
    </w:p>
    <w:p w14:paraId="6E28DBAC" w14:textId="0A90E7A0" w:rsidR="007141AB" w:rsidRPr="00A609CA" w:rsidRDefault="00E95173" w:rsidP="007141AB">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82" w:name="_Toc236064856"/>
      <w:bookmarkStart w:id="83" w:name="_Toc242947286"/>
      <w:r>
        <w:rPr>
          <w:rFonts w:ascii="Times New Roman" w:eastAsia="Times New Roman" w:hAnsi="Times New Roman" w:cs="Times New Roman"/>
          <w:b/>
          <w:bCs/>
          <w:color w:val="auto"/>
          <w:lang w:val="hr-HR"/>
        </w:rPr>
        <w:t>6</w:t>
      </w:r>
      <w:r w:rsidR="007141AB">
        <w:rPr>
          <w:rFonts w:ascii="Times New Roman" w:eastAsia="Times New Roman" w:hAnsi="Times New Roman" w:cs="Times New Roman"/>
          <w:b/>
          <w:bCs/>
          <w:color w:val="auto"/>
          <w:lang w:val="hr-HR"/>
        </w:rPr>
        <w:t>.1. Indikativna raspodjela sredstava i izvori financiranja</w:t>
      </w:r>
      <w:bookmarkEnd w:id="82"/>
      <w:bookmarkEnd w:id="83"/>
    </w:p>
    <w:p w14:paraId="604C5D8E" w14:textId="77777777" w:rsidR="00181624" w:rsidRDefault="00181624" w:rsidP="00224D85">
      <w:pPr>
        <w:pStyle w:val="Tijeloteksta"/>
        <w:spacing w:before="301" w:line="276" w:lineRule="auto"/>
        <w:ind w:right="283"/>
        <w:jc w:val="both"/>
      </w:pPr>
      <w:r w:rsidRPr="00181624">
        <w:t>Za provedbu Nacionalnog plana u razdoblju od 2026. do 2032. godine indikativno je predviđeno ukupno 932.077.068 eura. Prvim akcijskim planom za razdoblje od 2026. do 2028. godine planirana su sredstva u iznosu od 382.077.068 eura, odnosno približno 41,0 % ukupnog financijskog okvira. Za Drugi akcijski plan za razdoblje od 2029. do 2032. godine indikativno je predviđeno 550.000.000 eura, odnosno 59,0 % ukupnog iznosa.</w:t>
      </w:r>
    </w:p>
    <w:p w14:paraId="001A0265" w14:textId="77777777" w:rsidR="001E38B6" w:rsidRDefault="001E38B6" w:rsidP="00224D85">
      <w:pPr>
        <w:pStyle w:val="Tijeloteksta"/>
        <w:spacing w:before="301" w:line="276" w:lineRule="auto"/>
        <w:ind w:right="283"/>
        <w:jc w:val="both"/>
      </w:pPr>
      <w:r w:rsidRPr="001E38B6">
        <w:t>Veći iznos predviđen za drugo provedbeno razdoblje odražava očekivano proširenje opsega mjera nakon uspostave početnih infrastrukturnih, podatkovnih, regulatornih i institucionalnih preduvjeta. Indikativna sredstva za razdoblje od 2029. do 2032. godine veća su za približno 167,9 milijuna eura u odnosu na Prvi akcijski plan, a njihova će se konačna visina i raspodjela utvrditi pri izradi Drugog akcijskog plana.</w:t>
      </w:r>
    </w:p>
    <w:p w14:paraId="37889453" w14:textId="77777777" w:rsidR="001E38B6" w:rsidRDefault="001E38B6" w:rsidP="00224D85">
      <w:pPr>
        <w:pStyle w:val="Tijeloteksta"/>
        <w:spacing w:before="301" w:line="276" w:lineRule="auto"/>
        <w:ind w:right="283"/>
        <w:jc w:val="both"/>
      </w:pPr>
      <w:r w:rsidRPr="001E38B6">
        <w:t>Najveći dio ukupnih sredstava, 498.627.383 eura, odnosno 53,5 %, usmjerava se na Posebni cilj 4. za poticanje istraživanja, inovacija, razvoja i primjene UI-ja u gospodarstvu. Sredstva su namijenjena jačanju istraživačkih i inovacijskih kapaciteta, prijenosu tehnologije, potpori poduzećima, razvoju i skaliranju UI rješenja te uključivanju hrvatskih dionika u europske tehnološke inicijative i lance vrijednosti.</w:t>
      </w:r>
    </w:p>
    <w:p w14:paraId="46B88DA2" w14:textId="77777777" w:rsidR="001E38B6" w:rsidRDefault="001E38B6" w:rsidP="00224D85">
      <w:pPr>
        <w:pStyle w:val="Tijeloteksta"/>
        <w:spacing w:before="301" w:line="276" w:lineRule="auto"/>
        <w:ind w:right="283"/>
        <w:jc w:val="both"/>
      </w:pPr>
      <w:r w:rsidRPr="001E38B6">
        <w:t>Za Posebni cilj 2. koji se odnosi na osiguravanje suverene, sigurne i otporne računalne infrastrukture i podataka predviđeno je 260.180.223 eura, odnosno 27,9 % ukupnih sredstava. Zajedno s ulaganjima u istraživanje, inovacije i gospodarsku primjenu, na Posebne ciljeve 2. i 4. odnosi se približno 81,4 % ukupnog financijskog okvira. Takva raspodjela istodobno podupire razvoj tehnološke osnove i njezino korištenje za stvaranje gospodarske i javne vrijednosti.</w:t>
      </w:r>
    </w:p>
    <w:p w14:paraId="342E11C5" w14:textId="77777777" w:rsidR="00487AB0" w:rsidRDefault="00487AB0" w:rsidP="00224D85">
      <w:pPr>
        <w:pStyle w:val="Tijeloteksta"/>
        <w:spacing w:before="301" w:line="276" w:lineRule="auto"/>
        <w:ind w:right="283"/>
        <w:jc w:val="both"/>
      </w:pPr>
      <w:r w:rsidRPr="00487AB0">
        <w:t>Za Posebni cilj 1. za osnaživanje ljudskih potencijala predviđeno je 115.276.493 eura, odnosno 12,4 % ukupnih sredstava. Za Posebni cilj 3. koji se odnosi na uspostavu sustava etične i zakonite primjene UI-ja predviđeno je 57.992.969 eura, odnosno 6,2 % ukupnih sredstava. Iako financijski najmanji, Posebni cilj 3. ima horizontalnu ulogu jer uspostavlja pravne, institucionalne i upravljačke preduvjete za pouzdanu primjenu UI-ja u svim područjima Nacionalnog plana.</w:t>
      </w:r>
    </w:p>
    <w:p w14:paraId="28DC408F" w14:textId="4CB95B7F" w:rsidR="00B709C1" w:rsidRPr="00566698" w:rsidRDefault="00224D85" w:rsidP="00224D85">
      <w:pPr>
        <w:pStyle w:val="Tijeloteksta"/>
        <w:spacing w:before="301" w:line="276" w:lineRule="auto"/>
        <w:ind w:right="283"/>
        <w:jc w:val="both"/>
      </w:pPr>
      <w:r>
        <w:t>Tablica udjela</w:t>
      </w:r>
      <w:r w:rsidR="00B709C1">
        <w:t xml:space="preserve"> ulaganja prema posebnim ciljevima</w:t>
      </w:r>
      <w:r>
        <w:t>:</w:t>
      </w:r>
    </w:p>
    <w:tbl>
      <w:tblPr>
        <w:tblStyle w:val="Obinatablica1"/>
        <w:tblW w:w="0" w:type="auto"/>
        <w:tblLook w:val="04A0" w:firstRow="1" w:lastRow="0" w:firstColumn="1" w:lastColumn="0" w:noHBand="0" w:noVBand="1"/>
      </w:tblPr>
      <w:tblGrid>
        <w:gridCol w:w="5686"/>
        <w:gridCol w:w="2668"/>
        <w:gridCol w:w="2364"/>
      </w:tblGrid>
      <w:tr w:rsidR="00B709C1" w:rsidRPr="000F52A7" w14:paraId="046AE1DD" w14:textId="77777777" w:rsidTr="00294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57702" w14:textId="5B11F5EE" w:rsidR="00B709C1" w:rsidRPr="000F52A7" w:rsidRDefault="00B709C1" w:rsidP="002948A2">
            <w:pPr>
              <w:spacing w:after="0"/>
              <w:jc w:val="center"/>
              <w:rPr>
                <w:rFonts w:ascii="Times New Roman" w:hAnsi="Times New Roman" w:cs="Times New Roman"/>
                <w:sz w:val="24"/>
                <w:szCs w:val="28"/>
                <w:lang w:val="hr-HR"/>
              </w:rPr>
            </w:pPr>
            <w:r>
              <w:rPr>
                <w:rFonts w:ascii="Times New Roman" w:hAnsi="Times New Roman" w:cs="Times New Roman"/>
                <w:sz w:val="24"/>
                <w:szCs w:val="28"/>
                <w:lang w:val="hr-HR"/>
              </w:rPr>
              <w:t xml:space="preserve">Posebni cilj </w:t>
            </w:r>
          </w:p>
        </w:tc>
        <w:tc>
          <w:tcPr>
            <w:tcW w:w="0" w:type="auto"/>
            <w:hideMark/>
          </w:tcPr>
          <w:p w14:paraId="7AD33F05" w14:textId="77777777" w:rsidR="00B709C1" w:rsidRPr="000F52A7" w:rsidRDefault="00B709C1" w:rsidP="002948A2">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lang w:val="hr-HR"/>
              </w:rPr>
            </w:pPr>
            <w:r>
              <w:rPr>
                <w:rFonts w:ascii="Times New Roman" w:hAnsi="Times New Roman" w:cs="Times New Roman"/>
                <w:sz w:val="24"/>
                <w:szCs w:val="28"/>
                <w:lang w:val="hr-HR"/>
              </w:rPr>
              <w:t xml:space="preserve">Ukupno indikativno 2026.–2032. </w:t>
            </w:r>
          </w:p>
          <w:p w14:paraId="1525A4F8" w14:textId="77777777" w:rsidR="00B709C1" w:rsidRPr="000F52A7" w:rsidRDefault="00B709C1" w:rsidP="002948A2">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lang w:val="hr-HR"/>
              </w:rPr>
            </w:pPr>
            <w:r>
              <w:rPr>
                <w:rFonts w:ascii="Times New Roman" w:hAnsi="Times New Roman" w:cs="Times New Roman"/>
                <w:sz w:val="24"/>
                <w:szCs w:val="28"/>
                <w:lang w:val="hr-HR"/>
              </w:rPr>
              <w:t>(EUR)</w:t>
            </w:r>
          </w:p>
        </w:tc>
        <w:tc>
          <w:tcPr>
            <w:tcW w:w="0" w:type="auto"/>
            <w:hideMark/>
          </w:tcPr>
          <w:p w14:paraId="26A0DDD4" w14:textId="23DC3673" w:rsidR="00B709C1" w:rsidRPr="000F52A7" w:rsidRDefault="00B709C1" w:rsidP="007C7E59">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8"/>
                <w:lang w:val="hr-HR"/>
              </w:rPr>
            </w:pPr>
            <w:r>
              <w:rPr>
                <w:rFonts w:ascii="Times New Roman" w:hAnsi="Times New Roman" w:cs="Times New Roman"/>
                <w:sz w:val="24"/>
                <w:szCs w:val="28"/>
                <w:lang w:val="hr-HR"/>
              </w:rPr>
              <w:t xml:space="preserve">Udio u ukupnim sredstvima </w:t>
            </w:r>
          </w:p>
        </w:tc>
      </w:tr>
      <w:tr w:rsidR="00B709C1" w:rsidRPr="00566698" w14:paraId="1D8167F9" w14:textId="77777777" w:rsidTr="00294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79894" w14:textId="77777777" w:rsidR="00B709C1" w:rsidRPr="000F52A7" w:rsidRDefault="00B709C1" w:rsidP="002948A2">
            <w:pPr>
              <w:spacing w:after="0"/>
              <w:rPr>
                <w:rFonts w:ascii="Times New Roman" w:hAnsi="Times New Roman" w:cs="Times New Roman"/>
                <w:b w:val="0"/>
                <w:bCs w:val="0"/>
                <w:sz w:val="24"/>
                <w:szCs w:val="28"/>
                <w:lang w:val="hr-HR"/>
              </w:rPr>
            </w:pPr>
            <w:r>
              <w:rPr>
                <w:rFonts w:ascii="Times New Roman" w:hAnsi="Times New Roman" w:cs="Times New Roman"/>
                <w:b w:val="0"/>
                <w:bCs w:val="0"/>
                <w:sz w:val="24"/>
                <w:szCs w:val="28"/>
                <w:lang w:val="hr-HR"/>
              </w:rPr>
              <w:t>Posebni cilj 1. Osnažiti ljudske potencijale za razvoj i primjenu UI-ja</w:t>
            </w:r>
          </w:p>
        </w:tc>
        <w:tc>
          <w:tcPr>
            <w:tcW w:w="0" w:type="auto"/>
            <w:hideMark/>
          </w:tcPr>
          <w:p w14:paraId="08552F93" w14:textId="676BCEC4" w:rsidR="00B709C1" w:rsidRPr="000F52A7" w:rsidRDefault="006B171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hr-HR"/>
              </w:rPr>
            </w:pPr>
            <w:r w:rsidRPr="006B1711">
              <w:rPr>
                <w:rFonts w:ascii="Times New Roman" w:hAnsi="Times New Roman" w:cs="Times New Roman"/>
                <w:sz w:val="24"/>
                <w:szCs w:val="24"/>
              </w:rPr>
              <w:t>115.276.493</w:t>
            </w:r>
          </w:p>
        </w:tc>
        <w:tc>
          <w:tcPr>
            <w:tcW w:w="0" w:type="auto"/>
            <w:hideMark/>
          </w:tcPr>
          <w:p w14:paraId="470ECAA8" w14:textId="106AFEA8" w:rsidR="00B709C1" w:rsidRPr="000F52A7" w:rsidRDefault="008747C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hr-HR"/>
              </w:rPr>
            </w:pPr>
            <w:r w:rsidRPr="008747C1">
              <w:rPr>
                <w:rFonts w:ascii="Times New Roman" w:hAnsi="Times New Roman" w:cs="Times New Roman"/>
                <w:sz w:val="24"/>
                <w:szCs w:val="24"/>
              </w:rPr>
              <w:t>12,4 %</w:t>
            </w:r>
          </w:p>
        </w:tc>
      </w:tr>
      <w:tr w:rsidR="00B709C1" w:rsidRPr="00566698" w14:paraId="6C028D53" w14:textId="77777777" w:rsidTr="002948A2">
        <w:tc>
          <w:tcPr>
            <w:cnfStyle w:val="001000000000" w:firstRow="0" w:lastRow="0" w:firstColumn="1" w:lastColumn="0" w:oddVBand="0" w:evenVBand="0" w:oddHBand="0" w:evenHBand="0" w:firstRowFirstColumn="0" w:firstRowLastColumn="0" w:lastRowFirstColumn="0" w:lastRowLastColumn="0"/>
            <w:tcW w:w="0" w:type="auto"/>
            <w:hideMark/>
          </w:tcPr>
          <w:p w14:paraId="087E863D" w14:textId="6B55323C" w:rsidR="00B709C1" w:rsidRPr="000F52A7" w:rsidRDefault="00B709C1" w:rsidP="002948A2">
            <w:pPr>
              <w:spacing w:after="0"/>
              <w:rPr>
                <w:rFonts w:ascii="Times New Roman" w:hAnsi="Times New Roman" w:cs="Times New Roman"/>
                <w:b w:val="0"/>
                <w:bCs w:val="0"/>
                <w:sz w:val="24"/>
                <w:szCs w:val="28"/>
                <w:lang w:val="hr-HR"/>
              </w:rPr>
            </w:pPr>
            <w:r>
              <w:rPr>
                <w:rFonts w:ascii="Times New Roman" w:hAnsi="Times New Roman" w:cs="Times New Roman"/>
                <w:b w:val="0"/>
                <w:bCs w:val="0"/>
                <w:sz w:val="24"/>
                <w:szCs w:val="28"/>
                <w:lang w:val="hr-HR"/>
              </w:rPr>
              <w:t>Posebni cilj 2. Osigurati suverenu, sigurnu i otpornu računalnu infrastrukturu i podatke</w:t>
            </w:r>
          </w:p>
        </w:tc>
        <w:tc>
          <w:tcPr>
            <w:tcW w:w="0" w:type="auto"/>
            <w:hideMark/>
          </w:tcPr>
          <w:p w14:paraId="78F09046" w14:textId="7C287A9E" w:rsidR="00B709C1" w:rsidRPr="000F52A7" w:rsidRDefault="006B1711" w:rsidP="002948A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hr-HR"/>
              </w:rPr>
            </w:pPr>
            <w:r w:rsidRPr="006B1711">
              <w:rPr>
                <w:rFonts w:ascii="Times New Roman" w:hAnsi="Times New Roman" w:cs="Times New Roman"/>
                <w:sz w:val="24"/>
                <w:szCs w:val="24"/>
              </w:rPr>
              <w:t>260.180.223</w:t>
            </w:r>
          </w:p>
        </w:tc>
        <w:tc>
          <w:tcPr>
            <w:tcW w:w="0" w:type="auto"/>
            <w:hideMark/>
          </w:tcPr>
          <w:p w14:paraId="3FDBBD86" w14:textId="0169A73E" w:rsidR="00B709C1" w:rsidRPr="000F52A7" w:rsidRDefault="00B709C1" w:rsidP="002948A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hr-HR"/>
              </w:rPr>
            </w:pPr>
            <w:r>
              <w:rPr>
                <w:rFonts w:ascii="Times New Roman" w:hAnsi="Times New Roman" w:cs="Times New Roman"/>
                <w:sz w:val="24"/>
                <w:szCs w:val="24"/>
              </w:rPr>
              <w:t>2</w:t>
            </w:r>
            <w:r w:rsidR="008747C1">
              <w:rPr>
                <w:rFonts w:ascii="Times New Roman" w:hAnsi="Times New Roman" w:cs="Times New Roman"/>
                <w:sz w:val="24"/>
                <w:szCs w:val="24"/>
              </w:rPr>
              <w:t>7</w:t>
            </w:r>
            <w:r>
              <w:rPr>
                <w:rFonts w:ascii="Times New Roman" w:hAnsi="Times New Roman" w:cs="Times New Roman"/>
                <w:sz w:val="24"/>
                <w:szCs w:val="24"/>
              </w:rPr>
              <w:t>,</w:t>
            </w:r>
            <w:r w:rsidR="008747C1">
              <w:rPr>
                <w:rFonts w:ascii="Times New Roman" w:hAnsi="Times New Roman" w:cs="Times New Roman"/>
                <w:sz w:val="24"/>
                <w:szCs w:val="24"/>
              </w:rPr>
              <w:t>9</w:t>
            </w:r>
            <w:r>
              <w:rPr>
                <w:rFonts w:ascii="Times New Roman" w:hAnsi="Times New Roman" w:cs="Times New Roman"/>
                <w:sz w:val="24"/>
                <w:szCs w:val="24"/>
              </w:rPr>
              <w:t>%</w:t>
            </w:r>
          </w:p>
        </w:tc>
      </w:tr>
      <w:tr w:rsidR="00B709C1" w:rsidRPr="00566698" w14:paraId="5BA2EEE0" w14:textId="77777777" w:rsidTr="00294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4AC94" w14:textId="77777777" w:rsidR="00B709C1" w:rsidRPr="000F52A7" w:rsidRDefault="00B709C1" w:rsidP="002948A2">
            <w:pPr>
              <w:spacing w:after="0"/>
              <w:rPr>
                <w:rFonts w:ascii="Times New Roman" w:hAnsi="Times New Roman" w:cs="Times New Roman"/>
                <w:b w:val="0"/>
                <w:bCs w:val="0"/>
                <w:sz w:val="24"/>
                <w:szCs w:val="28"/>
                <w:lang w:val="hr-HR"/>
              </w:rPr>
            </w:pPr>
            <w:r>
              <w:rPr>
                <w:rFonts w:ascii="Times New Roman" w:hAnsi="Times New Roman" w:cs="Times New Roman"/>
                <w:b w:val="0"/>
                <w:bCs w:val="0"/>
                <w:sz w:val="24"/>
                <w:szCs w:val="28"/>
                <w:lang w:val="hr-HR"/>
              </w:rPr>
              <w:t>Posebni cilj 3. Uspostaviti sustav etične i zakonite primjene UI-ja</w:t>
            </w:r>
          </w:p>
        </w:tc>
        <w:tc>
          <w:tcPr>
            <w:tcW w:w="0" w:type="auto"/>
            <w:hideMark/>
          </w:tcPr>
          <w:p w14:paraId="1D8D7452" w14:textId="42B99758" w:rsidR="00B709C1" w:rsidRPr="000F52A7" w:rsidRDefault="008747C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hr-HR"/>
              </w:rPr>
            </w:pPr>
            <w:r w:rsidRPr="008747C1">
              <w:rPr>
                <w:rFonts w:ascii="Times New Roman" w:hAnsi="Times New Roman" w:cs="Times New Roman"/>
                <w:sz w:val="24"/>
                <w:szCs w:val="24"/>
              </w:rPr>
              <w:t>57.992.969</w:t>
            </w:r>
          </w:p>
        </w:tc>
        <w:tc>
          <w:tcPr>
            <w:tcW w:w="0" w:type="auto"/>
            <w:hideMark/>
          </w:tcPr>
          <w:p w14:paraId="56B43D5D" w14:textId="300A8155" w:rsidR="00B709C1" w:rsidRPr="000F52A7" w:rsidRDefault="008747C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hr-HR"/>
              </w:rPr>
            </w:pPr>
            <w:r>
              <w:rPr>
                <w:rFonts w:ascii="Times New Roman" w:hAnsi="Times New Roman" w:cs="Times New Roman"/>
                <w:sz w:val="24"/>
                <w:szCs w:val="24"/>
              </w:rPr>
              <w:t>6</w:t>
            </w:r>
            <w:r w:rsidR="00B709C1">
              <w:rPr>
                <w:rFonts w:ascii="Times New Roman" w:hAnsi="Times New Roman" w:cs="Times New Roman"/>
                <w:sz w:val="24"/>
                <w:szCs w:val="24"/>
              </w:rPr>
              <w:t>,</w:t>
            </w:r>
            <w:r>
              <w:rPr>
                <w:rFonts w:ascii="Times New Roman" w:hAnsi="Times New Roman" w:cs="Times New Roman"/>
                <w:sz w:val="24"/>
                <w:szCs w:val="24"/>
              </w:rPr>
              <w:t>2</w:t>
            </w:r>
            <w:r w:rsidR="00B709C1">
              <w:rPr>
                <w:rFonts w:ascii="Times New Roman" w:hAnsi="Times New Roman" w:cs="Times New Roman"/>
                <w:sz w:val="24"/>
                <w:szCs w:val="24"/>
              </w:rPr>
              <w:t>%</w:t>
            </w:r>
          </w:p>
        </w:tc>
      </w:tr>
      <w:tr w:rsidR="00B709C1" w:rsidRPr="00566698" w14:paraId="5890B2DF" w14:textId="77777777" w:rsidTr="002948A2">
        <w:tc>
          <w:tcPr>
            <w:cnfStyle w:val="001000000000" w:firstRow="0" w:lastRow="0" w:firstColumn="1" w:lastColumn="0" w:oddVBand="0" w:evenVBand="0" w:oddHBand="0" w:evenHBand="0" w:firstRowFirstColumn="0" w:firstRowLastColumn="0" w:lastRowFirstColumn="0" w:lastRowLastColumn="0"/>
            <w:tcW w:w="0" w:type="auto"/>
            <w:hideMark/>
          </w:tcPr>
          <w:p w14:paraId="14B2FC44" w14:textId="77777777" w:rsidR="00B709C1" w:rsidRPr="000F52A7" w:rsidRDefault="00B709C1" w:rsidP="002948A2">
            <w:pPr>
              <w:spacing w:after="0"/>
              <w:rPr>
                <w:rFonts w:ascii="Times New Roman" w:hAnsi="Times New Roman" w:cs="Times New Roman"/>
                <w:b w:val="0"/>
                <w:bCs w:val="0"/>
                <w:sz w:val="24"/>
                <w:szCs w:val="28"/>
                <w:lang w:val="hr-HR"/>
              </w:rPr>
            </w:pPr>
            <w:r>
              <w:rPr>
                <w:rFonts w:ascii="Times New Roman" w:hAnsi="Times New Roman" w:cs="Times New Roman"/>
                <w:b w:val="0"/>
                <w:bCs w:val="0"/>
                <w:sz w:val="24"/>
                <w:szCs w:val="28"/>
                <w:lang w:val="hr-HR"/>
              </w:rPr>
              <w:t>Posebni cilj 4. Poticati istraživanje, inovacije, razvoj i primjenu UI-ja u gospodarstvu</w:t>
            </w:r>
          </w:p>
        </w:tc>
        <w:tc>
          <w:tcPr>
            <w:tcW w:w="0" w:type="auto"/>
            <w:hideMark/>
          </w:tcPr>
          <w:p w14:paraId="31847DF8" w14:textId="58E615C9" w:rsidR="00B709C1" w:rsidRPr="000F52A7" w:rsidRDefault="008747C1" w:rsidP="002948A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hr-HR"/>
              </w:rPr>
            </w:pPr>
            <w:r w:rsidRPr="008747C1">
              <w:rPr>
                <w:rFonts w:ascii="Times New Roman" w:hAnsi="Times New Roman" w:cs="Times New Roman"/>
                <w:sz w:val="24"/>
                <w:szCs w:val="24"/>
              </w:rPr>
              <w:t>498.627.383</w:t>
            </w:r>
          </w:p>
        </w:tc>
        <w:tc>
          <w:tcPr>
            <w:tcW w:w="0" w:type="auto"/>
            <w:hideMark/>
          </w:tcPr>
          <w:p w14:paraId="42E14E96" w14:textId="68E0D19F" w:rsidR="00B709C1" w:rsidRPr="000F52A7" w:rsidRDefault="00B709C1" w:rsidP="002948A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hr-HR"/>
              </w:rPr>
            </w:pPr>
            <w:r>
              <w:rPr>
                <w:rFonts w:ascii="Times New Roman" w:hAnsi="Times New Roman" w:cs="Times New Roman"/>
                <w:sz w:val="24"/>
                <w:szCs w:val="24"/>
              </w:rPr>
              <w:t>5</w:t>
            </w:r>
            <w:r w:rsidR="008747C1">
              <w:rPr>
                <w:rFonts w:ascii="Times New Roman" w:hAnsi="Times New Roman" w:cs="Times New Roman"/>
                <w:sz w:val="24"/>
                <w:szCs w:val="24"/>
              </w:rPr>
              <w:t>3</w:t>
            </w:r>
            <w:r>
              <w:rPr>
                <w:rFonts w:ascii="Times New Roman" w:hAnsi="Times New Roman" w:cs="Times New Roman"/>
                <w:sz w:val="24"/>
                <w:szCs w:val="24"/>
              </w:rPr>
              <w:t>,</w:t>
            </w:r>
            <w:r w:rsidR="008747C1">
              <w:rPr>
                <w:rFonts w:ascii="Times New Roman" w:hAnsi="Times New Roman" w:cs="Times New Roman"/>
                <w:sz w:val="24"/>
                <w:szCs w:val="24"/>
              </w:rPr>
              <w:t>5</w:t>
            </w:r>
            <w:r>
              <w:rPr>
                <w:rFonts w:ascii="Times New Roman" w:hAnsi="Times New Roman" w:cs="Times New Roman"/>
                <w:sz w:val="24"/>
                <w:szCs w:val="24"/>
              </w:rPr>
              <w:t>%</w:t>
            </w:r>
          </w:p>
        </w:tc>
      </w:tr>
      <w:tr w:rsidR="00B709C1" w:rsidRPr="000F52A7" w14:paraId="4ECCDDBF" w14:textId="77777777" w:rsidTr="00294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FDD1B" w14:textId="77777777" w:rsidR="00B709C1" w:rsidRPr="000F52A7" w:rsidRDefault="00B709C1" w:rsidP="002948A2">
            <w:pPr>
              <w:spacing w:after="0"/>
              <w:rPr>
                <w:rFonts w:ascii="Times New Roman" w:hAnsi="Times New Roman" w:cs="Times New Roman"/>
                <w:sz w:val="24"/>
                <w:szCs w:val="28"/>
                <w:lang w:val="hr-HR"/>
              </w:rPr>
            </w:pPr>
            <w:r>
              <w:rPr>
                <w:rStyle w:val="Naglaeno"/>
                <w:rFonts w:ascii="Times New Roman" w:hAnsi="Times New Roman" w:cs="Times New Roman"/>
                <w:b/>
                <w:bCs/>
                <w:sz w:val="24"/>
                <w:szCs w:val="28"/>
                <w:lang w:val="hr-HR"/>
              </w:rPr>
              <w:lastRenderedPageBreak/>
              <w:t>UKUPNO</w:t>
            </w:r>
          </w:p>
        </w:tc>
        <w:tc>
          <w:tcPr>
            <w:tcW w:w="0" w:type="auto"/>
            <w:hideMark/>
          </w:tcPr>
          <w:p w14:paraId="65C22C06" w14:textId="77777777" w:rsidR="00B709C1" w:rsidRPr="000F52A7" w:rsidRDefault="00B709C1" w:rsidP="002948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val="hr-HR"/>
              </w:rPr>
            </w:pPr>
            <w:r>
              <w:rPr>
                <w:rFonts w:ascii="Times New Roman" w:hAnsi="Times New Roman" w:cs="Times New Roman"/>
                <w:b/>
                <w:bCs/>
                <w:color w:val="000000"/>
                <w:sz w:val="24"/>
                <w:szCs w:val="24"/>
              </w:rPr>
              <w:t xml:space="preserve">932.077.068   </w:t>
            </w:r>
          </w:p>
          <w:p w14:paraId="651FCC80" w14:textId="77777777" w:rsidR="00B709C1" w:rsidRPr="000F52A7" w:rsidRDefault="00B709C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hr-HR"/>
              </w:rPr>
            </w:pPr>
          </w:p>
        </w:tc>
        <w:tc>
          <w:tcPr>
            <w:tcW w:w="0" w:type="auto"/>
            <w:hideMark/>
          </w:tcPr>
          <w:p w14:paraId="0FF5410A" w14:textId="77777777" w:rsidR="00B709C1" w:rsidRPr="000F52A7" w:rsidRDefault="00B709C1" w:rsidP="002948A2">
            <w:pPr>
              <w:spacing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hr-HR"/>
              </w:rPr>
            </w:pPr>
            <w:r>
              <w:rPr>
                <w:rStyle w:val="Naglaeno"/>
                <w:rFonts w:ascii="Times New Roman" w:hAnsi="Times New Roman" w:cs="Times New Roman"/>
                <w:sz w:val="24"/>
                <w:szCs w:val="24"/>
                <w:lang w:val="hr-HR"/>
              </w:rPr>
              <w:t>100,0 %</w:t>
            </w:r>
          </w:p>
        </w:tc>
      </w:tr>
    </w:tbl>
    <w:p w14:paraId="2463BC4F" w14:textId="092195DC" w:rsidR="00B709C1" w:rsidRPr="006D237E" w:rsidRDefault="00E95173" w:rsidP="00B709C1">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84" w:name="_Toc236064857"/>
      <w:bookmarkStart w:id="85" w:name="_Toc242947287"/>
      <w:r>
        <w:rPr>
          <w:rFonts w:ascii="Times New Roman" w:eastAsia="Times New Roman" w:hAnsi="Times New Roman" w:cs="Times New Roman"/>
          <w:b/>
          <w:bCs/>
          <w:color w:val="auto"/>
          <w:lang w:val="hr-HR"/>
        </w:rPr>
        <w:t>6</w:t>
      </w:r>
      <w:r w:rsidR="00B709C1">
        <w:rPr>
          <w:rFonts w:ascii="Times New Roman" w:eastAsia="Times New Roman" w:hAnsi="Times New Roman" w:cs="Times New Roman"/>
          <w:b/>
          <w:bCs/>
          <w:color w:val="auto"/>
          <w:lang w:val="hr-HR"/>
        </w:rPr>
        <w:t>.2. Financijski okvir Prvog akcijskog plana</w:t>
      </w:r>
      <w:bookmarkEnd w:id="84"/>
      <w:bookmarkEnd w:id="85"/>
    </w:p>
    <w:p w14:paraId="798B4F57" w14:textId="77777777" w:rsidR="00E957F2" w:rsidRDefault="00E957F2" w:rsidP="00224D85">
      <w:pPr>
        <w:pStyle w:val="Tijeloteksta"/>
        <w:spacing w:before="301" w:line="276" w:lineRule="auto"/>
        <w:ind w:right="283"/>
        <w:jc w:val="both"/>
      </w:pPr>
      <w:r w:rsidRPr="00E957F2">
        <w:t>Prvim akcijskim planom za razdoblje od 2026. do 2028. godine planirana su sredstva u ukupnom iznosu od 382.077.068 eura. Najveći dio odnosi se na Posebni cilj 4., s udjelom od 54,3 %, i Posebni cilj 2., s udjelom od 36,4 %. Time se u prvom provedbenom razdoblju naglasak stavlja na pokretanje ulaganja u računalnu i podatkovnu infrastrukturu, istraživanje, inovacije, primjenu UI-ja u gospodarstvu te razvoj početnog portfelja konkretnih rješenja.</w:t>
      </w:r>
    </w:p>
    <w:p w14:paraId="3136FE73" w14:textId="27300DBA" w:rsidR="00AB4E10" w:rsidRDefault="00B709C1" w:rsidP="00224D85">
      <w:pPr>
        <w:pStyle w:val="Tijeloteksta"/>
        <w:spacing w:before="301" w:line="276" w:lineRule="auto"/>
        <w:ind w:right="283"/>
        <w:jc w:val="both"/>
      </w:pPr>
      <w:r>
        <w:t>Godišnja dinamika ulaganja nije ravnomjerna. U 2026. godini planirano je 107.005.483 eura, u 2027. godini 67.599.686 eura, a u 2028. godini 207.471.899 eura. Veći iznos u 2028. godini proizlazi iz očekivane pune provedbe financijskih instrumenata i infrastrukturnih ulaganja te širenja mjera nakon završetka pripremnih, regulatornih i projektnih aktivnosti.</w:t>
      </w:r>
      <w:r w:rsidR="00AB4E10">
        <w:t xml:space="preserve"> </w:t>
      </w:r>
    </w:p>
    <w:p w14:paraId="1218310E" w14:textId="0313FF54" w:rsidR="00B709C1" w:rsidRDefault="00AB4E10" w:rsidP="00224D85">
      <w:pPr>
        <w:pStyle w:val="Tijeloteksta"/>
        <w:spacing w:before="301" w:line="276" w:lineRule="auto"/>
        <w:ind w:right="283"/>
        <w:jc w:val="both"/>
      </w:pPr>
      <w:r w:rsidRPr="00AB4E10">
        <w:t>Kod horizontalnih mjera koje istodobno doprinose ostvarivanju više posebnih ciljeva, pojedine komponente troškova razvrstavaju se prema njihovoj pretežitoj namjeni, uz izbjegavanje dvostrukog financiranja. Tako su tehnička i infrastrukturna komponenta regulatornog izoliranog okruženja planirane u okviru Posebnog cilja 2., dok su regulatorne, stručne, metodološke i organizacijske aktivnosti povezane s njegovim funkcioniranjem obuhvaćene Posebnim ciljem 3.</w:t>
      </w:r>
    </w:p>
    <w:p w14:paraId="451E96B7" w14:textId="66991283" w:rsidR="00B709C1" w:rsidRPr="004B7C88" w:rsidRDefault="00E95173" w:rsidP="00B709C1">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86" w:name="_Toc236064858"/>
      <w:bookmarkStart w:id="87" w:name="_Toc242947288"/>
      <w:r>
        <w:rPr>
          <w:rFonts w:ascii="Times New Roman" w:eastAsia="Times New Roman" w:hAnsi="Times New Roman" w:cs="Times New Roman"/>
          <w:b/>
          <w:bCs/>
          <w:color w:val="auto"/>
          <w:lang w:val="hr-HR"/>
        </w:rPr>
        <w:t>6</w:t>
      </w:r>
      <w:r w:rsidR="00B709C1">
        <w:rPr>
          <w:rFonts w:ascii="Times New Roman" w:eastAsia="Times New Roman" w:hAnsi="Times New Roman" w:cs="Times New Roman"/>
          <w:b/>
          <w:bCs/>
          <w:color w:val="auto"/>
          <w:lang w:val="hr-HR"/>
        </w:rPr>
        <w:t>.3. Izvori financiranja i prilagodba financijskog okvira</w:t>
      </w:r>
      <w:bookmarkEnd w:id="86"/>
      <w:bookmarkEnd w:id="87"/>
    </w:p>
    <w:p w14:paraId="4188BFE6" w14:textId="77777777" w:rsidR="00B709C1" w:rsidRDefault="00B709C1" w:rsidP="00224D85">
      <w:pPr>
        <w:pStyle w:val="Tijeloteksta"/>
        <w:spacing w:before="301" w:line="276" w:lineRule="auto"/>
        <w:ind w:right="283"/>
        <w:jc w:val="both"/>
      </w:pPr>
      <w:r>
        <w:t>Financiranje Nacionalnog plana osigurat će se kombinacijom sredstava državnog proračuna, fondova i programa Europske unije, financijskih instrumenata, sredstava drugih javnih tijela te, gdje je primjenjivo, privatnih ulaganja i javno-privatne suradnje. Izvori financiranja, nositelji, rokovi i procijenjeni troškovi pojedinih mjera Prvog akcijskog plana detaljno su utvrđeni u tom provedbenom dokumentu.</w:t>
      </w:r>
    </w:p>
    <w:p w14:paraId="3636B718" w14:textId="3F01E89D" w:rsidR="00B709C1" w:rsidRDefault="00B709C1" w:rsidP="00224D85">
      <w:pPr>
        <w:pStyle w:val="Tijeloteksta"/>
        <w:spacing w:before="301" w:line="276" w:lineRule="auto"/>
        <w:ind w:right="283"/>
        <w:jc w:val="both"/>
      </w:pPr>
      <w:r>
        <w:t xml:space="preserve">Dio sredstava za Prvi akcijski plan već je osiguran ili planiran u državnom proračunu i važećim financijskim planovima nadležnih tijela. Preostala sredstva, kao i sredstva za razdoblje </w:t>
      </w:r>
      <w:r w:rsidR="00F41F8B">
        <w:t xml:space="preserve">od </w:t>
      </w:r>
      <w:r>
        <w:t>2029.</w:t>
      </w:r>
      <w:r w:rsidR="00F41F8B">
        <w:t xml:space="preserve"> do </w:t>
      </w:r>
      <w:r>
        <w:t>2032.</w:t>
      </w:r>
      <w:r w:rsidR="00F41F8B">
        <w:t xml:space="preserve"> godine</w:t>
      </w:r>
      <w:r>
        <w:t>, planiraju se osiguravati kroz buduće proračunske cikluse, novi višegodišnji financijski okvir Europske unije, Nacionalni i regionalni partnerski plan te druge raspoložive europske i nacionalne programe i instrumente.</w:t>
      </w:r>
    </w:p>
    <w:p w14:paraId="6C1AD3B5" w14:textId="77777777" w:rsidR="00B709C1" w:rsidRDefault="00B709C1" w:rsidP="00224D85">
      <w:pPr>
        <w:pStyle w:val="Tijeloteksta"/>
        <w:spacing w:before="301" w:line="276" w:lineRule="auto"/>
        <w:ind w:right="283"/>
        <w:jc w:val="both"/>
      </w:pPr>
      <w:r>
        <w:t>Indikativni financijski okvir za Drugi akcijski plan iznosi 550.000.000 eura. Najveći dio predviđen je za daljnje poticanje istraživanja, inovacija i gospodarske primjene UI-ja, širenje ključnih područja primjene, razvoj ljudskih potencijala te nastavak ulaganja u infrastrukturu, podatke i odgovorno upravljanje UI-jem.</w:t>
      </w:r>
    </w:p>
    <w:p w14:paraId="5C38A53D" w14:textId="31A635C8" w:rsidR="00B709C1" w:rsidRDefault="00224D85" w:rsidP="00224D85">
      <w:pPr>
        <w:pStyle w:val="Tijeloteksta"/>
        <w:spacing w:before="301" w:line="276" w:lineRule="auto"/>
        <w:ind w:right="283"/>
        <w:jc w:val="both"/>
      </w:pPr>
      <w:r>
        <w:t>Tablica i</w:t>
      </w:r>
      <w:r w:rsidR="00B709C1">
        <w:t>ndikativn</w:t>
      </w:r>
      <w:r>
        <w:t>ih</w:t>
      </w:r>
      <w:r w:rsidR="00B709C1">
        <w:t xml:space="preserve"> sredst</w:t>
      </w:r>
      <w:r>
        <w:t>a</w:t>
      </w:r>
      <w:r w:rsidR="00B709C1">
        <w:t xml:space="preserve">va za provedbu Nacionalnog plana i </w:t>
      </w:r>
      <w:r w:rsidR="00F41F8B">
        <w:t>a</w:t>
      </w:r>
      <w:r w:rsidR="00B709C1">
        <w:t>kcijskih planova provedbe</w:t>
      </w:r>
      <w:r>
        <w:t>:</w:t>
      </w:r>
    </w:p>
    <w:tbl>
      <w:tblPr>
        <w:tblStyle w:val="Obinatablica1"/>
        <w:tblW w:w="10768" w:type="dxa"/>
        <w:tblLayout w:type="fixed"/>
        <w:tblLook w:val="04A0" w:firstRow="1" w:lastRow="0" w:firstColumn="1" w:lastColumn="0" w:noHBand="0" w:noVBand="1"/>
      </w:tblPr>
      <w:tblGrid>
        <w:gridCol w:w="3539"/>
        <w:gridCol w:w="2409"/>
        <w:gridCol w:w="2410"/>
        <w:gridCol w:w="2410"/>
      </w:tblGrid>
      <w:tr w:rsidR="00B709C1" w:rsidRPr="00B00110" w14:paraId="3107C322" w14:textId="77777777" w:rsidTr="002948A2">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3539" w:type="dxa"/>
            <w:hideMark/>
          </w:tcPr>
          <w:p w14:paraId="0427F0F4" w14:textId="71E78CD0" w:rsidR="00B709C1" w:rsidRPr="00B00110" w:rsidRDefault="00B709C1" w:rsidP="002948A2">
            <w:pPr>
              <w:spacing w:after="0" w:line="240" w:lineRule="auto"/>
              <w:jc w:val="center"/>
              <w:rPr>
                <w:rFonts w:ascii="Times New Roman" w:eastAsia="Times New Roman" w:hAnsi="Times New Roman" w:cs="Times New Roman"/>
                <w:color w:val="1F1F1F"/>
                <w:sz w:val="24"/>
                <w:szCs w:val="24"/>
                <w:lang w:val="hr-HR" w:eastAsia="hr-HR"/>
              </w:rPr>
            </w:pPr>
            <w:r>
              <w:rPr>
                <w:rFonts w:ascii="Times New Roman" w:eastAsia="Times New Roman" w:hAnsi="Times New Roman" w:cs="Times New Roman"/>
                <w:color w:val="1F1F1F"/>
                <w:sz w:val="24"/>
                <w:szCs w:val="24"/>
                <w:lang w:val="hr-HR" w:eastAsia="hr-HR"/>
              </w:rPr>
              <w:t xml:space="preserve">Posebni cilj </w:t>
            </w:r>
          </w:p>
        </w:tc>
        <w:tc>
          <w:tcPr>
            <w:tcW w:w="2409" w:type="dxa"/>
            <w:hideMark/>
          </w:tcPr>
          <w:p w14:paraId="0B536150" w14:textId="77777777" w:rsidR="00B709C1" w:rsidRPr="00B00110" w:rsidRDefault="00B709C1" w:rsidP="002948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hr-HR" w:eastAsia="hr-HR"/>
              </w:rPr>
            </w:pPr>
            <w:r>
              <w:rPr>
                <w:rFonts w:ascii="Times New Roman" w:eastAsia="Times New Roman" w:hAnsi="Times New Roman" w:cs="Times New Roman"/>
                <w:color w:val="1F1F1F"/>
                <w:sz w:val="24"/>
                <w:szCs w:val="24"/>
                <w:lang w:val="hr-HR" w:eastAsia="hr-HR"/>
              </w:rPr>
              <w:t>Prvi akcijski plan provedbe 2026.–2028. (EUR)</w:t>
            </w:r>
          </w:p>
        </w:tc>
        <w:tc>
          <w:tcPr>
            <w:tcW w:w="2410" w:type="dxa"/>
            <w:hideMark/>
          </w:tcPr>
          <w:p w14:paraId="18C8F509" w14:textId="4DC2F8E7" w:rsidR="00B709C1" w:rsidRPr="00CC3742" w:rsidRDefault="00B709C1" w:rsidP="002948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1F1F1F"/>
                <w:sz w:val="24"/>
                <w:szCs w:val="24"/>
                <w:lang w:val="hr-HR" w:eastAsia="hr-HR"/>
              </w:rPr>
            </w:pPr>
            <w:r>
              <w:rPr>
                <w:rFonts w:ascii="Times New Roman" w:eastAsia="Times New Roman" w:hAnsi="Times New Roman" w:cs="Times New Roman"/>
                <w:color w:val="1F1F1F"/>
                <w:sz w:val="24"/>
                <w:szCs w:val="24"/>
                <w:lang w:val="hr-HR" w:eastAsia="hr-HR"/>
              </w:rPr>
              <w:t xml:space="preserve">Drugi akcijski plan provedbe 2029.–2032. </w:t>
            </w:r>
            <w:r w:rsidR="00832977">
              <w:rPr>
                <w:rFonts w:ascii="Times New Roman" w:eastAsia="Times New Roman" w:hAnsi="Times New Roman" w:cs="Times New Roman"/>
                <w:color w:val="1F1F1F"/>
                <w:sz w:val="24"/>
                <w:szCs w:val="24"/>
                <w:lang w:val="hr-HR" w:eastAsia="hr-HR"/>
              </w:rPr>
              <w:t>indikativno</w:t>
            </w:r>
          </w:p>
          <w:p w14:paraId="706D0BDF" w14:textId="77777777" w:rsidR="00B709C1" w:rsidRPr="00B00110" w:rsidRDefault="00B709C1" w:rsidP="002948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hr-HR" w:eastAsia="hr-HR"/>
              </w:rPr>
            </w:pPr>
            <w:r>
              <w:rPr>
                <w:rFonts w:ascii="Times New Roman" w:eastAsia="Times New Roman" w:hAnsi="Times New Roman" w:cs="Times New Roman"/>
                <w:color w:val="1F1F1F"/>
                <w:sz w:val="24"/>
                <w:szCs w:val="24"/>
                <w:lang w:val="hr-HR" w:eastAsia="hr-HR"/>
              </w:rPr>
              <w:t>(EUR)</w:t>
            </w:r>
          </w:p>
        </w:tc>
        <w:tc>
          <w:tcPr>
            <w:tcW w:w="2410" w:type="dxa"/>
            <w:hideMark/>
          </w:tcPr>
          <w:p w14:paraId="226D4D4B" w14:textId="1B2C14E8" w:rsidR="00B709C1" w:rsidRPr="00CC3742" w:rsidRDefault="00B709C1" w:rsidP="002948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1F1F1F"/>
                <w:sz w:val="24"/>
                <w:szCs w:val="24"/>
                <w:lang w:val="hr-HR" w:eastAsia="hr-HR"/>
              </w:rPr>
            </w:pPr>
            <w:r>
              <w:rPr>
                <w:rFonts w:ascii="Times New Roman" w:eastAsia="Times New Roman" w:hAnsi="Times New Roman" w:cs="Times New Roman"/>
                <w:color w:val="1F1F1F"/>
                <w:sz w:val="24"/>
                <w:szCs w:val="24"/>
                <w:lang w:val="hr-HR" w:eastAsia="hr-HR"/>
              </w:rPr>
              <w:t xml:space="preserve">Ukupno 2026.–2032. </w:t>
            </w:r>
            <w:r w:rsidR="00D50D5C">
              <w:rPr>
                <w:rFonts w:ascii="Times New Roman" w:eastAsia="Times New Roman" w:hAnsi="Times New Roman" w:cs="Times New Roman"/>
                <w:color w:val="1F1F1F"/>
                <w:sz w:val="24"/>
                <w:szCs w:val="24"/>
                <w:lang w:val="hr-HR" w:eastAsia="hr-HR"/>
              </w:rPr>
              <w:t>indikativno</w:t>
            </w:r>
          </w:p>
          <w:p w14:paraId="563B03A5" w14:textId="77777777" w:rsidR="00B709C1" w:rsidRPr="00B00110" w:rsidRDefault="00B709C1" w:rsidP="002948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lang w:val="hr-HR" w:eastAsia="hr-HR"/>
              </w:rPr>
            </w:pPr>
            <w:r>
              <w:rPr>
                <w:rFonts w:ascii="Times New Roman" w:eastAsia="Times New Roman" w:hAnsi="Times New Roman" w:cs="Times New Roman"/>
                <w:color w:val="1F1F1F"/>
                <w:sz w:val="24"/>
                <w:szCs w:val="24"/>
                <w:lang w:val="hr-HR" w:eastAsia="hr-HR"/>
              </w:rPr>
              <w:t>(EUR)</w:t>
            </w:r>
          </w:p>
        </w:tc>
      </w:tr>
      <w:tr w:rsidR="003C513E" w:rsidRPr="00067A04" w14:paraId="28A2E0C2" w14:textId="77777777" w:rsidTr="002948A2">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3539" w:type="dxa"/>
            <w:hideMark/>
          </w:tcPr>
          <w:p w14:paraId="11D5C24D" w14:textId="27612484" w:rsidR="003C513E" w:rsidRPr="00067A04" w:rsidRDefault="003C513E" w:rsidP="003C513E">
            <w:pPr>
              <w:spacing w:after="0" w:line="240" w:lineRule="auto"/>
              <w:rPr>
                <w:rFonts w:ascii="Times New Roman" w:eastAsia="Times New Roman" w:hAnsi="Times New Roman" w:cs="Times New Roman"/>
                <w:b w:val="0"/>
                <w:bCs w:val="0"/>
                <w:color w:val="000000"/>
                <w:sz w:val="24"/>
                <w:szCs w:val="28"/>
                <w:lang w:val="hr-HR" w:eastAsia="hr-HR"/>
              </w:rPr>
            </w:pPr>
            <w:r w:rsidRPr="00067A04">
              <w:rPr>
                <w:rFonts w:ascii="Times New Roman" w:hAnsi="Times New Roman" w:cs="Times New Roman"/>
                <w:b w:val="0"/>
                <w:bCs w:val="0"/>
                <w:sz w:val="24"/>
                <w:szCs w:val="28"/>
                <w:lang w:val="hr-HR"/>
              </w:rPr>
              <w:t>Posebni cilj 1. Osnažiti ljudske potencijale za razvoj i primjenu UI-ja</w:t>
            </w:r>
          </w:p>
        </w:tc>
        <w:tc>
          <w:tcPr>
            <w:tcW w:w="2409" w:type="dxa"/>
            <w:hideMark/>
          </w:tcPr>
          <w:p w14:paraId="508BBA5F" w14:textId="4A06609B"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24.026.493</w:t>
            </w:r>
          </w:p>
        </w:tc>
        <w:tc>
          <w:tcPr>
            <w:tcW w:w="2410" w:type="dxa"/>
            <w:hideMark/>
          </w:tcPr>
          <w:p w14:paraId="1B79A368" w14:textId="486B6BEE"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91.250.000</w:t>
            </w:r>
          </w:p>
        </w:tc>
        <w:tc>
          <w:tcPr>
            <w:tcW w:w="2410" w:type="dxa"/>
            <w:hideMark/>
          </w:tcPr>
          <w:p w14:paraId="247E9EE8" w14:textId="2F474B67"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115.276.493</w:t>
            </w:r>
          </w:p>
        </w:tc>
      </w:tr>
      <w:tr w:rsidR="003C513E" w:rsidRPr="00067A04" w14:paraId="62D42DDD" w14:textId="77777777" w:rsidTr="002948A2">
        <w:trPr>
          <w:trHeight w:val="672"/>
        </w:trPr>
        <w:tc>
          <w:tcPr>
            <w:cnfStyle w:val="001000000000" w:firstRow="0" w:lastRow="0" w:firstColumn="1" w:lastColumn="0" w:oddVBand="0" w:evenVBand="0" w:oddHBand="0" w:evenHBand="0" w:firstRowFirstColumn="0" w:firstRowLastColumn="0" w:lastRowFirstColumn="0" w:lastRowLastColumn="0"/>
            <w:tcW w:w="3539" w:type="dxa"/>
            <w:hideMark/>
          </w:tcPr>
          <w:p w14:paraId="0B9527FB" w14:textId="5D63DF75" w:rsidR="003C513E" w:rsidRPr="00067A04" w:rsidRDefault="003C513E" w:rsidP="003C513E">
            <w:pPr>
              <w:spacing w:after="0" w:line="240" w:lineRule="auto"/>
              <w:rPr>
                <w:rFonts w:ascii="Times New Roman" w:eastAsia="Times New Roman" w:hAnsi="Times New Roman" w:cs="Times New Roman"/>
                <w:b w:val="0"/>
                <w:bCs w:val="0"/>
                <w:color w:val="000000"/>
                <w:sz w:val="24"/>
                <w:szCs w:val="28"/>
                <w:lang w:val="hr-HR" w:eastAsia="hr-HR"/>
              </w:rPr>
            </w:pPr>
            <w:r w:rsidRPr="00067A04">
              <w:rPr>
                <w:rFonts w:ascii="Times New Roman" w:hAnsi="Times New Roman" w:cs="Times New Roman"/>
                <w:b w:val="0"/>
                <w:bCs w:val="0"/>
                <w:sz w:val="24"/>
                <w:szCs w:val="28"/>
                <w:lang w:val="hr-HR"/>
              </w:rPr>
              <w:lastRenderedPageBreak/>
              <w:t>Posebni cilj 2. Osigurati suverenu, sigurnu i otpornu računalnu infrastrukturu i podatke</w:t>
            </w:r>
          </w:p>
        </w:tc>
        <w:tc>
          <w:tcPr>
            <w:tcW w:w="2409" w:type="dxa"/>
            <w:hideMark/>
          </w:tcPr>
          <w:p w14:paraId="742B6FD1" w14:textId="6A91120C"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138.930.223</w:t>
            </w:r>
          </w:p>
        </w:tc>
        <w:tc>
          <w:tcPr>
            <w:tcW w:w="2410" w:type="dxa"/>
            <w:hideMark/>
          </w:tcPr>
          <w:p w14:paraId="416DA880" w14:textId="5582E96A"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121.250.000</w:t>
            </w:r>
          </w:p>
        </w:tc>
        <w:tc>
          <w:tcPr>
            <w:tcW w:w="2410" w:type="dxa"/>
            <w:hideMark/>
          </w:tcPr>
          <w:p w14:paraId="26E60ED8" w14:textId="5C2043E5"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260.180.223</w:t>
            </w:r>
          </w:p>
        </w:tc>
      </w:tr>
      <w:tr w:rsidR="003C513E" w:rsidRPr="00067A04" w14:paraId="1ADE89C4" w14:textId="77777777" w:rsidTr="002948A2">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3539" w:type="dxa"/>
            <w:hideMark/>
          </w:tcPr>
          <w:p w14:paraId="00F05660" w14:textId="222CDE40" w:rsidR="003C513E" w:rsidRPr="00067A04" w:rsidRDefault="003C513E" w:rsidP="003C513E">
            <w:pPr>
              <w:spacing w:after="0" w:line="240" w:lineRule="auto"/>
              <w:rPr>
                <w:rFonts w:ascii="Times New Roman" w:eastAsia="Times New Roman" w:hAnsi="Times New Roman" w:cs="Times New Roman"/>
                <w:b w:val="0"/>
                <w:bCs w:val="0"/>
                <w:color w:val="000000"/>
                <w:sz w:val="24"/>
                <w:szCs w:val="28"/>
                <w:lang w:val="hr-HR" w:eastAsia="hr-HR"/>
              </w:rPr>
            </w:pPr>
            <w:r w:rsidRPr="00067A04">
              <w:rPr>
                <w:rFonts w:ascii="Times New Roman" w:hAnsi="Times New Roman" w:cs="Times New Roman"/>
                <w:b w:val="0"/>
                <w:bCs w:val="0"/>
                <w:sz w:val="24"/>
                <w:szCs w:val="28"/>
                <w:lang w:val="hr-HR"/>
              </w:rPr>
              <w:t>Posebni cilj 3. Uspostaviti sustav etične i zakonite primjene UI-ja</w:t>
            </w:r>
          </w:p>
        </w:tc>
        <w:tc>
          <w:tcPr>
            <w:tcW w:w="2409" w:type="dxa"/>
            <w:hideMark/>
          </w:tcPr>
          <w:p w14:paraId="1F2E413F" w14:textId="59215872"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11.742.969</w:t>
            </w:r>
          </w:p>
        </w:tc>
        <w:tc>
          <w:tcPr>
            <w:tcW w:w="2410" w:type="dxa"/>
            <w:hideMark/>
          </w:tcPr>
          <w:p w14:paraId="4C89D359" w14:textId="2B848D06"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46.250.000</w:t>
            </w:r>
          </w:p>
        </w:tc>
        <w:tc>
          <w:tcPr>
            <w:tcW w:w="2410" w:type="dxa"/>
            <w:hideMark/>
          </w:tcPr>
          <w:p w14:paraId="5E7DCAEB" w14:textId="30372ED7" w:rsidR="003C513E" w:rsidRPr="00067A04"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57.992.969</w:t>
            </w:r>
          </w:p>
        </w:tc>
      </w:tr>
      <w:tr w:rsidR="003C513E" w:rsidRPr="00067A04" w14:paraId="3ED8F0D6" w14:textId="77777777" w:rsidTr="002948A2">
        <w:trPr>
          <w:trHeight w:val="672"/>
        </w:trPr>
        <w:tc>
          <w:tcPr>
            <w:cnfStyle w:val="001000000000" w:firstRow="0" w:lastRow="0" w:firstColumn="1" w:lastColumn="0" w:oddVBand="0" w:evenVBand="0" w:oddHBand="0" w:evenHBand="0" w:firstRowFirstColumn="0" w:firstRowLastColumn="0" w:lastRowFirstColumn="0" w:lastRowLastColumn="0"/>
            <w:tcW w:w="3539" w:type="dxa"/>
            <w:hideMark/>
          </w:tcPr>
          <w:p w14:paraId="6657E95C" w14:textId="12854170" w:rsidR="003C513E" w:rsidRPr="00067A04" w:rsidRDefault="003C513E" w:rsidP="003C513E">
            <w:pPr>
              <w:spacing w:after="0" w:line="240" w:lineRule="auto"/>
              <w:rPr>
                <w:rFonts w:ascii="Times New Roman" w:eastAsia="Times New Roman" w:hAnsi="Times New Roman" w:cs="Times New Roman"/>
                <w:b w:val="0"/>
                <w:bCs w:val="0"/>
                <w:color w:val="000000"/>
                <w:sz w:val="24"/>
                <w:szCs w:val="28"/>
                <w:lang w:val="hr-HR" w:eastAsia="hr-HR"/>
              </w:rPr>
            </w:pPr>
            <w:r w:rsidRPr="00067A04">
              <w:rPr>
                <w:rFonts w:ascii="Times New Roman" w:hAnsi="Times New Roman" w:cs="Times New Roman"/>
                <w:b w:val="0"/>
                <w:bCs w:val="0"/>
                <w:sz w:val="24"/>
                <w:szCs w:val="28"/>
                <w:lang w:val="hr-HR"/>
              </w:rPr>
              <w:t>Posebni cilj 4. Poticati istraživanje, inovacije, razvoj i primjenu UI-ja u gospodarstvu</w:t>
            </w:r>
          </w:p>
        </w:tc>
        <w:tc>
          <w:tcPr>
            <w:tcW w:w="2409" w:type="dxa"/>
            <w:hideMark/>
          </w:tcPr>
          <w:p w14:paraId="55A0615C" w14:textId="41609FD3"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207.377.383</w:t>
            </w:r>
          </w:p>
        </w:tc>
        <w:tc>
          <w:tcPr>
            <w:tcW w:w="2410" w:type="dxa"/>
            <w:hideMark/>
          </w:tcPr>
          <w:p w14:paraId="04C3F8B1" w14:textId="5F0C65CE"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291.250.000</w:t>
            </w:r>
          </w:p>
        </w:tc>
        <w:tc>
          <w:tcPr>
            <w:tcW w:w="2410" w:type="dxa"/>
            <w:hideMark/>
          </w:tcPr>
          <w:p w14:paraId="6D2851D9" w14:textId="1E22AFCB" w:rsidR="003C513E" w:rsidRPr="00067A04" w:rsidRDefault="003C513E" w:rsidP="003C513E">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8"/>
                <w:lang w:val="hr-HR" w:eastAsia="hr-HR"/>
              </w:rPr>
            </w:pPr>
            <w:r w:rsidRPr="00067A04">
              <w:rPr>
                <w:rFonts w:ascii="Times New Roman" w:hAnsi="Times New Roman" w:cs="Times New Roman"/>
                <w:sz w:val="24"/>
                <w:szCs w:val="28"/>
                <w:lang w:val="hr-HR"/>
              </w:rPr>
              <w:t>498.627.383</w:t>
            </w:r>
          </w:p>
        </w:tc>
      </w:tr>
      <w:tr w:rsidR="003C513E" w:rsidRPr="003C513E" w14:paraId="6CFC2F46" w14:textId="77777777" w:rsidTr="002948A2">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3539" w:type="dxa"/>
            <w:noWrap/>
            <w:hideMark/>
          </w:tcPr>
          <w:p w14:paraId="15713BA3" w14:textId="35EA84D4" w:rsidR="003C513E" w:rsidRPr="003C513E" w:rsidRDefault="003C513E" w:rsidP="003C513E">
            <w:pPr>
              <w:spacing w:after="0" w:line="240" w:lineRule="auto"/>
              <w:rPr>
                <w:rFonts w:ascii="Times New Roman" w:eastAsia="Times New Roman" w:hAnsi="Times New Roman" w:cs="Times New Roman"/>
                <w:color w:val="000000"/>
                <w:sz w:val="24"/>
                <w:szCs w:val="28"/>
                <w:lang w:val="hr-HR" w:eastAsia="hr-HR"/>
              </w:rPr>
            </w:pPr>
            <w:r w:rsidRPr="003C513E">
              <w:rPr>
                <w:rFonts w:ascii="Times New Roman" w:hAnsi="Times New Roman" w:cs="Times New Roman"/>
                <w:sz w:val="24"/>
                <w:szCs w:val="28"/>
              </w:rPr>
              <w:t>UKUPNO</w:t>
            </w:r>
          </w:p>
        </w:tc>
        <w:tc>
          <w:tcPr>
            <w:tcW w:w="2409" w:type="dxa"/>
            <w:noWrap/>
            <w:hideMark/>
          </w:tcPr>
          <w:p w14:paraId="3409A067" w14:textId="0CB20126" w:rsidR="003C513E" w:rsidRPr="003C513E"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8"/>
                <w:lang w:val="hr-HR" w:eastAsia="hr-HR"/>
              </w:rPr>
            </w:pPr>
            <w:r w:rsidRPr="003C513E">
              <w:rPr>
                <w:rFonts w:ascii="Times New Roman" w:hAnsi="Times New Roman" w:cs="Times New Roman"/>
                <w:sz w:val="24"/>
                <w:szCs w:val="28"/>
              </w:rPr>
              <w:t>382.077.068</w:t>
            </w:r>
          </w:p>
        </w:tc>
        <w:tc>
          <w:tcPr>
            <w:tcW w:w="2410" w:type="dxa"/>
            <w:noWrap/>
            <w:hideMark/>
          </w:tcPr>
          <w:p w14:paraId="705B4E21" w14:textId="5051FE27" w:rsidR="003C513E" w:rsidRPr="003C513E"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8"/>
                <w:lang w:val="hr-HR" w:eastAsia="hr-HR"/>
              </w:rPr>
            </w:pPr>
            <w:r w:rsidRPr="003C513E">
              <w:rPr>
                <w:rFonts w:ascii="Times New Roman" w:hAnsi="Times New Roman" w:cs="Times New Roman"/>
                <w:sz w:val="24"/>
                <w:szCs w:val="28"/>
              </w:rPr>
              <w:t>550.000.000</w:t>
            </w:r>
          </w:p>
        </w:tc>
        <w:tc>
          <w:tcPr>
            <w:tcW w:w="2410" w:type="dxa"/>
            <w:noWrap/>
            <w:hideMark/>
          </w:tcPr>
          <w:p w14:paraId="79D14976" w14:textId="5308FC6A" w:rsidR="003C513E" w:rsidRPr="003C513E" w:rsidRDefault="003C513E" w:rsidP="003C513E">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8"/>
                <w:lang w:val="hr-HR" w:eastAsia="hr-HR"/>
              </w:rPr>
            </w:pPr>
            <w:r w:rsidRPr="003C513E">
              <w:rPr>
                <w:rFonts w:ascii="Times New Roman" w:hAnsi="Times New Roman" w:cs="Times New Roman"/>
                <w:sz w:val="24"/>
                <w:szCs w:val="28"/>
              </w:rPr>
              <w:t>932.077.068</w:t>
            </w:r>
          </w:p>
        </w:tc>
      </w:tr>
    </w:tbl>
    <w:p w14:paraId="21AE7091" w14:textId="77777777" w:rsidR="00B709C1" w:rsidRDefault="00B709C1" w:rsidP="00224D85">
      <w:pPr>
        <w:pStyle w:val="Tijeloteksta"/>
        <w:spacing w:before="301" w:line="276" w:lineRule="auto"/>
        <w:ind w:right="283"/>
        <w:jc w:val="both"/>
      </w:pPr>
      <w:r>
        <w:t>Financijski će se okvir redovito preispitivati u skladu s napretkom provedbe, pripremljenošću projekata, raspoloživošću europskih i nacionalnih sredstava, mogućnošću mobilizacije privatnih ulaganja te fiskalnim kapacitetima države. Konačni iznosi i raspodjela za razdoblje od 2029. do 2032. godine utvrdit će se Drugim akcijskim planom, uzimajući u obzir rezultate prvog provedbenog razdoblja i promjene u tehnološkom, gospodarskom i regulatornom okruženju.</w:t>
      </w:r>
    </w:p>
    <w:p w14:paraId="0910242C" w14:textId="77777777" w:rsidR="00DE2E64" w:rsidRPr="009D0F6F" w:rsidRDefault="00DE2E64" w:rsidP="009D0F6F">
      <w:pPr>
        <w:rPr>
          <w:rFonts w:ascii="Times New Roman" w:hAnsi="Times New Roman"/>
          <w:sz w:val="24"/>
          <w:lang w:val="hr-HR"/>
        </w:rPr>
      </w:pPr>
    </w:p>
    <w:p w14:paraId="36C2CF06" w14:textId="77777777" w:rsidR="00E33A96" w:rsidRDefault="00E33A96">
      <w:pPr>
        <w:spacing w:after="160" w:line="259" w:lineRule="auto"/>
        <w:rPr>
          <w:rFonts w:ascii="Times New Roman" w:eastAsia="Times New Roman" w:hAnsi="Times New Roman" w:cs="Times New Roman"/>
          <w:b/>
          <w:bCs/>
          <w:sz w:val="24"/>
          <w:szCs w:val="24"/>
          <w:lang w:val="hr-HR"/>
        </w:rPr>
      </w:pPr>
      <w:bookmarkStart w:id="88" w:name="_Toc236064859"/>
      <w:r>
        <w:rPr>
          <w:rFonts w:ascii="Times New Roman" w:eastAsia="Times New Roman" w:hAnsi="Times New Roman" w:cs="Times New Roman"/>
          <w:b/>
          <w:bCs/>
          <w:sz w:val="24"/>
          <w:szCs w:val="24"/>
          <w:lang w:val="hr-HR"/>
        </w:rPr>
        <w:br w:type="page"/>
      </w:r>
    </w:p>
    <w:p w14:paraId="6D2CB8C0" w14:textId="1E54D02B" w:rsidR="00A81A24" w:rsidRPr="00067A04" w:rsidRDefault="00465326" w:rsidP="00A81A24">
      <w:pPr>
        <w:pStyle w:val="Naslov2"/>
        <w:keepNext w:val="0"/>
        <w:keepLines w:val="0"/>
        <w:widowControl w:val="0"/>
        <w:numPr>
          <w:ilvl w:val="0"/>
          <w:numId w:val="1"/>
        </w:numPr>
        <w:tabs>
          <w:tab w:val="left" w:pos="621"/>
        </w:tabs>
        <w:autoSpaceDE w:val="0"/>
        <w:autoSpaceDN w:val="0"/>
        <w:spacing w:before="58" w:line="240" w:lineRule="auto"/>
        <w:ind w:hanging="480"/>
        <w:rPr>
          <w:rFonts w:ascii="Times New Roman" w:eastAsia="Times New Roman" w:hAnsi="Times New Roman" w:cs="Times New Roman"/>
          <w:b/>
          <w:bCs/>
          <w:color w:val="auto"/>
          <w:sz w:val="24"/>
          <w:szCs w:val="24"/>
          <w:lang w:val="hr-HR"/>
        </w:rPr>
      </w:pPr>
      <w:bookmarkStart w:id="89" w:name="_Toc242947289"/>
      <w:r>
        <w:rPr>
          <w:rFonts w:ascii="Times New Roman" w:eastAsia="Times New Roman" w:hAnsi="Times New Roman" w:cs="Times New Roman"/>
          <w:b/>
          <w:bCs/>
          <w:color w:val="auto"/>
          <w:sz w:val="24"/>
          <w:szCs w:val="24"/>
          <w:lang w:val="hr-HR"/>
        </w:rPr>
        <w:lastRenderedPageBreak/>
        <w:t xml:space="preserve">Upravljanje </w:t>
      </w:r>
      <w:bookmarkEnd w:id="79"/>
      <w:r>
        <w:rPr>
          <w:rFonts w:ascii="Times New Roman" w:eastAsia="Times New Roman" w:hAnsi="Times New Roman" w:cs="Times New Roman"/>
          <w:b/>
          <w:bCs/>
          <w:color w:val="auto"/>
          <w:sz w:val="24"/>
          <w:szCs w:val="24"/>
          <w:lang w:val="hr-HR"/>
        </w:rPr>
        <w:t>provedbom</w:t>
      </w:r>
      <w:bookmarkEnd w:id="88"/>
      <w:bookmarkEnd w:id="89"/>
    </w:p>
    <w:p w14:paraId="64AA4C72" w14:textId="4BE0A25E" w:rsidR="00A81A24" w:rsidRPr="00A609CA" w:rsidRDefault="00E95173" w:rsidP="00082925">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90" w:name="_Toc236064860"/>
      <w:bookmarkStart w:id="91" w:name="_Toc242947290"/>
      <w:r>
        <w:rPr>
          <w:rFonts w:ascii="Times New Roman" w:eastAsia="Times New Roman" w:hAnsi="Times New Roman" w:cs="Times New Roman"/>
          <w:b/>
          <w:bCs/>
          <w:color w:val="auto"/>
          <w:lang w:val="hr-HR"/>
        </w:rPr>
        <w:t>7</w:t>
      </w:r>
      <w:r w:rsidR="00082925">
        <w:rPr>
          <w:rFonts w:ascii="Times New Roman" w:eastAsia="Times New Roman" w:hAnsi="Times New Roman" w:cs="Times New Roman"/>
          <w:b/>
          <w:bCs/>
          <w:color w:val="auto"/>
          <w:lang w:val="hr-HR"/>
        </w:rPr>
        <w:t>.1. Institucionalni okvir i odgovornosti</w:t>
      </w:r>
      <w:bookmarkEnd w:id="90"/>
      <w:bookmarkEnd w:id="91"/>
    </w:p>
    <w:p w14:paraId="046DAED9" w14:textId="38734174" w:rsidR="00082925" w:rsidRPr="009D0F6F" w:rsidRDefault="00F66BF5" w:rsidP="00224D85">
      <w:pPr>
        <w:pStyle w:val="Tijeloteksta"/>
        <w:spacing w:before="301" w:line="276" w:lineRule="auto"/>
        <w:ind w:right="283"/>
        <w:jc w:val="both"/>
        <w:rPr>
          <w:color w:val="000000"/>
        </w:rPr>
      </w:pPr>
      <w:r>
        <w:rPr>
          <w:color w:val="000000"/>
        </w:rPr>
        <w:t>Provedba Nacionalnog plana temeljit će se na jasnoj podjeli odgovornosti, međuresornoj koordinaciji i korištenju postojećih institucionalnih struktura. Time će se odgovoriti na uočenu rascjepkanost politika i projekata, smanjiti dupliciranje aktivnosti te osigurati povezanost mjera koje se odnose na kompetencije, infrastrukturu i podatke, regulatorni okvir, gospodarstvo i ključna područja primjene UI-ja.</w:t>
      </w:r>
    </w:p>
    <w:p w14:paraId="7ED979EB" w14:textId="400ED991" w:rsidR="00082925" w:rsidRPr="009D0F6F" w:rsidRDefault="00F66BF5" w:rsidP="00224D85">
      <w:pPr>
        <w:pStyle w:val="Tijeloteksta"/>
        <w:spacing w:before="301" w:line="276" w:lineRule="auto"/>
        <w:ind w:right="283"/>
        <w:jc w:val="both"/>
        <w:rPr>
          <w:color w:val="000000"/>
        </w:rPr>
      </w:pPr>
      <w:r>
        <w:rPr>
          <w:color w:val="000000"/>
        </w:rPr>
        <w:t>Nacionalno vijeće za digitalnu transformaciju osiguravat će strateško usmjeravanje provedbe. Razmatrat će napredak u ostvarivanju ciljeva, davati smjernice za rješavanje pitanja koja zahtijevaju međuresorno odlučivanje te usmjeravati izmjene Nacionalnog plana i pripadajućih akcijskih planova.</w:t>
      </w:r>
    </w:p>
    <w:p w14:paraId="78272A53" w14:textId="1F3BCE82" w:rsidR="00082925" w:rsidRPr="009D0F6F" w:rsidRDefault="00F66BF5" w:rsidP="00224D85">
      <w:pPr>
        <w:pStyle w:val="Tijeloteksta"/>
        <w:spacing w:before="301" w:line="276" w:lineRule="auto"/>
        <w:ind w:right="283"/>
        <w:jc w:val="both"/>
        <w:rPr>
          <w:color w:val="000000"/>
        </w:rPr>
      </w:pPr>
      <w:r>
        <w:rPr>
          <w:color w:val="000000"/>
        </w:rPr>
        <w:t>Ministarstvo pravosuđa, uprave i digitalne transformacije (MPUDT) koordinirat će provedbu Nacionalnog plana i akcijskih planova. MPUDT će pratiti napredak, međuzavisnosti mjera i provedbene rizike, usklađivati aktivnosti nadležnih tijela, pružati metodološku podršku nositeljima mjera te pripremati izvješća i prijedloge korektivnih aktivnosti.</w:t>
      </w:r>
    </w:p>
    <w:p w14:paraId="118F9908" w14:textId="713BC6CE" w:rsidR="00082925" w:rsidRPr="009D0F6F" w:rsidRDefault="00F66BF5" w:rsidP="00224D85">
      <w:pPr>
        <w:pStyle w:val="Tijeloteksta"/>
        <w:spacing w:before="301" w:line="276" w:lineRule="auto"/>
        <w:ind w:right="283"/>
        <w:jc w:val="both"/>
        <w:rPr>
          <w:color w:val="000000"/>
        </w:rPr>
      </w:pPr>
      <w:r>
        <w:rPr>
          <w:color w:val="000000"/>
        </w:rPr>
        <w:t xml:space="preserve">Nositelji mjera odgovorni su za planiranje i provedbu mjera iz svoje nadležnosti, ostvarivanje pokazatelja rezultata, upravljanje dodijeljenim sredstvima, pravodobno izvještavanje i upozoravanje na rizike. Za mjere u kojima sudjeluje više tijela odredit će se odgovorne kontaktne osobe te uskladiti rokovi, izvori financiranja, podatkovni, regulatorni i drugi preduvjeti provedbe. </w:t>
      </w:r>
    </w:p>
    <w:p w14:paraId="5963F051" w14:textId="126D288B" w:rsidR="00082925" w:rsidRPr="009D0F6F" w:rsidRDefault="00F66BF5" w:rsidP="00224D85">
      <w:pPr>
        <w:pStyle w:val="Tijeloteksta"/>
        <w:spacing w:before="301" w:line="276" w:lineRule="auto"/>
        <w:ind w:right="283"/>
        <w:jc w:val="both"/>
        <w:rPr>
          <w:color w:val="000000"/>
        </w:rPr>
      </w:pPr>
      <w:r>
        <w:rPr>
          <w:color w:val="000000"/>
        </w:rPr>
        <w:t>Za složene horizontalne ili međuresorne mjere mogu se uspostaviti privremene radne skupine. Njihova će zadaća biti rješavanje konkretnih provedbenih pitanja, bez stvaranja novih trajnih struktura i bez preuzimanja odgovornosti nositelja mjera.</w:t>
      </w:r>
    </w:p>
    <w:p w14:paraId="089848B7" w14:textId="38745A34" w:rsidR="0093516F" w:rsidRPr="00A609CA" w:rsidRDefault="00744C83" w:rsidP="00272A6C">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92" w:name="_Toc236064861"/>
      <w:bookmarkStart w:id="93" w:name="_Toc242947291"/>
      <w:r>
        <w:rPr>
          <w:rFonts w:ascii="Times New Roman" w:eastAsia="Times New Roman" w:hAnsi="Times New Roman" w:cs="Times New Roman"/>
          <w:b/>
          <w:bCs/>
          <w:color w:val="auto"/>
          <w:lang w:val="hr-HR"/>
        </w:rPr>
        <w:t>7</w:t>
      </w:r>
      <w:r w:rsidR="004376BF">
        <w:rPr>
          <w:rFonts w:ascii="Times New Roman" w:eastAsia="Times New Roman" w:hAnsi="Times New Roman" w:cs="Times New Roman"/>
          <w:b/>
          <w:bCs/>
          <w:color w:val="auto"/>
          <w:lang w:val="hr-HR"/>
        </w:rPr>
        <w:t>.2. Koordinacija provedbe</w:t>
      </w:r>
      <w:bookmarkEnd w:id="92"/>
      <w:bookmarkEnd w:id="93"/>
    </w:p>
    <w:p w14:paraId="552A579E" w14:textId="53C43B07" w:rsidR="0093516F" w:rsidRPr="009D0F6F" w:rsidRDefault="00F66BF5" w:rsidP="00224D85">
      <w:pPr>
        <w:pStyle w:val="Tijeloteksta"/>
        <w:spacing w:before="301" w:line="276" w:lineRule="auto"/>
        <w:ind w:right="283"/>
        <w:jc w:val="both"/>
        <w:rPr>
          <w:color w:val="000000"/>
        </w:rPr>
      </w:pPr>
      <w:r>
        <w:rPr>
          <w:color w:val="000000"/>
        </w:rPr>
        <w:t>MPUDT će voditi jedinstven pregled provedbe akcijskih planova koji će obuhvaćati status mjera, ostvarenje pokazatelja, rokove, izvore financiranja, međuzavisnosti i ključne rizike. Na temelju tih podataka pravodobno će se utvrđivati odstupanja i pitanja koja zahtijevaju usklađivanje više resora.</w:t>
      </w:r>
    </w:p>
    <w:p w14:paraId="547018A5" w14:textId="04384850" w:rsidR="0093516F" w:rsidRPr="009D0F6F" w:rsidRDefault="00F66BF5" w:rsidP="00224D85">
      <w:pPr>
        <w:pStyle w:val="Tijeloteksta"/>
        <w:spacing w:before="301" w:line="276" w:lineRule="auto"/>
        <w:ind w:right="283"/>
        <w:jc w:val="both"/>
        <w:rPr>
          <w:color w:val="000000"/>
        </w:rPr>
      </w:pPr>
      <w:r>
        <w:rPr>
          <w:color w:val="000000"/>
        </w:rPr>
        <w:t>Pitanja koja nije moguće riješiti na operativnoj razini upućivat će se kroz jasno utvrđen eskalacijski mehanizam prema nadležnim tijelima, a pitanja od strateške važnosti Nacionalnom vijeću za digitalnu transformaciju. Time će se osigurati da se infrastrukturne, podatkovne, regulatorne i sektorske aktivnosti provode povezano, a ne kao odvojeni resorni projekti.</w:t>
      </w:r>
    </w:p>
    <w:p w14:paraId="6B6E6062" w14:textId="035BC837" w:rsidR="0093516F" w:rsidRPr="009D0F6F" w:rsidRDefault="00F66BF5" w:rsidP="00224D85">
      <w:pPr>
        <w:pStyle w:val="Tijeloteksta"/>
        <w:spacing w:before="301" w:line="276" w:lineRule="auto"/>
        <w:ind w:right="283"/>
        <w:jc w:val="both"/>
        <w:rPr>
          <w:color w:val="000000"/>
        </w:rPr>
      </w:pPr>
      <w:r>
        <w:rPr>
          <w:color w:val="000000"/>
        </w:rPr>
        <w:t xml:space="preserve">Nositelji mjera koje uključuju obradu osobnih podataka, pristup i razmjenu podataka, interoperabilnost, razvoj UI sustava ili njihovu primjenu u javnim uslugama moraju osigurati odgovarajuću pravnu osnovu, kvalitetu i sigurnost podataka, potrebne procjene učinka te tehničke i organizacijske mjere zaštite u skladu s primjenjivim propisima, osobito </w:t>
      </w:r>
      <w:r w:rsidR="00632673" w:rsidRPr="00632673">
        <w:rPr>
          <w:color w:val="000000"/>
        </w:rPr>
        <w:t>Opć</w:t>
      </w:r>
      <w:r w:rsidR="00632673">
        <w:rPr>
          <w:color w:val="000000"/>
        </w:rPr>
        <w:t>om</w:t>
      </w:r>
      <w:r w:rsidR="00632673" w:rsidRPr="00632673">
        <w:rPr>
          <w:color w:val="000000"/>
        </w:rPr>
        <w:t xml:space="preserve"> uredb</w:t>
      </w:r>
      <w:r w:rsidR="00632673">
        <w:rPr>
          <w:color w:val="000000"/>
        </w:rPr>
        <w:t>om</w:t>
      </w:r>
      <w:r w:rsidR="00632673" w:rsidRPr="00632673">
        <w:rPr>
          <w:color w:val="000000"/>
        </w:rPr>
        <w:t xml:space="preserve"> o zaštiti podataka i Zakon</w:t>
      </w:r>
      <w:r w:rsidR="00632673">
        <w:rPr>
          <w:color w:val="000000"/>
        </w:rPr>
        <w:t>om</w:t>
      </w:r>
      <w:r w:rsidR="00632673" w:rsidRPr="00632673">
        <w:rPr>
          <w:color w:val="000000"/>
        </w:rPr>
        <w:t xml:space="preserve"> o provedbi Opće uredbe o zaštiti podataka</w:t>
      </w:r>
      <w:r w:rsidR="00632673">
        <w:rPr>
          <w:color w:val="000000"/>
        </w:rPr>
        <w:t xml:space="preserve">. </w:t>
      </w:r>
    </w:p>
    <w:p w14:paraId="047485C4" w14:textId="607FB012" w:rsidR="0093516F" w:rsidRPr="00A609CA" w:rsidRDefault="00744C83" w:rsidP="00272A6C">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94" w:name="_Toc236064862"/>
      <w:bookmarkStart w:id="95" w:name="_Toc242947292"/>
      <w:r>
        <w:rPr>
          <w:rFonts w:ascii="Times New Roman" w:eastAsia="Times New Roman" w:hAnsi="Times New Roman" w:cs="Times New Roman"/>
          <w:b/>
          <w:bCs/>
          <w:color w:val="auto"/>
          <w:lang w:val="hr-HR"/>
        </w:rPr>
        <w:t>7</w:t>
      </w:r>
      <w:r w:rsidR="004376BF">
        <w:rPr>
          <w:rFonts w:ascii="Times New Roman" w:eastAsia="Times New Roman" w:hAnsi="Times New Roman" w:cs="Times New Roman"/>
          <w:b/>
          <w:bCs/>
          <w:color w:val="auto"/>
          <w:lang w:val="hr-HR"/>
        </w:rPr>
        <w:t>.3. Praćenje, izvještavanje i uključivanje dionika</w:t>
      </w:r>
      <w:bookmarkEnd w:id="94"/>
      <w:bookmarkEnd w:id="95"/>
    </w:p>
    <w:p w14:paraId="51B5A90A" w14:textId="77777777" w:rsidR="001E04BB" w:rsidRDefault="00F66BF5" w:rsidP="00224D85">
      <w:pPr>
        <w:pStyle w:val="Tijeloteksta"/>
        <w:spacing w:before="301" w:line="276" w:lineRule="auto"/>
        <w:ind w:right="283"/>
        <w:jc w:val="both"/>
        <w:rPr>
          <w:color w:val="000000"/>
        </w:rPr>
      </w:pPr>
      <w:r>
        <w:rPr>
          <w:color w:val="000000"/>
        </w:rPr>
        <w:lastRenderedPageBreak/>
        <w:t>Praćenje provedbe temeljit će se na pokazateljima ishoda Nacionalnog plana i pokazateljima rezultata utvrđenima akcijskim planovima. Nositelji mjera redovito će dostavljati MPUDT-u podatke o provedbi, ostvarenim rezultatima, korištenju sredstava i rizicima.</w:t>
      </w:r>
    </w:p>
    <w:p w14:paraId="3A5358C8" w14:textId="60E7DCD9" w:rsidR="00272A6C" w:rsidRPr="00B100AE" w:rsidRDefault="001E04BB" w:rsidP="00224D85">
      <w:pPr>
        <w:pStyle w:val="Tijeloteksta"/>
        <w:spacing w:before="301" w:line="276" w:lineRule="auto"/>
        <w:ind w:right="283"/>
        <w:jc w:val="both"/>
        <w:rPr>
          <w:rFonts w:eastAsia="Arial" w:cstheme="minorBidi"/>
          <w:color w:val="000000"/>
          <w:szCs w:val="22"/>
        </w:rPr>
      </w:pPr>
      <w:r w:rsidRPr="001E04BB">
        <w:rPr>
          <w:color w:val="000000"/>
        </w:rPr>
        <w:t>Za potrebe praćenja provedbe MPUDT će izrađivati godišnj</w:t>
      </w:r>
      <w:r w:rsidR="00B100AE">
        <w:rPr>
          <w:color w:val="000000"/>
        </w:rPr>
        <w:t>a</w:t>
      </w:r>
      <w:r w:rsidRPr="001E04BB">
        <w:rPr>
          <w:color w:val="000000"/>
        </w:rPr>
        <w:t xml:space="preserve"> izvješće o provedbi Nacionalnog plana</w:t>
      </w:r>
      <w:r w:rsidR="00B100AE">
        <w:rPr>
          <w:color w:val="000000"/>
        </w:rPr>
        <w:t>.</w:t>
      </w:r>
      <w:r w:rsidR="00B100AE">
        <w:rPr>
          <w:rFonts w:eastAsia="Arial" w:cstheme="minorBidi"/>
          <w:color w:val="000000"/>
          <w:szCs w:val="22"/>
        </w:rPr>
        <w:t xml:space="preserve"> </w:t>
      </w:r>
      <w:r w:rsidR="00F66BF5" w:rsidRPr="00B100AE">
        <w:rPr>
          <w:color w:val="000000"/>
        </w:rPr>
        <w:t>Izvješć</w:t>
      </w:r>
      <w:r w:rsidR="00CA2D5C">
        <w:rPr>
          <w:color w:val="000000"/>
        </w:rPr>
        <w:t>a</w:t>
      </w:r>
      <w:r w:rsidR="00F66BF5" w:rsidRPr="00B100AE">
        <w:rPr>
          <w:color w:val="000000"/>
        </w:rPr>
        <w:t xml:space="preserve"> će razmatrati Nacionalno vijeće za digitalnu transformaciju, koje će prema potrebi dati smjernice za prilagodbu provedbe.</w:t>
      </w:r>
      <w:r w:rsidR="009A049A">
        <w:rPr>
          <w:color w:val="000000"/>
        </w:rPr>
        <w:t xml:space="preserve"> Sukladno zakonskim obvezama, </w:t>
      </w:r>
      <w:r w:rsidR="009A049A" w:rsidRPr="009A049A">
        <w:rPr>
          <w:color w:val="000000"/>
        </w:rPr>
        <w:t xml:space="preserve">MPUDT će u okviru sustava strateškog planiranja Koordinacijskom tijelu podnositi godišnje izvješće o provedbi Nacionalnog plana </w:t>
      </w:r>
      <w:r w:rsidR="00676C10" w:rsidRPr="00676C10">
        <w:rPr>
          <w:color w:val="000000"/>
        </w:rPr>
        <w:t>najkasnije do 31. ožujka</w:t>
      </w:r>
      <w:r w:rsidR="001D261C">
        <w:rPr>
          <w:color w:val="000000"/>
        </w:rPr>
        <w:t xml:space="preserve"> </w:t>
      </w:r>
      <w:r w:rsidR="009A049A" w:rsidRPr="009A049A">
        <w:rPr>
          <w:color w:val="000000"/>
        </w:rPr>
        <w:t>te osiguravati unos i ažuriranje podataka o provedbi u sustavu PLAN, u skladu s pravilima i metodologijom sustava strateškog planiranja.</w:t>
      </w:r>
    </w:p>
    <w:p w14:paraId="2A81B4EB" w14:textId="1AB74BCB" w:rsidR="00272A6C" w:rsidRPr="009D0F6F" w:rsidRDefault="00272A6C" w:rsidP="00224D85">
      <w:pPr>
        <w:pStyle w:val="Tijeloteksta"/>
        <w:spacing w:before="301" w:line="276" w:lineRule="auto"/>
        <w:ind w:right="283"/>
        <w:jc w:val="both"/>
        <w:rPr>
          <w:color w:val="000000"/>
        </w:rPr>
      </w:pPr>
      <w:r>
        <w:rPr>
          <w:color w:val="000000"/>
        </w:rPr>
        <w:t>U praćenje potreba gospodarstva, znanstveno-istraživačke zajednice i pojedinih područja primjene uključivat će se postojeća savjetodavna i partnerska tijela, uključujući Nacionalno inovacijsko vijeće i tematska inovacijska vijeća povezana sa Strategijom pametne specijalizacije. Njihova je uloga davanje stručnih prijedloga i povratnih informacija, bez preuzimanja upravljačke ili provedbene odgovornosti.</w:t>
      </w:r>
    </w:p>
    <w:p w14:paraId="4D06610E" w14:textId="5A1EC777" w:rsidR="00272A6C" w:rsidRPr="009D0F6F" w:rsidRDefault="00F66BF5" w:rsidP="00224D85">
      <w:pPr>
        <w:pStyle w:val="Tijeloteksta"/>
        <w:spacing w:before="301" w:line="276" w:lineRule="auto"/>
        <w:ind w:right="283"/>
        <w:jc w:val="both"/>
        <w:rPr>
          <w:color w:val="000000"/>
        </w:rPr>
      </w:pPr>
      <w:r>
        <w:rPr>
          <w:color w:val="000000"/>
        </w:rPr>
        <w:t xml:space="preserve">Informacije o napretku, rezultatima i odgovornoj primjeni UI-ja objavljivat će se na transparentan i građanima razumljiv način. Komunikacijske i edukativne aktivnosti provodit će se u okviru odgovarajućih mjera akcijskih planova, uz uključivanje gospodarstva, akademske zajednice, socijalnih partnera, civilnog društva i građana. </w:t>
      </w:r>
    </w:p>
    <w:p w14:paraId="5DF3BE60" w14:textId="191BF701" w:rsidR="00272A6C" w:rsidRPr="00A609CA" w:rsidRDefault="00744C83" w:rsidP="00272A6C">
      <w:pPr>
        <w:pStyle w:val="Naslov3"/>
        <w:keepNext w:val="0"/>
        <w:keepLines w:val="0"/>
        <w:widowControl w:val="0"/>
        <w:autoSpaceDE w:val="0"/>
        <w:autoSpaceDN w:val="0"/>
        <w:spacing w:before="364" w:line="240" w:lineRule="auto"/>
        <w:jc w:val="both"/>
        <w:rPr>
          <w:rFonts w:ascii="Times New Roman" w:eastAsia="Times New Roman" w:hAnsi="Times New Roman" w:cs="Times New Roman"/>
          <w:b/>
          <w:bCs/>
          <w:color w:val="auto"/>
          <w:lang w:val="hr-HR"/>
        </w:rPr>
      </w:pPr>
      <w:bookmarkStart w:id="96" w:name="_Toc236064863"/>
      <w:bookmarkStart w:id="97" w:name="_Toc242947293"/>
      <w:r>
        <w:rPr>
          <w:rFonts w:ascii="Times New Roman" w:eastAsia="Times New Roman" w:hAnsi="Times New Roman" w:cs="Times New Roman"/>
          <w:b/>
          <w:bCs/>
          <w:color w:val="auto"/>
          <w:lang w:val="hr-HR"/>
        </w:rPr>
        <w:t>7</w:t>
      </w:r>
      <w:r w:rsidR="004376BF">
        <w:rPr>
          <w:rFonts w:ascii="Times New Roman" w:eastAsia="Times New Roman" w:hAnsi="Times New Roman" w:cs="Times New Roman"/>
          <w:b/>
          <w:bCs/>
          <w:color w:val="auto"/>
          <w:lang w:val="hr-HR"/>
        </w:rPr>
        <w:t>.4. Vrednovanje i ažuriranje Nacionalnog plana</w:t>
      </w:r>
      <w:bookmarkEnd w:id="96"/>
      <w:bookmarkEnd w:id="97"/>
    </w:p>
    <w:p w14:paraId="6ADB555E" w14:textId="3ED1BD43" w:rsidR="00272A6C" w:rsidRPr="009D0F6F" w:rsidRDefault="00F66BF5" w:rsidP="00224D85">
      <w:pPr>
        <w:pStyle w:val="Tijeloteksta"/>
        <w:spacing w:before="301" w:line="276" w:lineRule="auto"/>
        <w:ind w:right="283"/>
        <w:jc w:val="both"/>
        <w:rPr>
          <w:color w:val="000000"/>
        </w:rPr>
      </w:pPr>
      <w:r>
        <w:rPr>
          <w:color w:val="000000"/>
        </w:rPr>
        <w:t>Nacionalni plan provodit će se kroz dva akcijska plana:</w:t>
      </w:r>
    </w:p>
    <w:p w14:paraId="7B66F7F2" w14:textId="750D9B8A" w:rsidR="00272A6C" w:rsidRPr="00A609CA" w:rsidRDefault="00272A6C" w:rsidP="00224D85">
      <w:pPr>
        <w:numPr>
          <w:ilvl w:val="0"/>
          <w:numId w:val="19"/>
        </w:numPr>
        <w:spacing w:before="100" w:beforeAutospacing="1" w:after="100" w:afterAutospacing="1"/>
        <w:rPr>
          <w:rFonts w:ascii="Times New Roman" w:hAnsi="Times New Roman" w:cs="Times New Roman"/>
          <w:sz w:val="24"/>
          <w:szCs w:val="24"/>
          <w:lang w:val="hr-HR"/>
        </w:rPr>
      </w:pPr>
      <w:r>
        <w:rPr>
          <w:rFonts w:ascii="Times New Roman" w:hAnsi="Times New Roman"/>
          <w:color w:val="000000"/>
          <w:sz w:val="24"/>
          <w:lang w:val="hr-HR"/>
        </w:rPr>
        <w:t>Prvi akcijsk</w:t>
      </w:r>
      <w:r>
        <w:rPr>
          <w:rFonts w:ascii="Times New Roman" w:hAnsi="Times New Roman" w:cs="Times New Roman"/>
          <w:sz w:val="24"/>
          <w:szCs w:val="24"/>
          <w:lang w:val="hr-HR"/>
        </w:rPr>
        <w:t xml:space="preserve">i plan za razdoblje do kraja 2028. godine i </w:t>
      </w:r>
    </w:p>
    <w:p w14:paraId="38430869" w14:textId="30388314" w:rsidR="00272A6C" w:rsidRPr="009D0F6F" w:rsidRDefault="00C74A81" w:rsidP="00224D85">
      <w:pPr>
        <w:numPr>
          <w:ilvl w:val="0"/>
          <w:numId w:val="19"/>
        </w:numPr>
        <w:spacing w:before="100" w:beforeAutospacing="1" w:after="100" w:afterAutospacing="1"/>
        <w:rPr>
          <w:rFonts w:ascii="Times New Roman" w:hAnsi="Times New Roman"/>
          <w:color w:val="000000"/>
          <w:sz w:val="24"/>
          <w:lang w:val="hr-HR"/>
        </w:rPr>
      </w:pPr>
      <w:r>
        <w:rPr>
          <w:rFonts w:ascii="Times New Roman" w:hAnsi="Times New Roman"/>
          <w:color w:val="000000"/>
          <w:sz w:val="24"/>
          <w:lang w:val="hr-HR"/>
        </w:rPr>
        <w:t xml:space="preserve">Drugi akcijski plan za razdoblje od 2029. do 2032. godine. </w:t>
      </w:r>
    </w:p>
    <w:p w14:paraId="7EA6639B" w14:textId="0AB665AA" w:rsidR="00272A6C" w:rsidRPr="009D0F6F" w:rsidRDefault="00F66BF5" w:rsidP="00224D85">
      <w:pPr>
        <w:pStyle w:val="Tijeloteksta"/>
        <w:spacing w:before="301" w:line="276" w:lineRule="auto"/>
        <w:ind w:right="283"/>
        <w:jc w:val="both"/>
        <w:rPr>
          <w:color w:val="000000"/>
        </w:rPr>
      </w:pPr>
      <w:r>
        <w:rPr>
          <w:color w:val="000000"/>
        </w:rPr>
        <w:t>Takav pristup omogućuje usklađivanje mjera s proračunskim ciklusima i raspoloživim izvorima financiranja, postupno uvođenje novih intervencija te prilagodbu brzom razvoju tehnologije i regulatornog okvira.</w:t>
      </w:r>
    </w:p>
    <w:p w14:paraId="50482BBE" w14:textId="6F0EF57C" w:rsidR="00272A6C" w:rsidRPr="009D0F6F" w:rsidRDefault="00F66BF5" w:rsidP="00224D85">
      <w:pPr>
        <w:pStyle w:val="Tijeloteksta"/>
        <w:spacing w:before="301" w:line="276" w:lineRule="auto"/>
        <w:ind w:right="283"/>
        <w:jc w:val="both"/>
        <w:rPr>
          <w:color w:val="000000"/>
        </w:rPr>
      </w:pPr>
      <w:r>
        <w:rPr>
          <w:color w:val="000000"/>
        </w:rPr>
        <w:t>Tijekom provedbe provest će se vrednovanje Nacionalnog plana u skladu s pravilima sustava strateškog planiranja. Rezultati vrednovanja, godišnja izvješća, promjene pokazatelja i novi tehnološki i regulatorni trendovi koristit će se pri izradi Drugog akcijskog plana i eventualnom ažuriranju Nacionalnog plana.</w:t>
      </w:r>
    </w:p>
    <w:p w14:paraId="7BC2EA5E" w14:textId="2BEC882A" w:rsidR="00272A6C" w:rsidRPr="009D0F6F" w:rsidRDefault="00F66BF5" w:rsidP="00224D85">
      <w:pPr>
        <w:pStyle w:val="Tijeloteksta"/>
        <w:spacing w:before="301" w:line="276" w:lineRule="auto"/>
        <w:ind w:right="283"/>
        <w:jc w:val="both"/>
        <w:rPr>
          <w:color w:val="000000"/>
        </w:rPr>
      </w:pPr>
      <w:r>
        <w:rPr>
          <w:color w:val="000000"/>
        </w:rPr>
        <w:t>Ažuriranje će pripremati MPUDT u suradnji s nositeljima mjera i relevantnim dionicima, a strateške smjernice davat će Nacionalno vijeće za digitalnu transformaciju. Nacionalni plan može se ažurirati i prije izrade Drugog akcijskog plana ako nastupe značajne tehnološke, regulatorne, sigurnosne ili gospodarske promjene koje utječu na njegove ciljeve, prioritete ili provedivost.</w:t>
      </w:r>
    </w:p>
    <w:p w14:paraId="7FA609E3" w14:textId="3B0A2973" w:rsidR="00272A6C" w:rsidRPr="009D0F6F" w:rsidRDefault="00F66BF5" w:rsidP="00224D85">
      <w:pPr>
        <w:pStyle w:val="Tijeloteksta"/>
        <w:spacing w:before="301" w:line="276" w:lineRule="auto"/>
        <w:ind w:right="283"/>
        <w:jc w:val="both"/>
        <w:rPr>
          <w:color w:val="000000"/>
        </w:rPr>
      </w:pPr>
      <w:r>
        <w:rPr>
          <w:color w:val="000000"/>
        </w:rPr>
        <w:t>Ažuriranjem se mogu prilagoditi prioriteti i instrumenti provedbe, uključiti nova područja primjene te precizirati pokazatelji i ciljne vrijednosti, uz očuvanje dugoročnog strateškog usmjerenja Nacionalnog plana.</w:t>
      </w:r>
    </w:p>
    <w:p w14:paraId="44A988E5" w14:textId="77777777" w:rsidR="00EB7EF2" w:rsidRPr="00A609CA" w:rsidRDefault="00EB7EF2" w:rsidP="00EB7EF2">
      <w:pPr>
        <w:rPr>
          <w:lang w:val="hr-HR"/>
        </w:rPr>
      </w:pPr>
    </w:p>
    <w:p w14:paraId="3FEAA92E" w14:textId="77777777" w:rsidR="00656F5A" w:rsidRPr="00A609CA" w:rsidRDefault="00656F5A" w:rsidP="00656F5A">
      <w:pPr>
        <w:pStyle w:val="Naslov2"/>
        <w:keepNext w:val="0"/>
        <w:keepLines w:val="0"/>
        <w:widowControl w:val="0"/>
        <w:tabs>
          <w:tab w:val="left" w:pos="621"/>
        </w:tabs>
        <w:autoSpaceDE w:val="0"/>
        <w:autoSpaceDN w:val="0"/>
        <w:spacing w:before="58" w:line="240" w:lineRule="auto"/>
        <w:ind w:left="141"/>
        <w:rPr>
          <w:rFonts w:ascii="Times New Roman" w:eastAsia="Times New Roman" w:hAnsi="Times New Roman" w:cs="Times New Roman"/>
          <w:b/>
          <w:bCs/>
          <w:color w:val="auto"/>
          <w:sz w:val="24"/>
          <w:szCs w:val="24"/>
          <w:lang w:val="hr-HR"/>
        </w:rPr>
      </w:pPr>
      <w:bookmarkStart w:id="98" w:name="_TOC_250006"/>
    </w:p>
    <w:p w14:paraId="1D46D914" w14:textId="77777777" w:rsidR="002744D9" w:rsidRPr="00A609CA" w:rsidRDefault="002744D9">
      <w:pPr>
        <w:spacing w:after="160" w:line="259" w:lineRule="auto"/>
        <w:rPr>
          <w:rFonts w:ascii="Times New Roman" w:eastAsia="Times New Roman" w:hAnsi="Times New Roman" w:cs="Times New Roman"/>
          <w:b/>
          <w:bCs/>
          <w:sz w:val="24"/>
          <w:szCs w:val="24"/>
          <w:lang w:val="hr-HR"/>
        </w:rPr>
      </w:pPr>
      <w:r>
        <w:rPr>
          <w:rFonts w:ascii="Times New Roman" w:eastAsia="Times New Roman" w:hAnsi="Times New Roman" w:cs="Times New Roman"/>
          <w:b/>
          <w:bCs/>
          <w:sz w:val="24"/>
          <w:szCs w:val="24"/>
          <w:lang w:val="hr-HR"/>
        </w:rPr>
        <w:br w:type="page"/>
      </w:r>
    </w:p>
    <w:p w14:paraId="3AB49347" w14:textId="77777777" w:rsidR="00755C26" w:rsidRPr="00A609CA" w:rsidRDefault="00755C26" w:rsidP="00755C26">
      <w:pPr>
        <w:pStyle w:val="Naslov2"/>
        <w:keepNext w:val="0"/>
        <w:keepLines w:val="0"/>
        <w:widowControl w:val="0"/>
        <w:tabs>
          <w:tab w:val="left" w:pos="621"/>
        </w:tabs>
        <w:autoSpaceDE w:val="0"/>
        <w:autoSpaceDN w:val="0"/>
        <w:spacing w:before="58" w:line="240" w:lineRule="auto"/>
        <w:rPr>
          <w:rFonts w:ascii="Times New Roman" w:eastAsia="Times New Roman" w:hAnsi="Times New Roman" w:cs="Times New Roman"/>
          <w:b/>
          <w:bCs/>
          <w:color w:val="auto"/>
          <w:sz w:val="24"/>
          <w:szCs w:val="24"/>
          <w:lang w:val="hr-HR"/>
        </w:rPr>
      </w:pPr>
      <w:bookmarkStart w:id="99" w:name="_Toc236064864"/>
      <w:bookmarkStart w:id="100" w:name="_Toc242947294"/>
      <w:r>
        <w:rPr>
          <w:rFonts w:ascii="Times New Roman" w:eastAsia="Times New Roman" w:hAnsi="Times New Roman" w:cs="Times New Roman"/>
          <w:b/>
          <w:bCs/>
          <w:color w:val="auto"/>
          <w:sz w:val="24"/>
          <w:szCs w:val="24"/>
          <w:lang w:val="hr-HR"/>
        </w:rPr>
        <w:lastRenderedPageBreak/>
        <w:t>Pojmovnik</w:t>
      </w:r>
      <w:bookmarkEnd w:id="99"/>
      <w:bookmarkEnd w:id="100"/>
    </w:p>
    <w:p w14:paraId="3C82DDD0" w14:textId="77777777" w:rsidR="00755C26" w:rsidRPr="00A609CA" w:rsidRDefault="00755C26" w:rsidP="00755C26">
      <w:pPr>
        <w:pStyle w:val="Tijeloteksta"/>
        <w:spacing w:before="87"/>
        <w:rPr>
          <w:b/>
        </w:rPr>
      </w:pPr>
    </w:p>
    <w:p w14:paraId="0384584C" w14:textId="3FB7C3CB" w:rsidR="00755C26" w:rsidRPr="00A609CA" w:rsidRDefault="00755C26" w:rsidP="00755C26">
      <w:pPr>
        <w:pStyle w:val="Tijeloteksta"/>
        <w:spacing w:before="240" w:line="276" w:lineRule="auto"/>
        <w:ind w:left="652" w:right="1412" w:hanging="512"/>
        <w:jc w:val="both"/>
        <w:rPr>
          <w:spacing w:val="-2"/>
        </w:rPr>
      </w:pPr>
      <w:r w:rsidRPr="006E683F">
        <w:t xml:space="preserve">Agentski UI (eng. </w:t>
      </w:r>
      <w:r w:rsidRPr="006E683F">
        <w:rPr>
          <w:i/>
        </w:rPr>
        <w:t>Agentic AI</w:t>
      </w:r>
      <w:r w:rsidRPr="006E683F">
        <w:t>):</w:t>
      </w:r>
      <w:r>
        <w:rPr>
          <w:color w:val="000000"/>
          <w:spacing w:val="40"/>
        </w:rPr>
        <w:t xml:space="preserve"> </w:t>
      </w:r>
      <w:r>
        <w:rPr>
          <w:color w:val="000000"/>
        </w:rPr>
        <w:t>sustav sačinjen od jednog ili više UI modela ili UI agenata sposobnih za autonomno rješavanje složenih problema na iterativan način, i to korištenjem različitih biblioteka i alata programskog inženjerstva (koji nisu nužno povezani s UI-jem). Pojednostavljeno rečeno, u agentskom UI sustavu, UI agent analogan je mozgu i izrađuje plan rješavanja problema (generira tekst i naredbe izvornog koda u programskim jezicima) te pritom ima mogućnost pozivanja drugih agenata (alata i biblioteka) koji taj plan izvode. Na temelju rezultata izvođenja UI agent korigira plan i generira nove korake koji dovode do rješavanja problema na iterativan način, stalnim poboljšavanjem trenutačnog rješenja</w:t>
      </w:r>
      <w:r>
        <w:rPr>
          <w:color w:val="000000"/>
          <w:spacing w:val="-2"/>
        </w:rPr>
        <w:t>;</w:t>
      </w:r>
    </w:p>
    <w:p w14:paraId="073C0606" w14:textId="77777777" w:rsidR="00755C26" w:rsidRPr="00A609CA" w:rsidRDefault="00755C26" w:rsidP="00755C26">
      <w:pPr>
        <w:pStyle w:val="Tijeloteksta"/>
        <w:spacing w:before="240" w:line="276" w:lineRule="auto"/>
        <w:ind w:left="652" w:right="1412" w:hanging="512"/>
        <w:jc w:val="both"/>
        <w:rPr>
          <w:spacing w:val="-2"/>
        </w:rPr>
      </w:pPr>
      <w:r>
        <w:t xml:space="preserve">AI4Health.Cro EDIH: EDIH usmjeren na primjenu umjetne inteligencije u zdravstvu i medicini. Pruža podršku poduzećima, </w:t>
      </w:r>
      <w:r>
        <w:rPr>
          <w:i/>
          <w:iCs/>
        </w:rPr>
        <w:t>startupima</w:t>
      </w:r>
      <w:r>
        <w:t xml:space="preserve">, istraživačkim organizacijama i javnim ustanovama kroz testiranje tehnologija, razvoj digitalnih vještina, pristup financiranju i umrežavanje u području digitalnog zdravstva; </w:t>
      </w:r>
    </w:p>
    <w:p w14:paraId="24BFC050" w14:textId="07DF13D2" w:rsidR="00755C26" w:rsidRPr="00A609CA" w:rsidRDefault="00755C26" w:rsidP="00755C26">
      <w:pPr>
        <w:pStyle w:val="Tijeloteksta"/>
        <w:spacing w:before="240" w:line="276" w:lineRule="auto"/>
        <w:ind w:left="652" w:right="1412" w:hanging="512"/>
        <w:jc w:val="both"/>
      </w:pPr>
      <w:r>
        <w:rPr>
          <w:rStyle w:val="cf01"/>
          <w:rFonts w:ascii="Times New Roman" w:eastAsiaTheme="majorEastAsia" w:hAnsi="Times New Roman" w:cs="Times New Roman"/>
          <w:i/>
          <w:iCs/>
          <w:sz w:val="24"/>
          <w:szCs w:val="24"/>
        </w:rPr>
        <w:t>AI Incidents and Hazards Monitor</w:t>
      </w:r>
      <w:r>
        <w:rPr>
          <w:rStyle w:val="cf11"/>
          <w:rFonts w:ascii="Times New Roman" w:hAnsi="Times New Roman" w:cs="Times New Roman"/>
          <w:sz w:val="24"/>
          <w:szCs w:val="24"/>
        </w:rPr>
        <w:t>:</w:t>
      </w:r>
      <w:r>
        <w:rPr>
          <w:rStyle w:val="cf11"/>
          <w:rFonts w:ascii="Times New Roman" w:hAnsi="Times New Roman"/>
          <w:color w:val="000000"/>
          <w:sz w:val="24"/>
        </w:rPr>
        <w:t xml:space="preserve"> </w:t>
      </w:r>
      <w:r>
        <w:rPr>
          <w:color w:val="000000"/>
        </w:rPr>
        <w:t>alat za praćenje i evidentiranje incidenata, rizika i štetnih posljedica povezanih s primjenom umjetne inteligencije. Koristi se za analizu sigurnosti, pouzdanosti i društvenih učinaka UI sustava te za potporu razvoju odgovornih politika i upravljanja umjetnom inteligencijom</w:t>
      </w:r>
      <w:r>
        <w:rPr>
          <w:rStyle w:val="cf11"/>
          <w:rFonts w:ascii="Times New Roman" w:hAnsi="Times New Roman"/>
          <w:color w:val="000000"/>
          <w:sz w:val="24"/>
        </w:rPr>
        <w:t>;</w:t>
      </w:r>
    </w:p>
    <w:p w14:paraId="6B419660" w14:textId="69DD8B22" w:rsidR="00755C26" w:rsidRPr="00A609CA" w:rsidRDefault="00755C26" w:rsidP="00755C26">
      <w:pPr>
        <w:pStyle w:val="Tijeloteksta"/>
        <w:spacing w:before="240" w:line="276" w:lineRule="auto"/>
        <w:ind w:left="652" w:right="1412" w:hanging="512"/>
        <w:jc w:val="both"/>
      </w:pPr>
      <w:r>
        <w:rPr>
          <w:i/>
          <w:iCs/>
        </w:rPr>
        <w:t>AI Governance</w:t>
      </w:r>
      <w:r>
        <w:t xml:space="preserve"> model: </w:t>
      </w:r>
      <w:r>
        <w:rPr>
          <w:color w:val="000000"/>
        </w:rPr>
        <w:t>skup pravila, politika, procesa i odgovornosti kojima organizacija upravlja razvojem, implementacijom, korištenjem i nadzorom sustava umjetne inteligencije radi osiguravanja zakonitosti, transparentnosti, sigurnosti i etičke uporabe;</w:t>
      </w:r>
    </w:p>
    <w:p w14:paraId="4E32CE7F" w14:textId="731C9BC7" w:rsidR="00755C26" w:rsidRPr="00A609CA" w:rsidRDefault="00755C26" w:rsidP="00755C26">
      <w:pPr>
        <w:pStyle w:val="Tijeloteksta"/>
        <w:spacing w:before="240" w:line="276" w:lineRule="auto"/>
        <w:ind w:left="652" w:right="1412" w:hanging="512"/>
        <w:jc w:val="both"/>
      </w:pPr>
      <w:r>
        <w:rPr>
          <w:i/>
          <w:iCs/>
        </w:rPr>
        <w:t>Agricultural Knowledge and Innovation System</w:t>
      </w:r>
      <w:r>
        <w:t xml:space="preserve"> (AKIS): </w:t>
      </w:r>
      <w:r>
        <w:rPr>
          <w:color w:val="000000"/>
        </w:rPr>
        <w:t xml:space="preserve">sustav prijenosa znanja i inovacija u poljoprivredi. Obuhvaća mrežu poljoprivrednika, savjetnika, istraživačkih </w:t>
      </w:r>
      <w:r w:rsidR="00F60A67">
        <w:rPr>
          <w:color w:val="000000"/>
        </w:rPr>
        <w:t>organizacija</w:t>
      </w:r>
      <w:r>
        <w:rPr>
          <w:color w:val="000000"/>
        </w:rPr>
        <w:t>, obrazovnih ustanova, javnih tijela i drugih dionika koji sudjeluju u stvaranju, prijenosu i primjeni znanja i inovacija u poljoprivredi;</w:t>
      </w:r>
    </w:p>
    <w:p w14:paraId="0E28AE17" w14:textId="53C89230" w:rsidR="00755C26" w:rsidRPr="00A609CA" w:rsidRDefault="00755C26" w:rsidP="00755C26">
      <w:pPr>
        <w:pStyle w:val="Tijeloteksta"/>
        <w:spacing w:before="240" w:line="276" w:lineRule="auto"/>
        <w:ind w:left="652" w:right="1412" w:hanging="512"/>
        <w:jc w:val="both"/>
      </w:pPr>
      <w:r>
        <w:t xml:space="preserve">BioAtlas: </w:t>
      </w:r>
      <w:r>
        <w:rPr>
          <w:color w:val="000000"/>
        </w:rPr>
        <w:t xml:space="preserve">nacionalni informacijski sustav i baza otvorenih podataka o bioraznolikosti Republike Hrvatske. Omogućuje prikupljanje, pohranu, pregled, analizu i dijeljenje podataka o vrstama, njihovoj rasprostranjenosti i stanju očuvanosti te predstavlja središnje mjesto za evidenciju podataka o hrvatskoj bioraznolikosti; </w:t>
      </w:r>
    </w:p>
    <w:p w14:paraId="49AB5490" w14:textId="0C329618" w:rsidR="00755C26" w:rsidRPr="00A609CA" w:rsidRDefault="00755C26" w:rsidP="00755C26">
      <w:pPr>
        <w:pStyle w:val="Tijeloteksta"/>
        <w:spacing w:before="240" w:line="276" w:lineRule="auto"/>
        <w:ind w:left="652" w:right="1412" w:hanging="512"/>
        <w:jc w:val="both"/>
      </w:pPr>
      <w:r>
        <w:rPr>
          <w:i/>
          <w:iCs/>
        </w:rPr>
        <w:t>Deepfake</w:t>
      </w:r>
      <w:r>
        <w:t xml:space="preserve"> tehnologija: </w:t>
      </w:r>
      <w:r>
        <w:rPr>
          <w:color w:val="000000"/>
        </w:rPr>
        <w:t>tehnologija umjetne inteligencije koja omogućuje stvaranje ili izmjenu audio, video i slikovnih sadržaja na način da vjerno oponašaju stvarne osobe, njihove glasove, izgled ili pokrete;</w:t>
      </w:r>
    </w:p>
    <w:p w14:paraId="35FF6A33" w14:textId="48F435AE" w:rsidR="00F37569" w:rsidRPr="00896667" w:rsidRDefault="00F37569" w:rsidP="00755C26">
      <w:pPr>
        <w:pStyle w:val="Tijeloteksta"/>
        <w:spacing w:before="240" w:line="276" w:lineRule="auto"/>
        <w:ind w:left="652" w:right="1412" w:hanging="512"/>
        <w:jc w:val="both"/>
      </w:pPr>
      <w:r w:rsidRPr="00896667">
        <w:t>DIANA (eng. Defence Innovation Accelerator for the North Atlantic)</w:t>
      </w:r>
      <w:r>
        <w:t xml:space="preserve">: </w:t>
      </w:r>
      <w:r w:rsidRPr="00896667">
        <w:t>NATO-ova inicijativa pokrenuta s ciljem povezivanja tehnoloških inovatora, startupa i znanstvenika s obrambenim i sigurnosnim potrebama Saveza</w:t>
      </w:r>
      <w:r w:rsidR="006110E4">
        <w:t>;</w:t>
      </w:r>
    </w:p>
    <w:p w14:paraId="4CD7F898" w14:textId="0489D00E" w:rsidR="00755C26" w:rsidRPr="00A609CA" w:rsidRDefault="00755C26" w:rsidP="00755C26">
      <w:pPr>
        <w:pStyle w:val="Tijeloteksta"/>
        <w:spacing w:before="240" w:line="276" w:lineRule="auto"/>
        <w:ind w:left="652" w:right="1412" w:hanging="512"/>
        <w:jc w:val="both"/>
      </w:pPr>
      <w:r>
        <w:t xml:space="preserve">Disruptivne tehnologije: </w:t>
      </w:r>
      <w:r>
        <w:rPr>
          <w:color w:val="000000"/>
        </w:rPr>
        <w:t>digitalne tehnologije čiji razvoj ima bitan transformacijski utjecaj</w:t>
      </w:r>
      <w:r w:rsidRPr="00E070B0">
        <w:t xml:space="preserve"> </w:t>
      </w:r>
      <w:r>
        <w:t xml:space="preserve">na društvene i ekonomske odnose: tehnologije distribuiranog zapisa i digitalnog identiteta </w:t>
      </w:r>
      <w:r>
        <w:rPr>
          <w:spacing w:val="-2"/>
        </w:rPr>
        <w:t xml:space="preserve">(eng. </w:t>
      </w:r>
      <w:r>
        <w:rPr>
          <w:i/>
          <w:spacing w:val="-2"/>
        </w:rPr>
        <w:t>Digital ledger technologies, DLT</w:t>
      </w:r>
      <w:r>
        <w:rPr>
          <w:spacing w:val="-2"/>
        </w:rPr>
        <w:t>), tehnologije umjetne</w:t>
      </w:r>
      <w:r>
        <w:rPr>
          <w:spacing w:val="-3"/>
        </w:rPr>
        <w:t xml:space="preserve"> </w:t>
      </w:r>
      <w:r>
        <w:rPr>
          <w:spacing w:val="-2"/>
        </w:rPr>
        <w:t xml:space="preserve">inteligencije (eng. </w:t>
      </w:r>
      <w:r>
        <w:rPr>
          <w:i/>
          <w:spacing w:val="-2"/>
        </w:rPr>
        <w:t xml:space="preserve">Artificial </w:t>
      </w:r>
      <w:r>
        <w:rPr>
          <w:i/>
        </w:rPr>
        <w:lastRenderedPageBreak/>
        <w:t>intelligence technologies, AIT</w:t>
      </w:r>
      <w:r>
        <w:t xml:space="preserve">), tehnologije proširene realnosti (eng. </w:t>
      </w:r>
      <w:r>
        <w:rPr>
          <w:i/>
        </w:rPr>
        <w:t>Extended reality technologies, XRT</w:t>
      </w:r>
      <w:r>
        <w:t xml:space="preserve">) i kvantne tehnologije (eng. </w:t>
      </w:r>
      <w:r>
        <w:rPr>
          <w:i/>
        </w:rPr>
        <w:t>Quantum technologies, QT</w:t>
      </w:r>
      <w:r>
        <w:t xml:space="preserve">); </w:t>
      </w:r>
    </w:p>
    <w:p w14:paraId="18CBDCE4" w14:textId="3A06E059" w:rsidR="00DB7554" w:rsidRDefault="00DB7554" w:rsidP="00755C26">
      <w:pPr>
        <w:pStyle w:val="Tijeloteksta"/>
        <w:spacing w:before="240" w:line="276" w:lineRule="auto"/>
        <w:ind w:left="652" w:right="1412" w:hanging="512"/>
        <w:jc w:val="both"/>
      </w:pPr>
      <w:r w:rsidRPr="00DB7554">
        <w:t>Dobavljač: fizička ili pravna osoba, tijelo javne vlasti, javna agencija ili drugo javno tijelo koje razvija UI sustav ili UI model opće namjene ili koje ima razvijen UI sustav ili UI model opće namjene i stavlja ga na tržište ili stavlja UI sustav u upotrebu pod vlastitim imenom ili žigom, uz plaćanje ili besplatno. Definicija je preuzeta iz članka 3. točke 3. Akta o UI-ju</w:t>
      </w:r>
      <w:r>
        <w:t>;</w:t>
      </w:r>
    </w:p>
    <w:p w14:paraId="1468C8B9" w14:textId="63ADACD2" w:rsidR="00755C26" w:rsidRPr="009D0F6F" w:rsidRDefault="00755C26" w:rsidP="00755C26">
      <w:pPr>
        <w:pStyle w:val="Tijeloteksta"/>
        <w:spacing w:before="240" w:line="276" w:lineRule="auto"/>
        <w:ind w:left="652" w:right="1412" w:hanging="512"/>
        <w:jc w:val="both"/>
        <w:rPr>
          <w:color w:val="000000"/>
        </w:rPr>
      </w:pPr>
      <w:r>
        <w:t xml:space="preserve">e-Građani: </w:t>
      </w:r>
      <w:r>
        <w:rPr>
          <w:color w:val="000000"/>
        </w:rPr>
        <w:t>središnji portal javne uprave Republike Hrvatske koji omogućuje brzu, jednostavnu i sigurnu digitalnu komunikaciju s državnim institucijama bez odlaska na šaltere.</w:t>
      </w:r>
    </w:p>
    <w:p w14:paraId="12E90B18" w14:textId="619F52CE" w:rsidR="00755C26" w:rsidRPr="009D0F6F" w:rsidRDefault="00755C26" w:rsidP="00755C26">
      <w:pPr>
        <w:pStyle w:val="Tijeloteksta"/>
        <w:spacing w:before="240" w:line="276" w:lineRule="auto"/>
        <w:ind w:left="652" w:right="1412" w:hanging="512"/>
        <w:jc w:val="both"/>
        <w:rPr>
          <w:color w:val="000000"/>
          <w:shd w:val="clear" w:color="auto" w:fill="FFFFFF"/>
        </w:rPr>
      </w:pPr>
      <w:r>
        <w:rPr>
          <w:color w:val="000000"/>
        </w:rPr>
        <w:t>eSavjetnik: aplikacija Ministarstva poljoprivrede, šumarstva i ribarstva za pomoć u poljoprivrednoj proizvodnji i lakše praćenje vlastitih podataka</w:t>
      </w:r>
      <w:r>
        <w:rPr>
          <w:color w:val="000000"/>
          <w:shd w:val="clear" w:color="auto" w:fill="FFFFFF"/>
        </w:rPr>
        <w:t>;</w:t>
      </w:r>
    </w:p>
    <w:p w14:paraId="115B5FCE" w14:textId="3534FEB6" w:rsidR="00755C26" w:rsidRPr="00A609CA" w:rsidRDefault="00755C26" w:rsidP="00755C26">
      <w:pPr>
        <w:pStyle w:val="Tijeloteksta"/>
        <w:spacing w:before="240" w:line="276" w:lineRule="auto"/>
        <w:ind w:left="652" w:right="1412" w:hanging="512"/>
        <w:jc w:val="both"/>
      </w:pPr>
      <w:r>
        <w:t xml:space="preserve">Eurostat: </w:t>
      </w:r>
      <w:r>
        <w:rPr>
          <w:color w:val="000000"/>
        </w:rPr>
        <w:t>statistički ured Europske unije odgovoran za prikupljanje, obradu, usklađivanje i objavu službenih statističkih podataka na razini Europske unije radi usporedbe gospodarskih, društvenih i okolišnih pokazatelja među državama članicama;</w:t>
      </w:r>
    </w:p>
    <w:p w14:paraId="79770B45" w14:textId="5C84C147" w:rsidR="00755C26" w:rsidRPr="00A609CA" w:rsidRDefault="00755C26" w:rsidP="00755C26">
      <w:pPr>
        <w:pStyle w:val="Tijeloteksta"/>
        <w:spacing w:before="240" w:line="276" w:lineRule="auto"/>
        <w:ind w:left="652" w:right="1412" w:hanging="512"/>
        <w:jc w:val="both"/>
      </w:pPr>
      <w:r>
        <w:t>Generativni</w:t>
      </w:r>
      <w:r>
        <w:rPr>
          <w:spacing w:val="-15"/>
        </w:rPr>
        <w:t xml:space="preserve"> </w:t>
      </w:r>
      <w:r>
        <w:t>UI</w:t>
      </w:r>
      <w:r>
        <w:rPr>
          <w:spacing w:val="-15"/>
        </w:rPr>
        <w:t xml:space="preserve"> </w:t>
      </w:r>
      <w:r>
        <w:t>(eng.</w:t>
      </w:r>
      <w:r>
        <w:rPr>
          <w:spacing w:val="-15"/>
        </w:rPr>
        <w:t xml:space="preserve"> </w:t>
      </w:r>
      <w:r>
        <w:rPr>
          <w:i/>
        </w:rPr>
        <w:t>Generative</w:t>
      </w:r>
      <w:r>
        <w:rPr>
          <w:i/>
          <w:spacing w:val="-15"/>
        </w:rPr>
        <w:t xml:space="preserve"> </w:t>
      </w:r>
      <w:r>
        <w:rPr>
          <w:i/>
        </w:rPr>
        <w:t>AI</w:t>
      </w:r>
      <w:r>
        <w:t>):</w:t>
      </w:r>
      <w:r>
        <w:rPr>
          <w:spacing w:val="-15"/>
        </w:rPr>
        <w:t xml:space="preserve"> </w:t>
      </w:r>
      <w:r>
        <w:rPr>
          <w:color w:val="000000"/>
        </w:rPr>
        <w:t xml:space="preserve">odnosi se na klasu UI modela koji modeliraju distribuciju ulaznih podataka i na izlazu daju vjerojatnost, a ne egzaktnu vrijednost (primjerice, vjerojatnost sljedeće moguće riječi u tekstu, slikovne zakrpe u slici ili videookvira umjesto egzaktne iduće riječi, slike ili videa). </w:t>
      </w:r>
    </w:p>
    <w:p w14:paraId="66F84110" w14:textId="57B2360F" w:rsidR="00755C26" w:rsidRDefault="00755C26" w:rsidP="00755C26">
      <w:pPr>
        <w:pStyle w:val="Tijeloteksta"/>
        <w:spacing w:before="240" w:line="276" w:lineRule="auto"/>
        <w:ind w:left="652" w:right="1411" w:hanging="512"/>
        <w:jc w:val="both"/>
        <w:rPr>
          <w:color w:val="000000"/>
        </w:rPr>
      </w:pPr>
      <w:r>
        <w:t>GovTech programi</w:t>
      </w:r>
      <w:r>
        <w:rPr>
          <w:color w:val="000000"/>
        </w:rPr>
        <w:t>: programi koji potiču razvoj i primjenu inovativnih digitalnih tehnologija za potrebe javnog sektora, s ciljem poboljšanja kvalitete javnih usluga, učinkovitosti uprave i suradnje države s poduzećima i građanima;</w:t>
      </w:r>
    </w:p>
    <w:p w14:paraId="500AFC22" w14:textId="781F4B99" w:rsidR="00440562" w:rsidRPr="00896667" w:rsidRDefault="00440562" w:rsidP="00440562">
      <w:pPr>
        <w:pStyle w:val="Tijeloteksta"/>
        <w:spacing w:before="240" w:line="276" w:lineRule="auto"/>
        <w:ind w:left="652" w:right="1411" w:hanging="512"/>
        <w:jc w:val="both"/>
        <w:rPr>
          <w:i/>
          <w:iCs/>
        </w:rPr>
      </w:pPr>
      <w:r w:rsidRPr="00440562">
        <w:t>HUDERIA</w:t>
      </w:r>
      <w:r>
        <w:t xml:space="preserve"> </w:t>
      </w:r>
      <w:r w:rsidRPr="00896667">
        <w:rPr>
          <w:i/>
          <w:iCs/>
        </w:rPr>
        <w:t>(</w:t>
      </w:r>
      <w:r w:rsidRPr="002D7F89">
        <w:t>eng.</w:t>
      </w:r>
      <w:r w:rsidRPr="00896667">
        <w:rPr>
          <w:i/>
          <w:iCs/>
        </w:rPr>
        <w:t xml:space="preserve"> Human Rights, Democracy and Rule of Law Impact Assessment)</w:t>
      </w:r>
      <w:r>
        <w:t xml:space="preserve">: </w:t>
      </w:r>
      <w:r w:rsidR="00C62794" w:rsidRPr="00C62794">
        <w:t>metodologija Vijeća Europe za procjenu rizika i učinaka sustava umjetne inteligencije na ljudska prava, demokraciju i vladavinu prava, koja se koristi kao referentna osnova za prepoznavanje i ublažavanje rizika tijekom životnog ciklusa UI sustava</w:t>
      </w:r>
      <w:r w:rsidR="00C62794">
        <w:t>;</w:t>
      </w:r>
    </w:p>
    <w:p w14:paraId="5CE4EB56" w14:textId="4103FB4F" w:rsidR="00755C26" w:rsidRPr="009D0F6F" w:rsidRDefault="00755C26" w:rsidP="00755C26">
      <w:pPr>
        <w:pStyle w:val="Tijeloteksta"/>
        <w:spacing w:before="240" w:line="276" w:lineRule="auto"/>
        <w:ind w:left="652" w:right="1411" w:hanging="512"/>
        <w:jc w:val="both"/>
        <w:rPr>
          <w:color w:val="000000"/>
        </w:rPr>
      </w:pPr>
      <w:r>
        <w:t xml:space="preserve">Metaregistar: </w:t>
      </w:r>
      <w:r>
        <w:rPr>
          <w:color w:val="000000"/>
        </w:rPr>
        <w:t>središnji katalog metapodataka o registrima i drugim informacijskim sustavima koji su dio državne informacijske infrastrukture.</w:t>
      </w:r>
    </w:p>
    <w:p w14:paraId="74FAFAC5" w14:textId="0BD10B1D" w:rsidR="007B25FE" w:rsidRDefault="007B1E65" w:rsidP="00755C26">
      <w:pPr>
        <w:pStyle w:val="Tijeloteksta"/>
        <w:spacing w:before="240" w:line="276" w:lineRule="auto"/>
        <w:ind w:left="652" w:right="1411" w:hanging="512"/>
        <w:jc w:val="both"/>
      </w:pPr>
      <w:r w:rsidRPr="00896667">
        <w:t>Odbor za podatke i umjetnu inteligenciju (DARB)</w:t>
      </w:r>
      <w:r>
        <w:t xml:space="preserve"> (</w:t>
      </w:r>
      <w:r w:rsidR="007F14D1" w:rsidRPr="002D7F89">
        <w:t>eng.</w:t>
      </w:r>
      <w:r w:rsidR="007F14D1" w:rsidRPr="007F14D1">
        <w:rPr>
          <w:i/>
          <w:iCs/>
        </w:rPr>
        <w:t xml:space="preserve"> Data and Artificial Intelligence Review </w:t>
      </w:r>
      <w:r>
        <w:rPr>
          <w:i/>
          <w:iCs/>
        </w:rPr>
        <w:t>bord):</w:t>
      </w:r>
      <w:r w:rsidR="007F14D1" w:rsidRPr="00896667">
        <w:t>ključno tijelo NATO saveza osnovano radi upravljanja i nadzora nad razvojem te primjenom tehnologija umjetne inteligencije i podataka unutar cijelog Saveza</w:t>
      </w:r>
      <w:r w:rsidR="007B25FE">
        <w:t>;</w:t>
      </w:r>
    </w:p>
    <w:p w14:paraId="0C48A4B4" w14:textId="6DA401DE" w:rsidR="007F14D1" w:rsidRPr="00896667" w:rsidRDefault="007B25FE" w:rsidP="00755C26">
      <w:pPr>
        <w:pStyle w:val="Tijeloteksta"/>
        <w:spacing w:before="240" w:line="276" w:lineRule="auto"/>
        <w:ind w:left="652" w:right="1411" w:hanging="512"/>
        <w:jc w:val="both"/>
      </w:pPr>
      <w:r w:rsidRPr="007B25FE">
        <w:t>Ozbiljan incident: incident ili neispravnost UI sustava koji su izravno ili neizravno doveli do smrti osobe ili ozbiljnog narušavanja zdravlja osobe, ozbiljnog i nepovratnog poremećaja u upravljanju kritičnom infrastrukturom ili njezinu radu, povrede obveza na temelju prava Unije namijenjenih zaštiti temeljnih prava ili teške štete za imovinu ili okoliš. Definicija je preuzeta iz članka 3. točke 49. Akta o UI-ju</w:t>
      </w:r>
      <w:r>
        <w:t>;</w:t>
      </w:r>
    </w:p>
    <w:p w14:paraId="0DEF2991" w14:textId="3FD977CA" w:rsidR="00755C26" w:rsidRPr="00A609CA" w:rsidRDefault="008D7BFA" w:rsidP="00755C26">
      <w:pPr>
        <w:pStyle w:val="Tijeloteksta"/>
        <w:spacing w:before="240" w:line="276" w:lineRule="auto"/>
        <w:ind w:left="652" w:right="1411" w:hanging="512"/>
        <w:jc w:val="both"/>
      </w:pPr>
      <w:r>
        <w:rPr>
          <w:i/>
          <w:iCs/>
        </w:rPr>
        <w:t xml:space="preserve">(Spear) </w:t>
      </w:r>
      <w:r w:rsidR="00755C26">
        <w:rPr>
          <w:i/>
          <w:iCs/>
        </w:rPr>
        <w:t>Phishing</w:t>
      </w:r>
      <w:r w:rsidR="00755C26">
        <w:t xml:space="preserve"> kamp</w:t>
      </w:r>
      <w:r w:rsidR="00755C26">
        <w:rPr>
          <w:color w:val="000000"/>
        </w:rPr>
        <w:t xml:space="preserve">anje: </w:t>
      </w:r>
      <w:r>
        <w:rPr>
          <w:color w:val="000000"/>
        </w:rPr>
        <w:t xml:space="preserve">ciljani individualizirani i opći </w:t>
      </w:r>
      <w:r w:rsidR="00755C26">
        <w:rPr>
          <w:color w:val="000000"/>
        </w:rPr>
        <w:t xml:space="preserve">organizirani pokušaji prijevare </w:t>
      </w:r>
      <w:r w:rsidR="00755C26">
        <w:rPr>
          <w:color w:val="000000"/>
        </w:rPr>
        <w:lastRenderedPageBreak/>
        <w:t>kojima se putem elektroničke pošte, SMS poruka, društvenih mreža ili lažnih internetskih stranica korisnike nastoji navesti na otkrivanje povjerljivih podataka, poput lozinki, bankovnih podataka ili osobnih informacija;</w:t>
      </w:r>
    </w:p>
    <w:p w14:paraId="2B1A6A9B" w14:textId="50CCE4EF" w:rsidR="00755C26" w:rsidRPr="009D0F6F" w:rsidRDefault="00755C26" w:rsidP="00755C26">
      <w:pPr>
        <w:pStyle w:val="Tijeloteksta"/>
        <w:spacing w:before="240" w:line="276" w:lineRule="auto"/>
        <w:ind w:left="652" w:right="1412" w:hanging="512"/>
        <w:jc w:val="both"/>
        <w:rPr>
          <w:color w:val="000000"/>
        </w:rPr>
      </w:pPr>
      <w:r>
        <w:t xml:space="preserve">Podatkovno jezero (eng. </w:t>
      </w:r>
      <w:r>
        <w:rPr>
          <w:i/>
          <w:iCs/>
        </w:rPr>
        <w:t>Data lake)</w:t>
      </w:r>
      <w:r>
        <w:t>:</w:t>
      </w:r>
      <w:r>
        <w:rPr>
          <w:color w:val="000000"/>
        </w:rPr>
        <w:t xml:space="preserve"> centralizirano spremište koje omogućuje pohranu velikih količina strukturiranih, polustrukturiranih i nestrukturiranih podataka u njihovu izvornom obliku. Namijenjeno je analizi podataka, naprednoj obradi, umjetnoj inteligenciji i strojnom učenju radi stvaranja poslovnih i istraživačkih uvida;</w:t>
      </w:r>
    </w:p>
    <w:p w14:paraId="2F78885D" w14:textId="77777777" w:rsidR="00755C26" w:rsidRPr="00A609CA" w:rsidRDefault="00755C26" w:rsidP="00755C26">
      <w:pPr>
        <w:pStyle w:val="Tijeloteksta"/>
        <w:spacing w:before="240" w:line="276" w:lineRule="auto"/>
        <w:ind w:left="652" w:right="1412" w:hanging="512"/>
        <w:jc w:val="both"/>
      </w:pPr>
      <w:r>
        <w:rPr>
          <w:rStyle w:val="Naglaeno"/>
          <w:rFonts w:eastAsia="Arial" w:cs="Arial"/>
          <w:b w:val="0"/>
          <w:bCs w:val="0"/>
        </w:rPr>
        <w:t>SCADA</w:t>
      </w:r>
      <w:r>
        <w:t xml:space="preserve"> (eng. </w:t>
      </w:r>
      <w:r>
        <w:rPr>
          <w:rStyle w:val="Istaknuto"/>
          <w:rFonts w:eastAsiaTheme="majorEastAsia"/>
        </w:rPr>
        <w:t>Supervisory Control And Data Acquisition</w:t>
      </w:r>
      <w:r>
        <w:t>): računalni sustav namijenjen nadzoru, prikupljanju podataka i upravljanju industrijskim procesima u stvarnom vremenu;</w:t>
      </w:r>
    </w:p>
    <w:p w14:paraId="3E141946" w14:textId="3A03C2FB" w:rsidR="00755C26" w:rsidRPr="009D0F6F" w:rsidRDefault="00755C26" w:rsidP="00755C26">
      <w:pPr>
        <w:pStyle w:val="Tijeloteksta"/>
        <w:spacing w:before="240" w:line="276" w:lineRule="auto"/>
        <w:ind w:left="652" w:right="1412" w:hanging="512"/>
        <w:jc w:val="both"/>
        <w:rPr>
          <w:i/>
          <w:color w:val="000000"/>
        </w:rPr>
      </w:pPr>
      <w:r>
        <w:rPr>
          <w:i/>
          <w:iCs/>
        </w:rPr>
        <w:t xml:space="preserve">Special Eurobarometer 566 on The Digital Decade 2025: </w:t>
      </w:r>
      <w:r>
        <w:rPr>
          <w:color w:val="000000"/>
        </w:rPr>
        <w:t>Posebno istraživanje Eurobarometra 566 o Digitalnom desetljeću 2025. istraživanje je javnog mnijenja provedeno na razini cijele Europske unije između veljače i ožujka 2025. godine. Istražuju se stavovi građana prema digitalnoj transformaciji EU-a, pri čemu rezultati pokazuju široku potporu digitalnim pravima, sigurnoj infrastrukturi te etičnom razvoju tehnologija poput UI-ja.</w:t>
      </w:r>
    </w:p>
    <w:p w14:paraId="241A62D4" w14:textId="46C3CC64" w:rsidR="00755C26" w:rsidRPr="00A609CA" w:rsidRDefault="00755C26" w:rsidP="00755C26">
      <w:pPr>
        <w:pStyle w:val="Tijeloteksta"/>
        <w:spacing w:before="240" w:line="276" w:lineRule="auto"/>
        <w:ind w:left="652" w:right="1412" w:hanging="512"/>
        <w:jc w:val="both"/>
      </w:pPr>
      <w:r>
        <w:rPr>
          <w:i/>
          <w:iCs/>
        </w:rPr>
        <w:t>Scale-</w:t>
      </w:r>
      <w:r>
        <w:rPr>
          <w:i/>
          <w:color w:val="000000"/>
        </w:rPr>
        <w:t>up</w:t>
      </w:r>
      <w:r>
        <w:rPr>
          <w:color w:val="000000"/>
        </w:rPr>
        <w:t xml:space="preserve"> poduzeće:</w:t>
      </w:r>
      <w:r>
        <w:rPr>
          <w:b/>
          <w:color w:val="000000"/>
        </w:rPr>
        <w:t xml:space="preserve"> </w:t>
      </w:r>
      <w:r>
        <w:rPr>
          <w:color w:val="000000"/>
        </w:rPr>
        <w:t>poduzeće koje je uspješno prošlo početnu startup fazu te ostvaruje ubrzan i održiv rast prihoda, broja zaposlenih ili tržišnog udjela;</w:t>
      </w:r>
    </w:p>
    <w:p w14:paraId="234E3509" w14:textId="53F4A5F9" w:rsidR="00755C26" w:rsidRPr="009D0F6F" w:rsidRDefault="00755C26" w:rsidP="00755C26">
      <w:pPr>
        <w:pStyle w:val="Tijeloteksta"/>
        <w:spacing w:before="240" w:line="276" w:lineRule="auto"/>
        <w:ind w:left="652" w:right="1412" w:hanging="512"/>
        <w:jc w:val="both"/>
        <w:rPr>
          <w:color w:val="000000"/>
        </w:rPr>
      </w:pPr>
      <w:r>
        <w:rPr>
          <w:i/>
          <w:iCs/>
        </w:rPr>
        <w:t>School Administration</w:t>
      </w:r>
      <w:r>
        <w:t xml:space="preserve"> (SCAD):</w:t>
      </w:r>
      <w:r>
        <w:rPr>
          <w:color w:val="000000"/>
        </w:rPr>
        <w:t xml:space="preserve"> sustav za administraciju i upravljanje obrazovnim procesima koji podržava planiranje, provedbu i praćenje nastavnih, administrativnih i poslovnih aktivnosti obrazovne ustanove;</w:t>
      </w:r>
    </w:p>
    <w:p w14:paraId="0A5561D4" w14:textId="2ED29909" w:rsidR="00755C26" w:rsidRPr="009D0F6F" w:rsidRDefault="00755C26" w:rsidP="00755C26">
      <w:pPr>
        <w:pStyle w:val="Tijeloteksta"/>
        <w:spacing w:before="240" w:line="276" w:lineRule="auto"/>
        <w:ind w:left="652" w:right="1412" w:hanging="512"/>
        <w:jc w:val="both"/>
        <w:rPr>
          <w:color w:val="000000"/>
        </w:rPr>
      </w:pPr>
      <w:r>
        <w:rPr>
          <w:i/>
          <w:iCs/>
        </w:rPr>
        <w:t>Spin-off</w:t>
      </w:r>
      <w:r>
        <w:t xml:space="preserve"> poduzeće: </w:t>
      </w:r>
      <w:r>
        <w:rPr>
          <w:color w:val="000000"/>
        </w:rPr>
        <w:t>novoosnovano poduzeće nastalo iz postojeće organizacije, najčešće sveučilišta, istraživačk</w:t>
      </w:r>
      <w:r w:rsidR="00F60A67">
        <w:rPr>
          <w:color w:val="000000"/>
        </w:rPr>
        <w:t>e</w:t>
      </w:r>
      <w:r>
        <w:rPr>
          <w:color w:val="000000"/>
        </w:rPr>
        <w:t xml:space="preserve"> </w:t>
      </w:r>
      <w:r w:rsidR="00F60A67">
        <w:rPr>
          <w:color w:val="000000"/>
        </w:rPr>
        <w:t xml:space="preserve">organizacije </w:t>
      </w:r>
      <w:r>
        <w:rPr>
          <w:color w:val="000000"/>
        </w:rPr>
        <w:t>ili poslovnog subjekta, radi komercijalizacije znanja, tehnologije, patenata ili rezultata istraživanja;</w:t>
      </w:r>
    </w:p>
    <w:p w14:paraId="0896C767" w14:textId="77777777" w:rsidR="00755C26" w:rsidRDefault="00755C26" w:rsidP="00755C26">
      <w:pPr>
        <w:pStyle w:val="Tijeloteksta"/>
        <w:spacing w:before="240" w:line="276" w:lineRule="auto"/>
        <w:ind w:left="652" w:right="1412" w:hanging="512"/>
        <w:jc w:val="both"/>
      </w:pPr>
      <w:r>
        <w:rPr>
          <w:i/>
          <w:iCs/>
        </w:rPr>
        <w:t xml:space="preserve">Startup </w:t>
      </w:r>
      <w:r>
        <w:t>poduzeće: novoosnovano poduzeće koje razvija inovativan proizvod, uslugu ili poslovni model s potencijalom brzog rasta i širenja na tržištu;</w:t>
      </w:r>
    </w:p>
    <w:p w14:paraId="30FE62A6" w14:textId="7234EBDB" w:rsidR="007B25FE" w:rsidRPr="00A609CA" w:rsidRDefault="007B25FE" w:rsidP="00755C26">
      <w:pPr>
        <w:pStyle w:val="Tijeloteksta"/>
        <w:spacing w:before="240" w:line="276" w:lineRule="auto"/>
        <w:ind w:left="652" w:right="1412" w:hanging="512"/>
        <w:jc w:val="both"/>
      </w:pPr>
      <w:r w:rsidRPr="007B25FE">
        <w:t>Subjekt koji uvodi sustav: fizička ili pravna osoba, tijelo javne vlasti, javna agencija ili drugo javno tijelo koje upotrebljava UI sustav u okviru svoje nadležnosti, osim ako se UI sustav upotrebljava u osobnoj neprofesionalnoj djelatnosti. Definicija je preuzeta iz članka 3. točke 4. Akta o UI-ju</w:t>
      </w:r>
      <w:r>
        <w:t>;</w:t>
      </w:r>
    </w:p>
    <w:p w14:paraId="1B6C758A" w14:textId="5E24DD97" w:rsidR="00755C26" w:rsidRPr="00A609CA" w:rsidRDefault="00755C26" w:rsidP="00755C26">
      <w:pPr>
        <w:pStyle w:val="Tijeloteksta"/>
        <w:spacing w:before="240" w:line="276" w:lineRule="auto"/>
        <w:ind w:left="652" w:right="1411" w:hanging="512"/>
        <w:jc w:val="both"/>
      </w:pPr>
      <w:r>
        <w:t xml:space="preserve">SWOT analiza: </w:t>
      </w:r>
      <w:r>
        <w:rPr>
          <w:color w:val="000000"/>
        </w:rPr>
        <w:t>strateški alat za procjenu unutarnjih i vanjskih čimbenika koji utječu na organizaciju, projekt ili poslovanje. Obuhvaća analizu snaga (</w:t>
      </w:r>
      <w:r>
        <w:rPr>
          <w:i/>
          <w:color w:val="000000"/>
        </w:rPr>
        <w:t>Strengths</w:t>
      </w:r>
      <w:r>
        <w:rPr>
          <w:color w:val="000000"/>
        </w:rPr>
        <w:t>), slabosti (</w:t>
      </w:r>
      <w:r>
        <w:rPr>
          <w:i/>
          <w:color w:val="000000"/>
        </w:rPr>
        <w:t>Weaknesses</w:t>
      </w:r>
      <w:r>
        <w:rPr>
          <w:color w:val="000000"/>
        </w:rPr>
        <w:t>), prilika (</w:t>
      </w:r>
      <w:r>
        <w:rPr>
          <w:i/>
          <w:color w:val="000000"/>
        </w:rPr>
        <w:t>Opportunities</w:t>
      </w:r>
      <w:r>
        <w:rPr>
          <w:color w:val="000000"/>
        </w:rPr>
        <w:t>) i prijetnji (</w:t>
      </w:r>
      <w:r>
        <w:rPr>
          <w:i/>
          <w:color w:val="000000"/>
        </w:rPr>
        <w:t>Threats</w:t>
      </w:r>
      <w:r>
        <w:rPr>
          <w:color w:val="000000"/>
        </w:rPr>
        <w:t>) radi prepoznavanja razvojnih mogućnosti i potencijalnih rizika;</w:t>
      </w:r>
    </w:p>
    <w:p w14:paraId="2AE5EEAC" w14:textId="629D4B87" w:rsidR="00755C26" w:rsidRPr="00A609CA" w:rsidRDefault="00755C26" w:rsidP="00755C26">
      <w:pPr>
        <w:pStyle w:val="Tijeloteksta"/>
        <w:spacing w:before="240" w:line="276" w:lineRule="auto"/>
        <w:ind w:left="652" w:right="1413" w:hanging="512"/>
        <w:jc w:val="both"/>
      </w:pPr>
      <w:r>
        <w:t xml:space="preserve">UI agent (eng. </w:t>
      </w:r>
      <w:r>
        <w:rPr>
          <w:i/>
        </w:rPr>
        <w:t>AI agent</w:t>
      </w:r>
      <w:r>
        <w:t xml:space="preserve">): </w:t>
      </w:r>
      <w:r>
        <w:rPr>
          <w:color w:val="000000"/>
        </w:rPr>
        <w:t>UI model opće namjene obučen za zaključivanje, planiranje i generiranje različitih sadržaja, s malo ili bez ljudskog nadzora: programskog koda, što uključuje API pozive drugih biblioteka, pretraživanje interneta i dr. Poziva druge alate za izvođenje koda i akcija, potom evaluira status nakon izvođenja tih akcija, donosi zaključke na temelju rezultata te generira plan za daljnje korake koje zatim opet drugi alati izvode</w:t>
      </w:r>
      <w:r>
        <w:rPr>
          <w:color w:val="000000"/>
          <w:spacing w:val="-2"/>
        </w:rPr>
        <w:t>.</w:t>
      </w:r>
    </w:p>
    <w:p w14:paraId="52021785" w14:textId="7FCFFB82" w:rsidR="00755C26" w:rsidRPr="00A609CA" w:rsidRDefault="00755C26" w:rsidP="00755C26">
      <w:pPr>
        <w:pStyle w:val="Tijeloteksta"/>
        <w:spacing w:before="240" w:line="276" w:lineRule="auto"/>
        <w:ind w:left="652" w:right="1413" w:hanging="512"/>
        <w:jc w:val="both"/>
      </w:pPr>
      <w:r>
        <w:lastRenderedPageBreak/>
        <w:t xml:space="preserve">UI model opće namjene: </w:t>
      </w:r>
      <w:r>
        <w:rPr>
          <w:lang w:val="en-US"/>
        </w:rPr>
        <w:t>UI model</w:t>
      </w:r>
      <w:r>
        <w:rPr>
          <w:b/>
          <w:lang w:val="en-US"/>
        </w:rPr>
        <w:t xml:space="preserve"> </w:t>
      </w:r>
      <w:r>
        <w:t xml:space="preserve">(eng. </w:t>
      </w:r>
      <w:r>
        <w:rPr>
          <w:i/>
        </w:rPr>
        <w:t>AI model</w:t>
      </w:r>
      <w:r>
        <w:t xml:space="preserve">), </w:t>
      </w:r>
      <w:r>
        <w:rPr>
          <w:color w:val="000000"/>
        </w:rPr>
        <w:t>uključujući takav UI model treniran s pomoću velike količine podataka uz primjenu samostalnog nadzora u širokim razmjerima, koji ima vrlo općenitu namjenu i može kompetentno obavljati širok raspon različitih zadaća bez obzira na način na koji se model stavlja na tržište i koji se može integrirati u razne UI sustave ili primjene niže u lancu, osim UI modela koji se upotrebljavaju za aktivnosti istraživanja, razvoja ili izrade prototipova prije njihova stavljanja na tržište;</w:t>
      </w:r>
      <w:r w:rsidR="00335AFC">
        <w:rPr>
          <w:color w:val="000000"/>
        </w:rPr>
        <w:t xml:space="preserve"> d</w:t>
      </w:r>
      <w:r w:rsidR="00335AFC" w:rsidRPr="00335AFC">
        <w:rPr>
          <w:color w:val="000000"/>
        </w:rPr>
        <w:t>efinicija je preuzeta iz članka 3. točke 63. Akta o UI-ju</w:t>
      </w:r>
      <w:r w:rsidR="00335AFC">
        <w:rPr>
          <w:color w:val="000000"/>
        </w:rPr>
        <w:t>;</w:t>
      </w:r>
    </w:p>
    <w:p w14:paraId="354D3DC2" w14:textId="6045B5F9" w:rsidR="00755C26" w:rsidRPr="009D0F6F" w:rsidRDefault="00755C26" w:rsidP="00755C26">
      <w:pPr>
        <w:pStyle w:val="Tijeloteksta"/>
        <w:spacing w:before="240" w:line="276" w:lineRule="auto"/>
        <w:ind w:left="652" w:right="1413" w:hanging="512"/>
        <w:jc w:val="both"/>
        <w:rPr>
          <w:color w:val="000000"/>
        </w:rPr>
      </w:pPr>
      <w:r>
        <w:t xml:space="preserve">UI sustav: </w:t>
      </w:r>
      <w:r>
        <w:rPr>
          <w:color w:val="000000"/>
        </w:rPr>
        <w:t>strojni sustav dizajniran za rad s promjenjivim razinama autonomije i koji nakon uvođenja može pokazati prilagodljivost te koji, za eksplicitne ili implicitne ciljeve, iz ulaznih vrijednosti koje prima zaključuje kako generirati izlazne vrijednosti kao što su predviđanja, sadržaj, preporuke ili odluke koje mogu utjecati na fizička ili virtualna okruženja</w:t>
      </w:r>
      <w:r>
        <w:rPr>
          <w:color w:val="000000"/>
          <w:spacing w:val="-2"/>
        </w:rPr>
        <w:t>;</w:t>
      </w:r>
      <w:r w:rsidR="00472F09">
        <w:rPr>
          <w:color w:val="000000"/>
          <w:spacing w:val="-2"/>
        </w:rPr>
        <w:t xml:space="preserve"> </w:t>
      </w:r>
      <w:r w:rsidR="00335AFC">
        <w:rPr>
          <w:color w:val="000000"/>
          <w:spacing w:val="-2"/>
        </w:rPr>
        <w:t>d</w:t>
      </w:r>
      <w:r w:rsidR="00472F09" w:rsidRPr="00472F09">
        <w:rPr>
          <w:color w:val="000000"/>
          <w:spacing w:val="-2"/>
        </w:rPr>
        <w:t>efinicija je preuzeta iz članka 3. točke 1. Akta o UI-ju</w:t>
      </w:r>
      <w:r w:rsidR="00472F09">
        <w:rPr>
          <w:color w:val="000000"/>
          <w:spacing w:val="-2"/>
        </w:rPr>
        <w:t>;</w:t>
      </w:r>
    </w:p>
    <w:p w14:paraId="6F46F94A" w14:textId="15D09365" w:rsidR="00755C26" w:rsidRPr="00A609CA" w:rsidRDefault="00755C26" w:rsidP="00755C26">
      <w:pPr>
        <w:pStyle w:val="Tijeloteksta"/>
        <w:spacing w:before="240" w:line="276" w:lineRule="auto"/>
        <w:ind w:left="652" w:right="1412" w:hanging="512"/>
        <w:jc w:val="both"/>
      </w:pPr>
      <w:r>
        <w:t>Umjetna</w:t>
      </w:r>
      <w:r>
        <w:rPr>
          <w:spacing w:val="-13"/>
        </w:rPr>
        <w:t xml:space="preserve"> </w:t>
      </w:r>
      <w:r>
        <w:t>inteligencija</w:t>
      </w:r>
      <w:r>
        <w:rPr>
          <w:spacing w:val="-12"/>
        </w:rPr>
        <w:t xml:space="preserve"> </w:t>
      </w:r>
      <w:r>
        <w:t>(UI):</w:t>
      </w:r>
      <w:r>
        <w:rPr>
          <w:spacing w:val="34"/>
        </w:rPr>
        <w:t xml:space="preserve"> </w:t>
      </w:r>
      <w:r>
        <w:rPr>
          <w:color w:val="000000"/>
        </w:rPr>
        <w:t>područje računarske znanosti usmjereno na razvoj UI modela i UI sustava temeljenih na učenju iz podataka, a sposobnih za izvođenje zadataka koje tipično traže ljudsku inteligenciju. Primjeri takvih zadataka uključuju razumijevanje i generiranje prirodnog jezika, zvuka, slike ili videa; rješavanje složenih problema i zaključivanje na temelju podataka; upravljanje robotima i autonomnim vozilima</w:t>
      </w:r>
      <w:r w:rsidR="001D4600">
        <w:rPr>
          <w:color w:val="000000"/>
          <w:spacing w:val="-2"/>
        </w:rPr>
        <w:t>;</w:t>
      </w:r>
    </w:p>
    <w:p w14:paraId="10D68678" w14:textId="0C0E9519" w:rsidR="00755C26" w:rsidRDefault="00755C26" w:rsidP="00755C26">
      <w:pPr>
        <w:pStyle w:val="Tijeloteksta"/>
        <w:spacing w:before="240" w:line="276" w:lineRule="auto"/>
        <w:ind w:left="652" w:right="1414" w:hanging="512"/>
        <w:jc w:val="both"/>
        <w:rPr>
          <w:spacing w:val="-2"/>
        </w:rPr>
      </w:pPr>
      <w:r>
        <w:t xml:space="preserve">Veliki jezični model (eng. </w:t>
      </w:r>
      <w:r>
        <w:rPr>
          <w:i/>
        </w:rPr>
        <w:t>Large Language Model, LLM</w:t>
      </w:r>
      <w:r>
        <w:t>): UI model treniran na velikim količinama tekstualnih podataka s interneta, pogodan za</w:t>
      </w:r>
      <w:r>
        <w:rPr>
          <w:spacing w:val="-1"/>
        </w:rPr>
        <w:t xml:space="preserve"> </w:t>
      </w:r>
      <w:r>
        <w:t xml:space="preserve">različite nizvodne zadatke poput prevođenja, sažimanja, analize sentimenta, predlaganja opcija i proizvoda (u web-shopovima, video servisima poput </w:t>
      </w:r>
      <w:r>
        <w:rPr>
          <w:i/>
        </w:rPr>
        <w:t xml:space="preserve">Netflixa </w:t>
      </w:r>
      <w:r>
        <w:t xml:space="preserve">ili </w:t>
      </w:r>
      <w:r>
        <w:rPr>
          <w:i/>
        </w:rPr>
        <w:t>YouTubea)</w:t>
      </w:r>
      <w:r>
        <w:t xml:space="preserve">, razgovora (eng. </w:t>
      </w:r>
      <w:r>
        <w:rPr>
          <w:i/>
        </w:rPr>
        <w:t>Chat</w:t>
      </w:r>
      <w:r>
        <w:t xml:space="preserve">) u sustavima korisničke podrške, pretraživanju i zaključivanju na temelju baze znanja, te generiranje izvornog koda u različitim programskim jezicima i teksta na različitim </w:t>
      </w:r>
      <w:r>
        <w:rPr>
          <w:spacing w:val="-2"/>
        </w:rPr>
        <w:t>jezicima</w:t>
      </w:r>
      <w:r w:rsidR="001D4600">
        <w:rPr>
          <w:spacing w:val="-2"/>
        </w:rPr>
        <w:t>;</w:t>
      </w:r>
    </w:p>
    <w:p w14:paraId="3DE98C8F" w14:textId="77777777" w:rsidR="002D7F89" w:rsidRDefault="001D4600" w:rsidP="00EB1721">
      <w:pPr>
        <w:pStyle w:val="Tijeloteksta"/>
        <w:spacing w:before="240" w:line="276" w:lineRule="auto"/>
        <w:ind w:left="652" w:right="1411" w:hanging="512"/>
        <w:jc w:val="both"/>
        <w:rPr>
          <w:spacing w:val="-2"/>
        </w:rPr>
      </w:pPr>
      <w:r w:rsidRPr="001D4600">
        <w:rPr>
          <w:spacing w:val="-2"/>
        </w:rPr>
        <w:t>Visokorizični UI sustav: UI sustav koji se u skladu s člankom 6. Akta o UI-ju klasificira kao visokorizičan. Obuhvaća sustave koji ispunjavaju uvjete iz članka 6. stavka 1. u vezi s Prilogom I. te sustave iz Priloga III., uz primjenu uvjeta i iznimaka propisanih člankom 6.</w:t>
      </w:r>
      <w:r>
        <w:rPr>
          <w:spacing w:val="-2"/>
        </w:rPr>
        <w:t>;</w:t>
      </w:r>
    </w:p>
    <w:p w14:paraId="10F1635E" w14:textId="267A9D60" w:rsidR="00D80474" w:rsidRPr="00896667" w:rsidRDefault="007F14D1" w:rsidP="00EB1721">
      <w:pPr>
        <w:pStyle w:val="Tijeloteksta"/>
        <w:spacing w:before="240" w:line="276" w:lineRule="auto"/>
        <w:ind w:left="652" w:right="1411" w:hanging="512"/>
        <w:jc w:val="both"/>
        <w:sectPr w:rsidR="00D80474" w:rsidRPr="00896667" w:rsidSect="007E5467">
          <w:footerReference w:type="default" r:id="rId9"/>
          <w:pgSz w:w="12240" w:h="15840"/>
          <w:pgMar w:top="792" w:right="720" w:bottom="792" w:left="792" w:header="360" w:footer="360" w:gutter="0"/>
          <w:cols w:space="720"/>
          <w:docGrid w:linePitch="272"/>
        </w:sectPr>
      </w:pPr>
      <w:r>
        <w:t>Zrelost otvorenih podataka</w:t>
      </w:r>
      <w:r>
        <w:rPr>
          <w:i/>
          <w:iCs/>
        </w:rPr>
        <w:t xml:space="preserve"> (</w:t>
      </w:r>
      <w:r w:rsidRPr="002D7F89">
        <w:t>eng.</w:t>
      </w:r>
      <w:r>
        <w:rPr>
          <w:i/>
          <w:iCs/>
        </w:rPr>
        <w:t xml:space="preserve"> Open data maturity</w:t>
      </w:r>
      <w:r>
        <w:t xml:space="preserve">): </w:t>
      </w:r>
      <w:r>
        <w:rPr>
          <w:color w:val="000000"/>
        </w:rPr>
        <w:t>predstavlja razinu razvijenosti politika, infrastrukture i praksi kojima se omogućuje objava, dostupnost i ponovna uporaba otvorenih podataka u javnom sektoru. Procjenjuje se kroz čimbenike kao što su kvaliteta podataka, funkcionalnost podatkovnih portala, regulatorni okvir i ostvareni učinci korištenja otvorenih podataka</w:t>
      </w:r>
      <w:r w:rsidR="00EB1721">
        <w:rPr>
          <w:color w:val="000000"/>
        </w:rPr>
        <w:t>.</w:t>
      </w:r>
    </w:p>
    <w:bookmarkEnd w:id="98"/>
    <w:p w14:paraId="7C632A45" w14:textId="3B1E3006" w:rsidR="00F90086" w:rsidRPr="00A609CA" w:rsidRDefault="00F90086" w:rsidP="00663A01">
      <w:pPr>
        <w:pStyle w:val="Naslov2"/>
        <w:keepNext w:val="0"/>
        <w:keepLines w:val="0"/>
        <w:widowControl w:val="0"/>
        <w:tabs>
          <w:tab w:val="left" w:pos="621"/>
        </w:tabs>
        <w:autoSpaceDE w:val="0"/>
        <w:autoSpaceDN w:val="0"/>
        <w:spacing w:before="58" w:line="240" w:lineRule="auto"/>
      </w:pPr>
    </w:p>
    <w:sectPr w:rsidR="00F90086" w:rsidRPr="00A609CA" w:rsidSect="00D0611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E3282" w14:textId="77777777" w:rsidR="00B44221" w:rsidRDefault="00B44221">
      <w:pPr>
        <w:spacing w:after="0" w:line="240" w:lineRule="auto"/>
      </w:pPr>
      <w:r>
        <w:separator/>
      </w:r>
    </w:p>
  </w:endnote>
  <w:endnote w:type="continuationSeparator" w:id="0">
    <w:p w14:paraId="6A5BF2D2" w14:textId="77777777" w:rsidR="00B44221" w:rsidRDefault="00B44221">
      <w:pPr>
        <w:spacing w:after="0" w:line="240" w:lineRule="auto"/>
      </w:pPr>
      <w:r>
        <w:continuationSeparator/>
      </w:r>
    </w:p>
  </w:endnote>
  <w:endnote w:type="continuationNotice" w:id="1">
    <w:p w14:paraId="057C72C0" w14:textId="77777777" w:rsidR="00B44221" w:rsidRDefault="00B442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15270"/>
      <w:docPartObj>
        <w:docPartGallery w:val="Page Numbers (Bottom of Page)"/>
        <w:docPartUnique/>
      </w:docPartObj>
    </w:sdtPr>
    <w:sdtEndPr>
      <w:rPr>
        <w:rFonts w:ascii="Times New Roman" w:hAnsi="Times New Roman" w:cs="Times New Roman"/>
        <w:color w:val="4472C4" w:themeColor="accent1"/>
        <w:sz w:val="24"/>
        <w:szCs w:val="24"/>
      </w:rPr>
    </w:sdtEndPr>
    <w:sdtContent>
      <w:p w14:paraId="5F303F42" w14:textId="77777777" w:rsidR="00E453F2" w:rsidRPr="00A74FFA" w:rsidRDefault="00E453F2">
        <w:pPr>
          <w:pStyle w:val="Podnoje"/>
          <w:jc w:val="right"/>
          <w:rPr>
            <w:rFonts w:ascii="Times New Roman" w:hAnsi="Times New Roman" w:cs="Times New Roman"/>
            <w:color w:val="4472C4" w:themeColor="accent1"/>
            <w:sz w:val="24"/>
            <w:szCs w:val="24"/>
          </w:rPr>
        </w:pPr>
        <w:r w:rsidRPr="00A74FFA">
          <w:rPr>
            <w:rFonts w:ascii="Times New Roman" w:hAnsi="Times New Roman" w:cs="Times New Roman"/>
            <w:color w:val="4472C4" w:themeColor="accent1"/>
            <w:sz w:val="24"/>
            <w:szCs w:val="24"/>
          </w:rPr>
          <w:fldChar w:fldCharType="begin"/>
        </w:r>
        <w:r w:rsidRPr="00A74FFA">
          <w:rPr>
            <w:rFonts w:ascii="Times New Roman" w:hAnsi="Times New Roman" w:cs="Times New Roman"/>
            <w:color w:val="4472C4" w:themeColor="accent1"/>
            <w:sz w:val="24"/>
            <w:szCs w:val="24"/>
          </w:rPr>
          <w:instrText>PAGE   \* MERGEFORMAT</w:instrText>
        </w:r>
        <w:r w:rsidRPr="00A74FFA">
          <w:rPr>
            <w:rFonts w:ascii="Times New Roman" w:hAnsi="Times New Roman" w:cs="Times New Roman"/>
            <w:color w:val="4472C4" w:themeColor="accent1"/>
            <w:sz w:val="24"/>
            <w:szCs w:val="24"/>
          </w:rPr>
          <w:fldChar w:fldCharType="separate"/>
        </w:r>
        <w:r w:rsidRPr="00A74FFA">
          <w:rPr>
            <w:rFonts w:ascii="Times New Roman" w:hAnsi="Times New Roman" w:cs="Times New Roman"/>
            <w:color w:val="4472C4" w:themeColor="accent1"/>
            <w:sz w:val="24"/>
            <w:szCs w:val="24"/>
            <w:lang w:val="hr-HR"/>
          </w:rPr>
          <w:t>2</w:t>
        </w:r>
        <w:r w:rsidRPr="00A74FFA">
          <w:rPr>
            <w:rFonts w:ascii="Times New Roman" w:hAnsi="Times New Roman" w:cs="Times New Roman"/>
            <w:color w:val="4472C4" w:themeColor="accent1"/>
            <w:sz w:val="24"/>
            <w:szCs w:val="24"/>
          </w:rPr>
          <w:fldChar w:fldCharType="end"/>
        </w:r>
      </w:p>
    </w:sdtContent>
  </w:sdt>
  <w:p w14:paraId="58F7A4C9" w14:textId="77777777" w:rsidR="00E453F2" w:rsidRDefault="00E453F2">
    <w:pPr>
      <w:pStyle w:val="Podnoj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8340814"/>
      <w:docPartObj>
        <w:docPartGallery w:val="Page Numbers (Bottom of Page)"/>
        <w:docPartUnique/>
      </w:docPartObj>
    </w:sdtPr>
    <w:sdtEndPr>
      <w:rPr>
        <w:rFonts w:ascii="Times New Roman" w:hAnsi="Times New Roman" w:cs="Times New Roman"/>
        <w:color w:val="4472C4" w:themeColor="accent1"/>
        <w:sz w:val="24"/>
        <w:szCs w:val="24"/>
        <w:lang w:val="hr-HR"/>
      </w:rPr>
    </w:sdtEndPr>
    <w:sdtContent>
      <w:p w14:paraId="7080668D" w14:textId="169A8C97" w:rsidR="00D0611A" w:rsidRPr="00D0611A" w:rsidRDefault="00D0611A">
        <w:pPr>
          <w:pStyle w:val="Podnoje"/>
          <w:jc w:val="right"/>
          <w:rPr>
            <w:rFonts w:ascii="Times New Roman" w:hAnsi="Times New Roman" w:cs="Times New Roman"/>
            <w:color w:val="4472C4" w:themeColor="accent1"/>
            <w:sz w:val="24"/>
            <w:szCs w:val="24"/>
            <w:lang w:val="hr-HR"/>
          </w:rPr>
        </w:pPr>
        <w:r w:rsidRPr="00D0611A">
          <w:rPr>
            <w:rFonts w:ascii="Times New Roman" w:hAnsi="Times New Roman" w:cs="Times New Roman"/>
            <w:color w:val="4472C4" w:themeColor="accent1"/>
            <w:sz w:val="24"/>
            <w:szCs w:val="24"/>
            <w:lang w:val="hr-HR"/>
          </w:rPr>
          <w:fldChar w:fldCharType="begin"/>
        </w:r>
        <w:r w:rsidRPr="00D0611A">
          <w:rPr>
            <w:rFonts w:ascii="Times New Roman" w:hAnsi="Times New Roman" w:cs="Times New Roman"/>
            <w:color w:val="4472C4" w:themeColor="accent1"/>
            <w:sz w:val="24"/>
            <w:szCs w:val="24"/>
            <w:lang w:val="hr-HR"/>
          </w:rPr>
          <w:instrText>PAGE   \* MERGEFORMAT</w:instrText>
        </w:r>
        <w:r w:rsidRPr="00D0611A">
          <w:rPr>
            <w:rFonts w:ascii="Times New Roman" w:hAnsi="Times New Roman" w:cs="Times New Roman"/>
            <w:color w:val="4472C4" w:themeColor="accent1"/>
            <w:sz w:val="24"/>
            <w:szCs w:val="24"/>
            <w:lang w:val="hr-HR"/>
          </w:rPr>
          <w:fldChar w:fldCharType="separate"/>
        </w:r>
        <w:r w:rsidRPr="00D0611A">
          <w:rPr>
            <w:rFonts w:ascii="Times New Roman" w:hAnsi="Times New Roman" w:cs="Times New Roman"/>
            <w:color w:val="4472C4" w:themeColor="accent1"/>
            <w:sz w:val="24"/>
            <w:szCs w:val="24"/>
            <w:lang w:val="hr-HR"/>
          </w:rPr>
          <w:t>2</w:t>
        </w:r>
        <w:r w:rsidRPr="00D0611A">
          <w:rPr>
            <w:rFonts w:ascii="Times New Roman" w:hAnsi="Times New Roman" w:cs="Times New Roman"/>
            <w:color w:val="4472C4" w:themeColor="accent1"/>
            <w:sz w:val="24"/>
            <w:szCs w:val="24"/>
            <w:lang w:val="hr-HR"/>
          </w:rPr>
          <w:fldChar w:fldCharType="end"/>
        </w:r>
      </w:p>
    </w:sdtContent>
  </w:sdt>
  <w:p w14:paraId="18883070" w14:textId="77777777" w:rsidR="0061355F" w:rsidRDefault="0061355F">
    <w:pPr>
      <w:pStyle w:val="Tijeloteksta"/>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70E1E" w14:textId="77777777" w:rsidR="00B44221" w:rsidRDefault="00B44221">
      <w:pPr>
        <w:spacing w:after="0" w:line="240" w:lineRule="auto"/>
      </w:pPr>
      <w:r>
        <w:separator/>
      </w:r>
    </w:p>
  </w:footnote>
  <w:footnote w:type="continuationSeparator" w:id="0">
    <w:p w14:paraId="0C1D65EB" w14:textId="77777777" w:rsidR="00B44221" w:rsidRDefault="00B44221">
      <w:pPr>
        <w:spacing w:after="0" w:line="240" w:lineRule="auto"/>
      </w:pPr>
      <w:r>
        <w:continuationSeparator/>
      </w:r>
    </w:p>
  </w:footnote>
  <w:footnote w:type="continuationNotice" w:id="1">
    <w:p w14:paraId="2B0D78F6" w14:textId="77777777" w:rsidR="00B44221" w:rsidRDefault="00B44221">
      <w:pPr>
        <w:spacing w:after="0" w:line="240" w:lineRule="auto"/>
      </w:pPr>
    </w:p>
  </w:footnote>
  <w:footnote w:id="2">
    <w:p w14:paraId="775D37F7" w14:textId="7E6AF98F" w:rsidR="00A11BFB" w:rsidRPr="00A11BFB" w:rsidRDefault="00A11BFB">
      <w:pPr>
        <w:pStyle w:val="Tekstfusnote"/>
        <w:rPr>
          <w:rFonts w:ascii="Times New Roman" w:hAnsi="Times New Roman" w:cs="Times New Roman"/>
          <w:lang w:val="hr-HR"/>
        </w:rPr>
      </w:pPr>
      <w:r w:rsidRPr="00575330">
        <w:rPr>
          <w:rStyle w:val="Referencafusnote"/>
          <w:rFonts w:ascii="Times New Roman" w:hAnsi="Times New Roman" w:cs="Times New Roman"/>
        </w:rPr>
        <w:footnoteRef/>
      </w:r>
      <w:r w:rsidR="00575330" w:rsidRPr="00575330">
        <w:rPr>
          <w:rFonts w:ascii="Times New Roman" w:hAnsi="Times New Roman" w:cs="Times New Roman"/>
          <w:vertAlign w:val="superscript"/>
        </w:rPr>
        <w:t>, 2</w:t>
      </w:r>
      <w:r w:rsidRPr="00A11BFB">
        <w:rPr>
          <w:rFonts w:ascii="Times New Roman" w:hAnsi="Times New Roman" w:cs="Times New Roman"/>
        </w:rPr>
        <w:t xml:space="preserve"> </w:t>
      </w:r>
      <w:r w:rsidRPr="00E76EDA">
        <w:rPr>
          <w:rFonts w:ascii="Times New Roman" w:hAnsi="Times New Roman" w:cs="Times New Roman"/>
          <w:lang w:val="hr-HR"/>
        </w:rPr>
        <w:t>Europska komisija,</w:t>
      </w:r>
      <w:r w:rsidRPr="00E76EDA">
        <w:rPr>
          <w:rFonts w:ascii="Times New Roman" w:hAnsi="Times New Roman" w:cs="Times New Roman"/>
          <w:b/>
          <w:bCs/>
          <w:lang w:val="hr-HR"/>
        </w:rPr>
        <w:t xml:space="preserve"> </w:t>
      </w:r>
      <w:r w:rsidRPr="00E76EDA">
        <w:rPr>
          <w:rStyle w:val="Naglaeno"/>
          <w:rFonts w:ascii="Times New Roman" w:hAnsi="Times New Roman" w:cs="Times New Roman"/>
          <w:b w:val="0"/>
          <w:bCs w:val="0"/>
          <w:lang w:val="hr-HR"/>
        </w:rPr>
        <w:t>Izvješće o stanju digitalnog desetljeća za 2026. – Izvješće za Hrvatsku</w:t>
      </w:r>
      <w:r w:rsidRPr="00E76EDA">
        <w:rPr>
          <w:rFonts w:ascii="Times New Roman" w:hAnsi="Times New Roman" w:cs="Times New Roman"/>
          <w:b/>
          <w:bCs/>
          <w:lang w:val="hr-HR"/>
        </w:rPr>
        <w:t xml:space="preserve">, </w:t>
      </w:r>
      <w:r w:rsidRPr="00E76EDA">
        <w:rPr>
          <w:rFonts w:ascii="Times New Roman" w:hAnsi="Times New Roman" w:cs="Times New Roman"/>
          <w:lang w:val="hr-HR"/>
        </w:rPr>
        <w:t>SWD(2026) 155 final, 2026.</w:t>
      </w:r>
    </w:p>
  </w:footnote>
  <w:footnote w:id="3">
    <w:p w14:paraId="4A52D66E" w14:textId="68F4D06B" w:rsidR="00575330" w:rsidRPr="00575330" w:rsidRDefault="00575330">
      <w:pPr>
        <w:pStyle w:val="Tekstfusnote"/>
        <w:rPr>
          <w:lang w:val="hr-HR"/>
        </w:rPr>
      </w:pPr>
    </w:p>
  </w:footnote>
  <w:footnote w:id="4">
    <w:p w14:paraId="2B5CB47D" w14:textId="70E520C5" w:rsidR="00387D97" w:rsidRPr="00387D97" w:rsidRDefault="00387D97">
      <w:pPr>
        <w:pStyle w:val="Tekstfusnote"/>
        <w:rPr>
          <w:rFonts w:ascii="Times New Roman" w:hAnsi="Times New Roman" w:cs="Times New Roman"/>
          <w:lang w:val="hr-HR"/>
        </w:rPr>
      </w:pPr>
      <w:r w:rsidRPr="00387D97">
        <w:rPr>
          <w:rStyle w:val="Referencafusnote"/>
          <w:rFonts w:ascii="Times New Roman" w:hAnsi="Times New Roman" w:cs="Times New Roman"/>
        </w:rPr>
        <w:footnoteRef/>
      </w:r>
      <w:r w:rsidRPr="00387D97">
        <w:rPr>
          <w:rFonts w:ascii="Times New Roman" w:hAnsi="Times New Roman" w:cs="Times New Roman"/>
        </w:rPr>
        <w:t xml:space="preserve"> </w:t>
      </w:r>
      <w:r w:rsidRPr="00E76EDA">
        <w:rPr>
          <w:rFonts w:ascii="Times New Roman" w:hAnsi="Times New Roman" w:cs="Times New Roman"/>
          <w:lang w:val="hr-HR"/>
        </w:rPr>
        <w:t xml:space="preserve">Europska komisija, </w:t>
      </w:r>
      <w:r w:rsidRPr="00E76EDA">
        <w:rPr>
          <w:rStyle w:val="Naglaeno"/>
          <w:rFonts w:ascii="Times New Roman" w:hAnsi="Times New Roman" w:cs="Times New Roman"/>
          <w:b w:val="0"/>
          <w:bCs w:val="0"/>
          <w:lang w:val="hr-HR"/>
        </w:rPr>
        <w:t>Izvješće o stanju digitalnog desetljeća za 2026.</w:t>
      </w:r>
      <w:r w:rsidRPr="00E76EDA">
        <w:rPr>
          <w:rStyle w:val="Naglaeno"/>
          <w:rFonts w:ascii="Times New Roman" w:hAnsi="Times New Roman" w:cs="Times New Roman"/>
          <w:lang w:val="hr-HR"/>
        </w:rPr>
        <w:t xml:space="preserve"> – </w:t>
      </w:r>
      <w:r w:rsidRPr="00E76EDA">
        <w:rPr>
          <w:rStyle w:val="Naglaeno"/>
          <w:rFonts w:ascii="Times New Roman" w:hAnsi="Times New Roman" w:cs="Times New Roman"/>
          <w:b w:val="0"/>
          <w:bCs w:val="0"/>
          <w:lang w:val="hr-HR"/>
        </w:rPr>
        <w:t>Izvješće za Hrvatsku</w:t>
      </w:r>
      <w:r w:rsidRPr="00E76EDA">
        <w:rPr>
          <w:rFonts w:ascii="Times New Roman" w:hAnsi="Times New Roman" w:cs="Times New Roman"/>
          <w:lang w:val="hr-HR"/>
        </w:rPr>
        <w:t>, SWD(2026) 155 final, 2026.</w:t>
      </w:r>
    </w:p>
  </w:footnote>
  <w:footnote w:id="5">
    <w:p w14:paraId="6E52553B" w14:textId="1BE8CF75" w:rsidR="002B029D" w:rsidRPr="002B029D" w:rsidRDefault="002B029D">
      <w:pPr>
        <w:pStyle w:val="Tekstfusnote"/>
        <w:rPr>
          <w:lang w:val="hr-HR"/>
        </w:rPr>
      </w:pPr>
      <w:r>
        <w:rPr>
          <w:rStyle w:val="Referencafusnote"/>
        </w:rPr>
        <w:footnoteRef/>
      </w:r>
      <w:r>
        <w:t xml:space="preserve"> </w:t>
      </w:r>
      <w:r w:rsidRPr="009D4A2A">
        <w:rPr>
          <w:rFonts w:ascii="Times New Roman" w:hAnsi="Times New Roman" w:cs="Times New Roman"/>
          <w:lang w:val="hr-HR"/>
        </w:rPr>
        <w:t xml:space="preserve">Europska komisija, </w:t>
      </w:r>
      <w:r w:rsidRPr="009D4A2A">
        <w:rPr>
          <w:rStyle w:val="Naglaeno"/>
          <w:rFonts w:ascii="Times New Roman" w:hAnsi="Times New Roman" w:cs="Times New Roman"/>
          <w:b w:val="0"/>
          <w:bCs w:val="0"/>
          <w:lang w:val="hr-HR"/>
        </w:rPr>
        <w:t>Izvješće o stanju digitalnog desetljeća za 2026.</w:t>
      </w:r>
      <w:r w:rsidRPr="009D4A2A">
        <w:rPr>
          <w:rStyle w:val="Naglaeno"/>
          <w:rFonts w:ascii="Times New Roman" w:hAnsi="Times New Roman" w:cs="Times New Roman"/>
          <w:lang w:val="hr-HR"/>
        </w:rPr>
        <w:t xml:space="preserve"> – </w:t>
      </w:r>
      <w:r w:rsidRPr="009D4A2A">
        <w:rPr>
          <w:rStyle w:val="Naglaeno"/>
          <w:rFonts w:ascii="Times New Roman" w:hAnsi="Times New Roman" w:cs="Times New Roman"/>
          <w:b w:val="0"/>
          <w:bCs w:val="0"/>
          <w:lang w:val="hr-HR"/>
        </w:rPr>
        <w:t>Izvješće za Hrvatsku</w:t>
      </w:r>
      <w:r w:rsidRPr="009D4A2A">
        <w:rPr>
          <w:rFonts w:ascii="Times New Roman" w:hAnsi="Times New Roman" w:cs="Times New Roman"/>
          <w:lang w:val="hr-HR"/>
        </w:rPr>
        <w:t>, SWD(2026) 155 final, 2026.</w:t>
      </w:r>
      <w:r w:rsidR="008F3DD8" w:rsidRPr="009D4A2A">
        <w:rPr>
          <w:rFonts w:ascii="Times New Roman" w:hAnsi="Times New Roman" w:cs="Times New Roman"/>
          <w:lang w:val="hr-HR"/>
        </w:rPr>
        <w:t xml:space="preserve"> na temelju Eurostatova istraživanja uporabe IKT-a u kućanstvima i među pojedincima i </w:t>
      </w:r>
      <w:r w:rsidR="00CA15C8" w:rsidRPr="009D4A2A">
        <w:rPr>
          <w:rFonts w:ascii="Times New Roman" w:hAnsi="Times New Roman" w:cs="Times New Roman"/>
          <w:lang w:val="hr-HR"/>
        </w:rPr>
        <w:t>Digitalno desetljeće 2026.: Posebno istraživanje Eurobarometra</w:t>
      </w:r>
      <w:r w:rsidR="009D4A2A" w:rsidRPr="009D4A2A">
        <w:rPr>
          <w:rFonts w:ascii="Times New Roman" w:hAnsi="Times New Roman" w:cs="Times New Roman"/>
          <w:lang w:val="hr-HR"/>
        </w:rPr>
        <w:t>, provedeno u veljači i ožujku 2026.</w:t>
      </w:r>
      <w:r w:rsidR="00E36C38">
        <w:rPr>
          <w:rFonts w:ascii="Times New Roman" w:hAnsi="Times New Roman" w:cs="Times New Roman"/>
        </w:rPr>
        <w:t xml:space="preserve"> </w:t>
      </w:r>
    </w:p>
  </w:footnote>
  <w:footnote w:id="6">
    <w:p w14:paraId="2183DE86" w14:textId="1B72BC9D" w:rsidR="003D7D6F" w:rsidRPr="003D7D6F" w:rsidRDefault="003D7D6F">
      <w:pPr>
        <w:pStyle w:val="Tekstfusnote"/>
        <w:rPr>
          <w:lang w:val="hr-HR"/>
        </w:rPr>
      </w:pPr>
      <w:r>
        <w:rPr>
          <w:rStyle w:val="Referencafusnote"/>
        </w:rPr>
        <w:footnoteRef/>
      </w:r>
      <w:r>
        <w:t xml:space="preserve"> </w:t>
      </w:r>
      <w:r w:rsidRPr="00387D97">
        <w:rPr>
          <w:rFonts w:ascii="Times New Roman" w:hAnsi="Times New Roman" w:cs="Times New Roman"/>
        </w:rPr>
        <w:t xml:space="preserve">Europska komisija, </w:t>
      </w:r>
      <w:r w:rsidRPr="00387D97">
        <w:rPr>
          <w:rStyle w:val="Naglaeno"/>
          <w:rFonts w:ascii="Times New Roman" w:hAnsi="Times New Roman" w:cs="Times New Roman"/>
          <w:b w:val="0"/>
          <w:bCs w:val="0"/>
        </w:rPr>
        <w:t>Izvješće o stanju digitalnog desetljeća za 2026.</w:t>
      </w:r>
      <w:r w:rsidRPr="00387D97">
        <w:rPr>
          <w:rStyle w:val="Naglaeno"/>
          <w:rFonts w:ascii="Times New Roman" w:hAnsi="Times New Roman" w:cs="Times New Roman"/>
        </w:rPr>
        <w:t xml:space="preserve"> – </w:t>
      </w:r>
      <w:r w:rsidRPr="00387D97">
        <w:rPr>
          <w:rStyle w:val="Naglaeno"/>
          <w:rFonts w:ascii="Times New Roman" w:hAnsi="Times New Roman" w:cs="Times New Roman"/>
          <w:b w:val="0"/>
          <w:bCs w:val="0"/>
        </w:rPr>
        <w:t>Izvješće za Hrvatsku</w:t>
      </w:r>
      <w:r w:rsidRPr="00387D97">
        <w:rPr>
          <w:rFonts w:ascii="Times New Roman" w:hAnsi="Times New Roman" w:cs="Times New Roman"/>
        </w:rPr>
        <w:t>, SWD(2026) 155 final,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C21572"/>
    <w:lvl w:ilvl="0">
      <w:start w:val="1"/>
      <w:numFmt w:val="bullet"/>
      <w:pStyle w:val="Grafikeoznake"/>
      <w:lvlText w:val=""/>
      <w:lvlJc w:val="left"/>
      <w:pPr>
        <w:tabs>
          <w:tab w:val="num" w:pos="360"/>
        </w:tabs>
        <w:ind w:left="360" w:hanging="360"/>
      </w:pPr>
      <w:rPr>
        <w:rFonts w:ascii="Symbol" w:hAnsi="Symbol" w:hint="default"/>
      </w:rPr>
    </w:lvl>
  </w:abstractNum>
  <w:abstractNum w:abstractNumId="1" w15:restartNumberingAfterBreak="0">
    <w:nsid w:val="028B38D1"/>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2" w15:restartNumberingAfterBreak="0">
    <w:nsid w:val="0F8479CC"/>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3" w15:restartNumberingAfterBreak="0">
    <w:nsid w:val="27EC4DDF"/>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4" w15:restartNumberingAfterBreak="0">
    <w:nsid w:val="297B0732"/>
    <w:multiLevelType w:val="multilevel"/>
    <w:tmpl w:val="94F898DE"/>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5" w15:restartNumberingAfterBreak="0">
    <w:nsid w:val="35D731F6"/>
    <w:multiLevelType w:val="multilevel"/>
    <w:tmpl w:val="E286AB6E"/>
    <w:lvl w:ilvl="0">
      <w:start w:val="2"/>
      <w:numFmt w:val="decimal"/>
      <w:lvlText w:val="%1."/>
      <w:lvlJc w:val="left"/>
      <w:pPr>
        <w:ind w:left="360" w:hanging="360"/>
      </w:pPr>
      <w:rPr>
        <w:rFonts w:hint="default"/>
      </w:rPr>
    </w:lvl>
    <w:lvl w:ilvl="1">
      <w:start w:val="1"/>
      <w:numFmt w:val="decimal"/>
      <w:lvlText w:val="%1.%2."/>
      <w:lvlJc w:val="left"/>
      <w:pPr>
        <w:ind w:left="1221" w:hanging="360"/>
      </w:pPr>
      <w:rPr>
        <w:rFonts w:hint="default"/>
      </w:rPr>
    </w:lvl>
    <w:lvl w:ilvl="2">
      <w:start w:val="1"/>
      <w:numFmt w:val="decimal"/>
      <w:lvlText w:val="%1.%2.%3."/>
      <w:lvlJc w:val="left"/>
      <w:pPr>
        <w:ind w:left="2442" w:hanging="720"/>
      </w:pPr>
      <w:rPr>
        <w:rFonts w:hint="default"/>
      </w:rPr>
    </w:lvl>
    <w:lvl w:ilvl="3">
      <w:start w:val="1"/>
      <w:numFmt w:val="decimal"/>
      <w:lvlText w:val="%1.%2.%3.%4."/>
      <w:lvlJc w:val="left"/>
      <w:pPr>
        <w:ind w:left="3303" w:hanging="720"/>
      </w:pPr>
      <w:rPr>
        <w:rFonts w:hint="default"/>
      </w:rPr>
    </w:lvl>
    <w:lvl w:ilvl="4">
      <w:start w:val="1"/>
      <w:numFmt w:val="decimal"/>
      <w:lvlText w:val="%1.%2.%3.%4.%5."/>
      <w:lvlJc w:val="left"/>
      <w:pPr>
        <w:ind w:left="4524" w:hanging="1080"/>
      </w:pPr>
      <w:rPr>
        <w:rFonts w:hint="default"/>
      </w:rPr>
    </w:lvl>
    <w:lvl w:ilvl="5">
      <w:start w:val="1"/>
      <w:numFmt w:val="decimal"/>
      <w:lvlText w:val="%1.%2.%3.%4.%5.%6."/>
      <w:lvlJc w:val="left"/>
      <w:pPr>
        <w:ind w:left="5385" w:hanging="1080"/>
      </w:pPr>
      <w:rPr>
        <w:rFonts w:hint="default"/>
      </w:rPr>
    </w:lvl>
    <w:lvl w:ilvl="6">
      <w:start w:val="1"/>
      <w:numFmt w:val="decimal"/>
      <w:lvlText w:val="%1.%2.%3.%4.%5.%6.%7."/>
      <w:lvlJc w:val="left"/>
      <w:pPr>
        <w:ind w:left="6606" w:hanging="1440"/>
      </w:pPr>
      <w:rPr>
        <w:rFonts w:hint="default"/>
      </w:rPr>
    </w:lvl>
    <w:lvl w:ilvl="7">
      <w:start w:val="1"/>
      <w:numFmt w:val="decimal"/>
      <w:lvlText w:val="%1.%2.%3.%4.%5.%6.%7.%8."/>
      <w:lvlJc w:val="left"/>
      <w:pPr>
        <w:ind w:left="7467" w:hanging="1440"/>
      </w:pPr>
      <w:rPr>
        <w:rFonts w:hint="default"/>
      </w:rPr>
    </w:lvl>
    <w:lvl w:ilvl="8">
      <w:start w:val="1"/>
      <w:numFmt w:val="decimal"/>
      <w:lvlText w:val="%1.%2.%3.%4.%5.%6.%7.%8.%9."/>
      <w:lvlJc w:val="left"/>
      <w:pPr>
        <w:ind w:left="8688" w:hanging="1800"/>
      </w:pPr>
      <w:rPr>
        <w:rFonts w:hint="default"/>
      </w:rPr>
    </w:lvl>
  </w:abstractNum>
  <w:abstractNum w:abstractNumId="6" w15:restartNumberingAfterBreak="0">
    <w:nsid w:val="40E6068D"/>
    <w:multiLevelType w:val="multilevel"/>
    <w:tmpl w:val="0234E52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40F6530B"/>
    <w:multiLevelType w:val="multilevel"/>
    <w:tmpl w:val="14B00EA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8" w15:restartNumberingAfterBreak="0">
    <w:nsid w:val="44CF6C89"/>
    <w:multiLevelType w:val="multilevel"/>
    <w:tmpl w:val="0B18EEF2"/>
    <w:lvl w:ilvl="0">
      <w:start w:val="1"/>
      <w:numFmt w:val="bullet"/>
      <w:lvlText w:val="-"/>
      <w:lvlJc w:val="left"/>
      <w:pPr>
        <w:ind w:left="1080" w:hanging="540"/>
      </w:pPr>
      <w:rPr>
        <w:rFonts w:ascii="Times New Roman" w:hAnsi="Times New Roman" w:cs="Times New Roman" w:hint="default"/>
      </w:rPr>
    </w:lvl>
    <w:lvl w:ilvl="1">
      <w:start w:val="1"/>
      <w:numFmt w:val="decimal"/>
      <w:lvlText w:val="%1.%2."/>
      <w:lvlJc w:val="left"/>
      <w:pPr>
        <w:ind w:left="1401" w:hanging="720"/>
      </w:pPr>
      <w:rPr>
        <w:rFonts w:hint="default"/>
      </w:rPr>
    </w:lvl>
    <w:lvl w:ilvl="2">
      <w:start w:val="1"/>
      <w:numFmt w:val="decimal"/>
      <w:lvlText w:val="%1.%2.%3."/>
      <w:lvlJc w:val="left"/>
      <w:pPr>
        <w:ind w:left="1902" w:hanging="1080"/>
      </w:pPr>
      <w:rPr>
        <w:rFonts w:hint="default"/>
      </w:rPr>
    </w:lvl>
    <w:lvl w:ilvl="3">
      <w:start w:val="1"/>
      <w:numFmt w:val="decimal"/>
      <w:lvlText w:val="%1.%2.%3.%4."/>
      <w:lvlJc w:val="left"/>
      <w:pPr>
        <w:ind w:left="2043" w:hanging="1080"/>
      </w:pPr>
      <w:rPr>
        <w:rFonts w:hint="default"/>
      </w:rPr>
    </w:lvl>
    <w:lvl w:ilvl="4">
      <w:start w:val="1"/>
      <w:numFmt w:val="decimal"/>
      <w:lvlText w:val="%1.%2.%3.%4.%5."/>
      <w:lvlJc w:val="left"/>
      <w:pPr>
        <w:ind w:left="2544" w:hanging="1440"/>
      </w:pPr>
      <w:rPr>
        <w:rFonts w:hint="default"/>
      </w:rPr>
    </w:lvl>
    <w:lvl w:ilvl="5">
      <w:start w:val="1"/>
      <w:numFmt w:val="decimal"/>
      <w:lvlText w:val="%1.%2.%3.%4.%5.%6."/>
      <w:lvlJc w:val="left"/>
      <w:pPr>
        <w:ind w:left="3045" w:hanging="1800"/>
      </w:pPr>
      <w:rPr>
        <w:rFonts w:hint="default"/>
      </w:rPr>
    </w:lvl>
    <w:lvl w:ilvl="6">
      <w:start w:val="1"/>
      <w:numFmt w:val="decimal"/>
      <w:lvlText w:val="%1.%2.%3.%4.%5.%6.%7."/>
      <w:lvlJc w:val="left"/>
      <w:pPr>
        <w:ind w:left="3546" w:hanging="2160"/>
      </w:pPr>
      <w:rPr>
        <w:rFonts w:hint="default"/>
      </w:rPr>
    </w:lvl>
    <w:lvl w:ilvl="7">
      <w:start w:val="1"/>
      <w:numFmt w:val="decimal"/>
      <w:lvlText w:val="%1.%2.%3.%4.%5.%6.%7.%8."/>
      <w:lvlJc w:val="left"/>
      <w:pPr>
        <w:ind w:left="3687" w:hanging="2160"/>
      </w:pPr>
      <w:rPr>
        <w:rFonts w:hint="default"/>
      </w:rPr>
    </w:lvl>
    <w:lvl w:ilvl="8">
      <w:start w:val="1"/>
      <w:numFmt w:val="decimal"/>
      <w:lvlText w:val="%1.%2.%3.%4.%5.%6.%7.%8.%9."/>
      <w:lvlJc w:val="left"/>
      <w:pPr>
        <w:ind w:left="4188" w:hanging="2520"/>
      </w:pPr>
      <w:rPr>
        <w:rFonts w:hint="default"/>
      </w:rPr>
    </w:lvl>
  </w:abstractNum>
  <w:abstractNum w:abstractNumId="9" w15:restartNumberingAfterBreak="0">
    <w:nsid w:val="47CC21FD"/>
    <w:multiLevelType w:val="hybridMultilevel"/>
    <w:tmpl w:val="620E4BF2"/>
    <w:lvl w:ilvl="0" w:tplc="18CEFEE4">
      <w:start w:val="1"/>
      <w:numFmt w:val="decimal"/>
      <w:lvlText w:val="%1."/>
      <w:lvlJc w:val="left"/>
      <w:pPr>
        <w:ind w:left="621" w:hanging="481"/>
      </w:pPr>
      <w:rPr>
        <w:rFonts w:ascii="Times New Roman" w:eastAsia="Times New Roman" w:hAnsi="Times New Roman" w:cs="Times New Roman" w:hint="default"/>
        <w:b/>
        <w:bCs/>
        <w:i w:val="0"/>
        <w:iCs w:val="0"/>
        <w:spacing w:val="0"/>
        <w:w w:val="100"/>
        <w:sz w:val="48"/>
        <w:szCs w:val="48"/>
        <w:lang w:val="hr-HR" w:eastAsia="en-US" w:bidi="ar-SA"/>
      </w:rPr>
    </w:lvl>
    <w:lvl w:ilvl="1" w:tplc="01E06212">
      <w:numFmt w:val="bullet"/>
      <w:lvlText w:val="–"/>
      <w:lvlJc w:val="left"/>
      <w:pPr>
        <w:ind w:left="1559" w:hanging="425"/>
      </w:pPr>
      <w:rPr>
        <w:rFonts w:ascii="Cambria" w:eastAsia="Cambria" w:hAnsi="Cambria" w:cs="Cambria" w:hint="default"/>
        <w:b w:val="0"/>
        <w:bCs w:val="0"/>
        <w:i w:val="0"/>
        <w:iCs w:val="0"/>
        <w:spacing w:val="0"/>
        <w:w w:val="109"/>
        <w:sz w:val="20"/>
        <w:szCs w:val="20"/>
        <w:lang w:val="hr-HR" w:eastAsia="en-US" w:bidi="ar-SA"/>
      </w:rPr>
    </w:lvl>
    <w:lvl w:ilvl="2" w:tplc="BF4C6FE0">
      <w:numFmt w:val="bullet"/>
      <w:lvlText w:val="•"/>
      <w:lvlJc w:val="left"/>
      <w:pPr>
        <w:ind w:left="2567" w:hanging="425"/>
      </w:pPr>
      <w:rPr>
        <w:rFonts w:hint="default"/>
        <w:lang w:val="hr-HR" w:eastAsia="en-US" w:bidi="ar-SA"/>
      </w:rPr>
    </w:lvl>
    <w:lvl w:ilvl="3" w:tplc="6C22D2AE">
      <w:numFmt w:val="bullet"/>
      <w:lvlText w:val="•"/>
      <w:lvlJc w:val="left"/>
      <w:pPr>
        <w:ind w:left="3575" w:hanging="425"/>
      </w:pPr>
      <w:rPr>
        <w:rFonts w:hint="default"/>
        <w:lang w:val="hr-HR" w:eastAsia="en-US" w:bidi="ar-SA"/>
      </w:rPr>
    </w:lvl>
    <w:lvl w:ilvl="4" w:tplc="1A547810">
      <w:numFmt w:val="bullet"/>
      <w:lvlText w:val="•"/>
      <w:lvlJc w:val="left"/>
      <w:pPr>
        <w:ind w:left="4583" w:hanging="425"/>
      </w:pPr>
      <w:rPr>
        <w:rFonts w:hint="default"/>
        <w:lang w:val="hr-HR" w:eastAsia="en-US" w:bidi="ar-SA"/>
      </w:rPr>
    </w:lvl>
    <w:lvl w:ilvl="5" w:tplc="9738B95C">
      <w:numFmt w:val="bullet"/>
      <w:lvlText w:val="•"/>
      <w:lvlJc w:val="left"/>
      <w:pPr>
        <w:ind w:left="5591" w:hanging="425"/>
      </w:pPr>
      <w:rPr>
        <w:rFonts w:hint="default"/>
        <w:lang w:val="hr-HR" w:eastAsia="en-US" w:bidi="ar-SA"/>
      </w:rPr>
    </w:lvl>
    <w:lvl w:ilvl="6" w:tplc="9AD42570">
      <w:numFmt w:val="bullet"/>
      <w:lvlText w:val="•"/>
      <w:lvlJc w:val="left"/>
      <w:pPr>
        <w:ind w:left="6599" w:hanging="425"/>
      </w:pPr>
      <w:rPr>
        <w:rFonts w:hint="default"/>
        <w:lang w:val="hr-HR" w:eastAsia="en-US" w:bidi="ar-SA"/>
      </w:rPr>
    </w:lvl>
    <w:lvl w:ilvl="7" w:tplc="9AEA9496">
      <w:numFmt w:val="bullet"/>
      <w:lvlText w:val="•"/>
      <w:lvlJc w:val="left"/>
      <w:pPr>
        <w:ind w:left="7607" w:hanging="425"/>
      </w:pPr>
      <w:rPr>
        <w:rFonts w:hint="default"/>
        <w:lang w:val="hr-HR" w:eastAsia="en-US" w:bidi="ar-SA"/>
      </w:rPr>
    </w:lvl>
    <w:lvl w:ilvl="8" w:tplc="BC6296DE">
      <w:numFmt w:val="bullet"/>
      <w:lvlText w:val="•"/>
      <w:lvlJc w:val="left"/>
      <w:pPr>
        <w:ind w:left="8615" w:hanging="425"/>
      </w:pPr>
      <w:rPr>
        <w:rFonts w:hint="default"/>
        <w:lang w:val="hr-HR" w:eastAsia="en-US" w:bidi="ar-SA"/>
      </w:rPr>
    </w:lvl>
  </w:abstractNum>
  <w:abstractNum w:abstractNumId="10" w15:restartNumberingAfterBreak="0">
    <w:nsid w:val="4B58361C"/>
    <w:multiLevelType w:val="multilevel"/>
    <w:tmpl w:val="3744883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1" w15:restartNumberingAfterBreak="0">
    <w:nsid w:val="5378740A"/>
    <w:multiLevelType w:val="hybridMultilevel"/>
    <w:tmpl w:val="620E4BF2"/>
    <w:lvl w:ilvl="0" w:tplc="FFFFFFFF">
      <w:start w:val="1"/>
      <w:numFmt w:val="decimal"/>
      <w:lvlText w:val="%1."/>
      <w:lvlJc w:val="left"/>
      <w:pPr>
        <w:ind w:left="621" w:hanging="481"/>
      </w:pPr>
      <w:rPr>
        <w:rFonts w:ascii="Times New Roman" w:eastAsia="Times New Roman" w:hAnsi="Times New Roman" w:cs="Times New Roman" w:hint="default"/>
        <w:b/>
        <w:bCs/>
        <w:i w:val="0"/>
        <w:iCs w:val="0"/>
        <w:spacing w:val="0"/>
        <w:w w:val="100"/>
        <w:sz w:val="48"/>
        <w:szCs w:val="48"/>
        <w:lang w:val="hr-HR" w:eastAsia="en-US" w:bidi="ar-SA"/>
      </w:rPr>
    </w:lvl>
    <w:lvl w:ilvl="1" w:tplc="FFFFFFFF">
      <w:numFmt w:val="bullet"/>
      <w:lvlText w:val="–"/>
      <w:lvlJc w:val="left"/>
      <w:pPr>
        <w:ind w:left="1559" w:hanging="425"/>
      </w:pPr>
      <w:rPr>
        <w:rFonts w:ascii="Cambria" w:eastAsia="Cambria" w:hAnsi="Cambria" w:cs="Cambria" w:hint="default"/>
        <w:b w:val="0"/>
        <w:bCs w:val="0"/>
        <w:i w:val="0"/>
        <w:iCs w:val="0"/>
        <w:spacing w:val="0"/>
        <w:w w:val="109"/>
        <w:sz w:val="20"/>
        <w:szCs w:val="20"/>
        <w:lang w:val="hr-HR" w:eastAsia="en-US" w:bidi="ar-SA"/>
      </w:rPr>
    </w:lvl>
    <w:lvl w:ilvl="2" w:tplc="FFFFFFFF">
      <w:numFmt w:val="bullet"/>
      <w:lvlText w:val="•"/>
      <w:lvlJc w:val="left"/>
      <w:pPr>
        <w:ind w:left="2567" w:hanging="425"/>
      </w:pPr>
      <w:rPr>
        <w:rFonts w:hint="default"/>
        <w:lang w:val="hr-HR" w:eastAsia="en-US" w:bidi="ar-SA"/>
      </w:rPr>
    </w:lvl>
    <w:lvl w:ilvl="3" w:tplc="FFFFFFFF">
      <w:numFmt w:val="bullet"/>
      <w:lvlText w:val="•"/>
      <w:lvlJc w:val="left"/>
      <w:pPr>
        <w:ind w:left="3575" w:hanging="425"/>
      </w:pPr>
      <w:rPr>
        <w:rFonts w:hint="default"/>
        <w:lang w:val="hr-HR" w:eastAsia="en-US" w:bidi="ar-SA"/>
      </w:rPr>
    </w:lvl>
    <w:lvl w:ilvl="4" w:tplc="FFFFFFFF">
      <w:numFmt w:val="bullet"/>
      <w:lvlText w:val="•"/>
      <w:lvlJc w:val="left"/>
      <w:pPr>
        <w:ind w:left="4583" w:hanging="425"/>
      </w:pPr>
      <w:rPr>
        <w:rFonts w:hint="default"/>
        <w:lang w:val="hr-HR" w:eastAsia="en-US" w:bidi="ar-SA"/>
      </w:rPr>
    </w:lvl>
    <w:lvl w:ilvl="5" w:tplc="FFFFFFFF">
      <w:numFmt w:val="bullet"/>
      <w:lvlText w:val="•"/>
      <w:lvlJc w:val="left"/>
      <w:pPr>
        <w:ind w:left="5591" w:hanging="425"/>
      </w:pPr>
      <w:rPr>
        <w:rFonts w:hint="default"/>
        <w:lang w:val="hr-HR" w:eastAsia="en-US" w:bidi="ar-SA"/>
      </w:rPr>
    </w:lvl>
    <w:lvl w:ilvl="6" w:tplc="FFFFFFFF">
      <w:numFmt w:val="bullet"/>
      <w:lvlText w:val="•"/>
      <w:lvlJc w:val="left"/>
      <w:pPr>
        <w:ind w:left="6599" w:hanging="425"/>
      </w:pPr>
      <w:rPr>
        <w:rFonts w:hint="default"/>
        <w:lang w:val="hr-HR" w:eastAsia="en-US" w:bidi="ar-SA"/>
      </w:rPr>
    </w:lvl>
    <w:lvl w:ilvl="7" w:tplc="FFFFFFFF">
      <w:numFmt w:val="bullet"/>
      <w:lvlText w:val="•"/>
      <w:lvlJc w:val="left"/>
      <w:pPr>
        <w:ind w:left="7607" w:hanging="425"/>
      </w:pPr>
      <w:rPr>
        <w:rFonts w:hint="default"/>
        <w:lang w:val="hr-HR" w:eastAsia="en-US" w:bidi="ar-SA"/>
      </w:rPr>
    </w:lvl>
    <w:lvl w:ilvl="8" w:tplc="FFFFFFFF">
      <w:numFmt w:val="bullet"/>
      <w:lvlText w:val="•"/>
      <w:lvlJc w:val="left"/>
      <w:pPr>
        <w:ind w:left="8615" w:hanging="425"/>
      </w:pPr>
      <w:rPr>
        <w:rFonts w:hint="default"/>
        <w:lang w:val="hr-HR" w:eastAsia="en-US" w:bidi="ar-SA"/>
      </w:rPr>
    </w:lvl>
  </w:abstractNum>
  <w:abstractNum w:abstractNumId="12" w15:restartNumberingAfterBreak="0">
    <w:nsid w:val="5A7B6AA9"/>
    <w:multiLevelType w:val="hybridMultilevel"/>
    <w:tmpl w:val="620E4BF2"/>
    <w:lvl w:ilvl="0" w:tplc="FFFFFFFF">
      <w:start w:val="1"/>
      <w:numFmt w:val="decimal"/>
      <w:lvlText w:val="%1."/>
      <w:lvlJc w:val="left"/>
      <w:pPr>
        <w:ind w:left="621" w:hanging="481"/>
      </w:pPr>
      <w:rPr>
        <w:rFonts w:ascii="Times New Roman" w:eastAsia="Times New Roman" w:hAnsi="Times New Roman" w:cs="Times New Roman" w:hint="default"/>
        <w:b/>
        <w:bCs/>
        <w:i w:val="0"/>
        <w:iCs w:val="0"/>
        <w:spacing w:val="0"/>
        <w:w w:val="100"/>
        <w:sz w:val="48"/>
        <w:szCs w:val="48"/>
        <w:lang w:val="hr-HR" w:eastAsia="en-US" w:bidi="ar-SA"/>
      </w:rPr>
    </w:lvl>
    <w:lvl w:ilvl="1" w:tplc="FFFFFFFF">
      <w:numFmt w:val="bullet"/>
      <w:lvlText w:val="–"/>
      <w:lvlJc w:val="left"/>
      <w:pPr>
        <w:ind w:left="1559" w:hanging="425"/>
      </w:pPr>
      <w:rPr>
        <w:rFonts w:ascii="Cambria" w:eastAsia="Cambria" w:hAnsi="Cambria" w:cs="Cambria" w:hint="default"/>
        <w:b w:val="0"/>
        <w:bCs w:val="0"/>
        <w:i w:val="0"/>
        <w:iCs w:val="0"/>
        <w:spacing w:val="0"/>
        <w:w w:val="109"/>
        <w:sz w:val="20"/>
        <w:szCs w:val="20"/>
        <w:lang w:val="hr-HR" w:eastAsia="en-US" w:bidi="ar-SA"/>
      </w:rPr>
    </w:lvl>
    <w:lvl w:ilvl="2" w:tplc="FFFFFFFF">
      <w:numFmt w:val="bullet"/>
      <w:lvlText w:val="•"/>
      <w:lvlJc w:val="left"/>
      <w:pPr>
        <w:ind w:left="2567" w:hanging="425"/>
      </w:pPr>
      <w:rPr>
        <w:rFonts w:hint="default"/>
        <w:lang w:val="hr-HR" w:eastAsia="en-US" w:bidi="ar-SA"/>
      </w:rPr>
    </w:lvl>
    <w:lvl w:ilvl="3" w:tplc="FFFFFFFF">
      <w:numFmt w:val="bullet"/>
      <w:lvlText w:val="•"/>
      <w:lvlJc w:val="left"/>
      <w:pPr>
        <w:ind w:left="3575" w:hanging="425"/>
      </w:pPr>
      <w:rPr>
        <w:rFonts w:hint="default"/>
        <w:lang w:val="hr-HR" w:eastAsia="en-US" w:bidi="ar-SA"/>
      </w:rPr>
    </w:lvl>
    <w:lvl w:ilvl="4" w:tplc="FFFFFFFF">
      <w:numFmt w:val="bullet"/>
      <w:lvlText w:val="•"/>
      <w:lvlJc w:val="left"/>
      <w:pPr>
        <w:ind w:left="4583" w:hanging="425"/>
      </w:pPr>
      <w:rPr>
        <w:rFonts w:hint="default"/>
        <w:lang w:val="hr-HR" w:eastAsia="en-US" w:bidi="ar-SA"/>
      </w:rPr>
    </w:lvl>
    <w:lvl w:ilvl="5" w:tplc="FFFFFFFF">
      <w:numFmt w:val="bullet"/>
      <w:lvlText w:val="•"/>
      <w:lvlJc w:val="left"/>
      <w:pPr>
        <w:ind w:left="5591" w:hanging="425"/>
      </w:pPr>
      <w:rPr>
        <w:rFonts w:hint="default"/>
        <w:lang w:val="hr-HR" w:eastAsia="en-US" w:bidi="ar-SA"/>
      </w:rPr>
    </w:lvl>
    <w:lvl w:ilvl="6" w:tplc="FFFFFFFF">
      <w:numFmt w:val="bullet"/>
      <w:lvlText w:val="•"/>
      <w:lvlJc w:val="left"/>
      <w:pPr>
        <w:ind w:left="6599" w:hanging="425"/>
      </w:pPr>
      <w:rPr>
        <w:rFonts w:hint="default"/>
        <w:lang w:val="hr-HR" w:eastAsia="en-US" w:bidi="ar-SA"/>
      </w:rPr>
    </w:lvl>
    <w:lvl w:ilvl="7" w:tplc="FFFFFFFF">
      <w:numFmt w:val="bullet"/>
      <w:lvlText w:val="•"/>
      <w:lvlJc w:val="left"/>
      <w:pPr>
        <w:ind w:left="7607" w:hanging="425"/>
      </w:pPr>
      <w:rPr>
        <w:rFonts w:hint="default"/>
        <w:lang w:val="hr-HR" w:eastAsia="en-US" w:bidi="ar-SA"/>
      </w:rPr>
    </w:lvl>
    <w:lvl w:ilvl="8" w:tplc="FFFFFFFF">
      <w:numFmt w:val="bullet"/>
      <w:lvlText w:val="•"/>
      <w:lvlJc w:val="left"/>
      <w:pPr>
        <w:ind w:left="8615" w:hanging="425"/>
      </w:pPr>
      <w:rPr>
        <w:rFonts w:hint="default"/>
        <w:lang w:val="hr-HR" w:eastAsia="en-US" w:bidi="ar-SA"/>
      </w:rPr>
    </w:lvl>
  </w:abstractNum>
  <w:abstractNum w:abstractNumId="13" w15:restartNumberingAfterBreak="0">
    <w:nsid w:val="5F405ED0"/>
    <w:multiLevelType w:val="multilevel"/>
    <w:tmpl w:val="F202F13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4" w15:restartNumberingAfterBreak="0">
    <w:nsid w:val="60421E10"/>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15" w15:restartNumberingAfterBreak="0">
    <w:nsid w:val="698A229D"/>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16" w15:restartNumberingAfterBreak="0">
    <w:nsid w:val="74A3701B"/>
    <w:multiLevelType w:val="multilevel"/>
    <w:tmpl w:val="02525E4C"/>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7" w15:restartNumberingAfterBreak="0">
    <w:nsid w:val="7CA64055"/>
    <w:multiLevelType w:val="multilevel"/>
    <w:tmpl w:val="CA14055C"/>
    <w:lvl w:ilvl="0">
      <w:start w:val="1"/>
      <w:numFmt w:val="decimal"/>
      <w:lvlText w:val="%1."/>
      <w:lvlJc w:val="left"/>
      <w:pPr>
        <w:ind w:left="540" w:hanging="54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num w:numId="1" w16cid:durableId="1500149596">
    <w:abstractNumId w:val="9"/>
  </w:num>
  <w:num w:numId="2" w16cid:durableId="884486353">
    <w:abstractNumId w:val="2"/>
  </w:num>
  <w:num w:numId="3" w16cid:durableId="1148984345">
    <w:abstractNumId w:val="17"/>
  </w:num>
  <w:num w:numId="4" w16cid:durableId="1948464952">
    <w:abstractNumId w:val="14"/>
  </w:num>
  <w:num w:numId="5" w16cid:durableId="2082219043">
    <w:abstractNumId w:val="0"/>
  </w:num>
  <w:num w:numId="6" w16cid:durableId="171844923">
    <w:abstractNumId w:val="1"/>
  </w:num>
  <w:num w:numId="7" w16cid:durableId="735515973">
    <w:abstractNumId w:val="15"/>
  </w:num>
  <w:num w:numId="8" w16cid:durableId="1082677714">
    <w:abstractNumId w:val="11"/>
  </w:num>
  <w:num w:numId="9" w16cid:durableId="1585073027">
    <w:abstractNumId w:val="6"/>
  </w:num>
  <w:num w:numId="10" w16cid:durableId="1586066177">
    <w:abstractNumId w:val="7"/>
  </w:num>
  <w:num w:numId="11" w16cid:durableId="2065638081">
    <w:abstractNumId w:val="10"/>
  </w:num>
  <w:num w:numId="12" w16cid:durableId="1803232468">
    <w:abstractNumId w:val="16"/>
  </w:num>
  <w:num w:numId="13" w16cid:durableId="1333871349">
    <w:abstractNumId w:val="4"/>
  </w:num>
  <w:num w:numId="14" w16cid:durableId="42103945">
    <w:abstractNumId w:val="0"/>
  </w:num>
  <w:num w:numId="15" w16cid:durableId="231357053">
    <w:abstractNumId w:val="8"/>
  </w:num>
  <w:num w:numId="16" w16cid:durableId="386533946">
    <w:abstractNumId w:val="3"/>
  </w:num>
  <w:num w:numId="17" w16cid:durableId="714549422">
    <w:abstractNumId w:val="12"/>
  </w:num>
  <w:num w:numId="18" w16cid:durableId="379865324">
    <w:abstractNumId w:val="5"/>
  </w:num>
  <w:num w:numId="19" w16cid:durableId="5919317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94"/>
    <w:rsid w:val="000001DA"/>
    <w:rsid w:val="000014D8"/>
    <w:rsid w:val="000015DE"/>
    <w:rsid w:val="00003459"/>
    <w:rsid w:val="000039F8"/>
    <w:rsid w:val="00004999"/>
    <w:rsid w:val="000049A2"/>
    <w:rsid w:val="00006992"/>
    <w:rsid w:val="00010678"/>
    <w:rsid w:val="000110D6"/>
    <w:rsid w:val="00011B13"/>
    <w:rsid w:val="00012FC5"/>
    <w:rsid w:val="00013BE4"/>
    <w:rsid w:val="00015C61"/>
    <w:rsid w:val="00017765"/>
    <w:rsid w:val="00021330"/>
    <w:rsid w:val="00022D36"/>
    <w:rsid w:val="00023F77"/>
    <w:rsid w:val="0002461E"/>
    <w:rsid w:val="000301BD"/>
    <w:rsid w:val="0003055D"/>
    <w:rsid w:val="00030BAB"/>
    <w:rsid w:val="00032592"/>
    <w:rsid w:val="0003376F"/>
    <w:rsid w:val="000346AC"/>
    <w:rsid w:val="00034D6C"/>
    <w:rsid w:val="00035178"/>
    <w:rsid w:val="000405F0"/>
    <w:rsid w:val="000407C9"/>
    <w:rsid w:val="00042A14"/>
    <w:rsid w:val="000435ED"/>
    <w:rsid w:val="0004395B"/>
    <w:rsid w:val="0004671A"/>
    <w:rsid w:val="00050EBC"/>
    <w:rsid w:val="00051A7D"/>
    <w:rsid w:val="0005272E"/>
    <w:rsid w:val="00053294"/>
    <w:rsid w:val="00054C6E"/>
    <w:rsid w:val="00056821"/>
    <w:rsid w:val="000570CA"/>
    <w:rsid w:val="00063C23"/>
    <w:rsid w:val="00063D18"/>
    <w:rsid w:val="00064625"/>
    <w:rsid w:val="000655CF"/>
    <w:rsid w:val="00065BFB"/>
    <w:rsid w:val="00067A04"/>
    <w:rsid w:val="00074B47"/>
    <w:rsid w:val="00074E06"/>
    <w:rsid w:val="00075608"/>
    <w:rsid w:val="000814AC"/>
    <w:rsid w:val="0008195C"/>
    <w:rsid w:val="00081FC3"/>
    <w:rsid w:val="00082925"/>
    <w:rsid w:val="00082AAE"/>
    <w:rsid w:val="00085B2B"/>
    <w:rsid w:val="00085F3D"/>
    <w:rsid w:val="00086E8D"/>
    <w:rsid w:val="00095DC4"/>
    <w:rsid w:val="00096770"/>
    <w:rsid w:val="00096D18"/>
    <w:rsid w:val="000977D8"/>
    <w:rsid w:val="00097841"/>
    <w:rsid w:val="000A1249"/>
    <w:rsid w:val="000A2457"/>
    <w:rsid w:val="000A33BB"/>
    <w:rsid w:val="000A33C0"/>
    <w:rsid w:val="000A39E3"/>
    <w:rsid w:val="000A53BB"/>
    <w:rsid w:val="000A6E8B"/>
    <w:rsid w:val="000B00DF"/>
    <w:rsid w:val="000B0104"/>
    <w:rsid w:val="000B593D"/>
    <w:rsid w:val="000B73E2"/>
    <w:rsid w:val="000C04BF"/>
    <w:rsid w:val="000C07FB"/>
    <w:rsid w:val="000C275B"/>
    <w:rsid w:val="000C3F9F"/>
    <w:rsid w:val="000C5050"/>
    <w:rsid w:val="000C521B"/>
    <w:rsid w:val="000C557B"/>
    <w:rsid w:val="000C61E9"/>
    <w:rsid w:val="000C68C5"/>
    <w:rsid w:val="000D298C"/>
    <w:rsid w:val="000D51C2"/>
    <w:rsid w:val="000D59C4"/>
    <w:rsid w:val="000D657C"/>
    <w:rsid w:val="000D7D64"/>
    <w:rsid w:val="000E0760"/>
    <w:rsid w:val="000E2C9D"/>
    <w:rsid w:val="000E5F5E"/>
    <w:rsid w:val="000E674F"/>
    <w:rsid w:val="000F05C1"/>
    <w:rsid w:val="000F20C3"/>
    <w:rsid w:val="000F310E"/>
    <w:rsid w:val="000F478E"/>
    <w:rsid w:val="000F52A7"/>
    <w:rsid w:val="000F5ADF"/>
    <w:rsid w:val="000F5C7C"/>
    <w:rsid w:val="000F631F"/>
    <w:rsid w:val="000F678E"/>
    <w:rsid w:val="000F6E2A"/>
    <w:rsid w:val="00100C7D"/>
    <w:rsid w:val="00100E1B"/>
    <w:rsid w:val="00105ED9"/>
    <w:rsid w:val="00107C66"/>
    <w:rsid w:val="0011130F"/>
    <w:rsid w:val="00111983"/>
    <w:rsid w:val="00112A42"/>
    <w:rsid w:val="00116309"/>
    <w:rsid w:val="0011743E"/>
    <w:rsid w:val="00124BF1"/>
    <w:rsid w:val="001312D1"/>
    <w:rsid w:val="00132535"/>
    <w:rsid w:val="00132768"/>
    <w:rsid w:val="001366F8"/>
    <w:rsid w:val="0014028C"/>
    <w:rsid w:val="0014524B"/>
    <w:rsid w:val="00146A63"/>
    <w:rsid w:val="00150056"/>
    <w:rsid w:val="00152B7D"/>
    <w:rsid w:val="00153EDE"/>
    <w:rsid w:val="00155F6E"/>
    <w:rsid w:val="00156EB0"/>
    <w:rsid w:val="00160730"/>
    <w:rsid w:val="0016176D"/>
    <w:rsid w:val="001768E5"/>
    <w:rsid w:val="00176BD7"/>
    <w:rsid w:val="00180D36"/>
    <w:rsid w:val="00181624"/>
    <w:rsid w:val="00181625"/>
    <w:rsid w:val="001835F0"/>
    <w:rsid w:val="001841B1"/>
    <w:rsid w:val="001842D0"/>
    <w:rsid w:val="00185A15"/>
    <w:rsid w:val="00187296"/>
    <w:rsid w:val="001909A4"/>
    <w:rsid w:val="001909F8"/>
    <w:rsid w:val="00192859"/>
    <w:rsid w:val="001952F4"/>
    <w:rsid w:val="00195A16"/>
    <w:rsid w:val="001A1226"/>
    <w:rsid w:val="001A17F1"/>
    <w:rsid w:val="001A37E9"/>
    <w:rsid w:val="001A3970"/>
    <w:rsid w:val="001B0FAE"/>
    <w:rsid w:val="001B1DE0"/>
    <w:rsid w:val="001B3683"/>
    <w:rsid w:val="001B3830"/>
    <w:rsid w:val="001B4394"/>
    <w:rsid w:val="001B7C7A"/>
    <w:rsid w:val="001C1B81"/>
    <w:rsid w:val="001C20D8"/>
    <w:rsid w:val="001C7CF7"/>
    <w:rsid w:val="001D1FE6"/>
    <w:rsid w:val="001D261C"/>
    <w:rsid w:val="001D4600"/>
    <w:rsid w:val="001D66A8"/>
    <w:rsid w:val="001D7306"/>
    <w:rsid w:val="001E01DB"/>
    <w:rsid w:val="001E04BB"/>
    <w:rsid w:val="001E3284"/>
    <w:rsid w:val="001E38B6"/>
    <w:rsid w:val="001E3F6B"/>
    <w:rsid w:val="001E6BC9"/>
    <w:rsid w:val="001E7197"/>
    <w:rsid w:val="001F49C9"/>
    <w:rsid w:val="001F507A"/>
    <w:rsid w:val="0020292F"/>
    <w:rsid w:val="002060AB"/>
    <w:rsid w:val="002074D6"/>
    <w:rsid w:val="002078CC"/>
    <w:rsid w:val="00207B58"/>
    <w:rsid w:val="00221BDD"/>
    <w:rsid w:val="00223853"/>
    <w:rsid w:val="002244F7"/>
    <w:rsid w:val="00224D85"/>
    <w:rsid w:val="00225F5F"/>
    <w:rsid w:val="0023142F"/>
    <w:rsid w:val="00231BC0"/>
    <w:rsid w:val="002326F6"/>
    <w:rsid w:val="0023499A"/>
    <w:rsid w:val="00235CFE"/>
    <w:rsid w:val="00237AB4"/>
    <w:rsid w:val="002405CE"/>
    <w:rsid w:val="00240A39"/>
    <w:rsid w:val="002414C0"/>
    <w:rsid w:val="00243B9B"/>
    <w:rsid w:val="00244AE2"/>
    <w:rsid w:val="002501BD"/>
    <w:rsid w:val="00250B95"/>
    <w:rsid w:val="0025387C"/>
    <w:rsid w:val="00256187"/>
    <w:rsid w:val="0025668B"/>
    <w:rsid w:val="002701D7"/>
    <w:rsid w:val="00272A6C"/>
    <w:rsid w:val="002744D9"/>
    <w:rsid w:val="00274790"/>
    <w:rsid w:val="00275EC7"/>
    <w:rsid w:val="00276C74"/>
    <w:rsid w:val="00277CA5"/>
    <w:rsid w:val="00290DC4"/>
    <w:rsid w:val="00292AE2"/>
    <w:rsid w:val="00294D7C"/>
    <w:rsid w:val="002950C8"/>
    <w:rsid w:val="00295CBC"/>
    <w:rsid w:val="002A2F6B"/>
    <w:rsid w:val="002A50A1"/>
    <w:rsid w:val="002A5640"/>
    <w:rsid w:val="002A5857"/>
    <w:rsid w:val="002A7B31"/>
    <w:rsid w:val="002B029D"/>
    <w:rsid w:val="002B1DEB"/>
    <w:rsid w:val="002B3590"/>
    <w:rsid w:val="002B4C08"/>
    <w:rsid w:val="002B5E38"/>
    <w:rsid w:val="002C33C6"/>
    <w:rsid w:val="002C4571"/>
    <w:rsid w:val="002C7158"/>
    <w:rsid w:val="002D08EC"/>
    <w:rsid w:val="002D3F22"/>
    <w:rsid w:val="002D44A2"/>
    <w:rsid w:val="002D4993"/>
    <w:rsid w:val="002D7F89"/>
    <w:rsid w:val="002E06B2"/>
    <w:rsid w:val="002E0901"/>
    <w:rsid w:val="002E242B"/>
    <w:rsid w:val="002E580C"/>
    <w:rsid w:val="002F223F"/>
    <w:rsid w:val="002F31A2"/>
    <w:rsid w:val="002F75BC"/>
    <w:rsid w:val="00302488"/>
    <w:rsid w:val="003029E2"/>
    <w:rsid w:val="00307587"/>
    <w:rsid w:val="003075EE"/>
    <w:rsid w:val="003111B7"/>
    <w:rsid w:val="00315E7A"/>
    <w:rsid w:val="00321A98"/>
    <w:rsid w:val="00322C79"/>
    <w:rsid w:val="003258C1"/>
    <w:rsid w:val="00327324"/>
    <w:rsid w:val="003304CF"/>
    <w:rsid w:val="0033290B"/>
    <w:rsid w:val="00332D05"/>
    <w:rsid w:val="00332D21"/>
    <w:rsid w:val="00332EDF"/>
    <w:rsid w:val="00335AFC"/>
    <w:rsid w:val="00335BCD"/>
    <w:rsid w:val="00336574"/>
    <w:rsid w:val="00336787"/>
    <w:rsid w:val="003369A8"/>
    <w:rsid w:val="003402FD"/>
    <w:rsid w:val="00340464"/>
    <w:rsid w:val="00343841"/>
    <w:rsid w:val="00344BF9"/>
    <w:rsid w:val="003458FC"/>
    <w:rsid w:val="00345911"/>
    <w:rsid w:val="00350B57"/>
    <w:rsid w:val="003544A4"/>
    <w:rsid w:val="00357126"/>
    <w:rsid w:val="00364FF2"/>
    <w:rsid w:val="00366B2C"/>
    <w:rsid w:val="0037414C"/>
    <w:rsid w:val="003773D7"/>
    <w:rsid w:val="00377FFB"/>
    <w:rsid w:val="003821F8"/>
    <w:rsid w:val="00383C80"/>
    <w:rsid w:val="00385B4C"/>
    <w:rsid w:val="00386219"/>
    <w:rsid w:val="00386A12"/>
    <w:rsid w:val="00386ACE"/>
    <w:rsid w:val="00387D97"/>
    <w:rsid w:val="003938DD"/>
    <w:rsid w:val="00394DB4"/>
    <w:rsid w:val="0039711B"/>
    <w:rsid w:val="003A1D8D"/>
    <w:rsid w:val="003A2A69"/>
    <w:rsid w:val="003A2CB9"/>
    <w:rsid w:val="003A3615"/>
    <w:rsid w:val="003A4054"/>
    <w:rsid w:val="003B0962"/>
    <w:rsid w:val="003B4122"/>
    <w:rsid w:val="003B6C8D"/>
    <w:rsid w:val="003B7C54"/>
    <w:rsid w:val="003C15D0"/>
    <w:rsid w:val="003C27E4"/>
    <w:rsid w:val="003C3D3D"/>
    <w:rsid w:val="003C475B"/>
    <w:rsid w:val="003C513E"/>
    <w:rsid w:val="003C56B9"/>
    <w:rsid w:val="003C6F04"/>
    <w:rsid w:val="003D0CE9"/>
    <w:rsid w:val="003D103B"/>
    <w:rsid w:val="003D2238"/>
    <w:rsid w:val="003D4370"/>
    <w:rsid w:val="003D6077"/>
    <w:rsid w:val="003D7D6F"/>
    <w:rsid w:val="003E341A"/>
    <w:rsid w:val="003E3A57"/>
    <w:rsid w:val="003E3E2B"/>
    <w:rsid w:val="003E7DDF"/>
    <w:rsid w:val="003F4A55"/>
    <w:rsid w:val="0040200F"/>
    <w:rsid w:val="004101F4"/>
    <w:rsid w:val="00415848"/>
    <w:rsid w:val="00430C55"/>
    <w:rsid w:val="004322F9"/>
    <w:rsid w:val="00432383"/>
    <w:rsid w:val="00432488"/>
    <w:rsid w:val="00434B36"/>
    <w:rsid w:val="004351D3"/>
    <w:rsid w:val="004376BF"/>
    <w:rsid w:val="00440562"/>
    <w:rsid w:val="00440C81"/>
    <w:rsid w:val="00444E25"/>
    <w:rsid w:val="00445462"/>
    <w:rsid w:val="0044711A"/>
    <w:rsid w:val="004535A6"/>
    <w:rsid w:val="00454531"/>
    <w:rsid w:val="004551A5"/>
    <w:rsid w:val="00455777"/>
    <w:rsid w:val="00455CC0"/>
    <w:rsid w:val="0045625A"/>
    <w:rsid w:val="00464AAD"/>
    <w:rsid w:val="00465326"/>
    <w:rsid w:val="00465BE5"/>
    <w:rsid w:val="00472F09"/>
    <w:rsid w:val="00473A3F"/>
    <w:rsid w:val="00473B8D"/>
    <w:rsid w:val="004767ED"/>
    <w:rsid w:val="00477108"/>
    <w:rsid w:val="00480AB5"/>
    <w:rsid w:val="00481238"/>
    <w:rsid w:val="00481A9D"/>
    <w:rsid w:val="004846A0"/>
    <w:rsid w:val="00487AB0"/>
    <w:rsid w:val="0049136F"/>
    <w:rsid w:val="004916B9"/>
    <w:rsid w:val="00493F0A"/>
    <w:rsid w:val="004A2CB7"/>
    <w:rsid w:val="004A33D5"/>
    <w:rsid w:val="004A5971"/>
    <w:rsid w:val="004A6337"/>
    <w:rsid w:val="004B12F8"/>
    <w:rsid w:val="004B1662"/>
    <w:rsid w:val="004B3C2E"/>
    <w:rsid w:val="004B4FED"/>
    <w:rsid w:val="004B7C88"/>
    <w:rsid w:val="004C3638"/>
    <w:rsid w:val="004C4CB2"/>
    <w:rsid w:val="004D2652"/>
    <w:rsid w:val="004D315B"/>
    <w:rsid w:val="004E1692"/>
    <w:rsid w:val="004E228C"/>
    <w:rsid w:val="004E403D"/>
    <w:rsid w:val="004E7C50"/>
    <w:rsid w:val="004E7DE2"/>
    <w:rsid w:val="004F19D8"/>
    <w:rsid w:val="004F33A6"/>
    <w:rsid w:val="004F4DB9"/>
    <w:rsid w:val="004F7991"/>
    <w:rsid w:val="005000ED"/>
    <w:rsid w:val="00500256"/>
    <w:rsid w:val="0050202F"/>
    <w:rsid w:val="00502904"/>
    <w:rsid w:val="00502933"/>
    <w:rsid w:val="00503261"/>
    <w:rsid w:val="00504EC6"/>
    <w:rsid w:val="0050654F"/>
    <w:rsid w:val="005073A5"/>
    <w:rsid w:val="00507577"/>
    <w:rsid w:val="005125CD"/>
    <w:rsid w:val="00512E47"/>
    <w:rsid w:val="00515396"/>
    <w:rsid w:val="0051668B"/>
    <w:rsid w:val="005175D4"/>
    <w:rsid w:val="00520F24"/>
    <w:rsid w:val="005215C3"/>
    <w:rsid w:val="00521AC1"/>
    <w:rsid w:val="00523863"/>
    <w:rsid w:val="00524CB4"/>
    <w:rsid w:val="005258D9"/>
    <w:rsid w:val="0053317D"/>
    <w:rsid w:val="00534DA8"/>
    <w:rsid w:val="00537053"/>
    <w:rsid w:val="00537F57"/>
    <w:rsid w:val="00541DEF"/>
    <w:rsid w:val="00541EBD"/>
    <w:rsid w:val="00545330"/>
    <w:rsid w:val="00546690"/>
    <w:rsid w:val="00547604"/>
    <w:rsid w:val="00561DEC"/>
    <w:rsid w:val="00562CB6"/>
    <w:rsid w:val="00562FD0"/>
    <w:rsid w:val="00566698"/>
    <w:rsid w:val="00566D4D"/>
    <w:rsid w:val="00570739"/>
    <w:rsid w:val="00572D05"/>
    <w:rsid w:val="005735B1"/>
    <w:rsid w:val="00575330"/>
    <w:rsid w:val="00576327"/>
    <w:rsid w:val="005802E5"/>
    <w:rsid w:val="00580B5E"/>
    <w:rsid w:val="00582B77"/>
    <w:rsid w:val="00584643"/>
    <w:rsid w:val="0058641E"/>
    <w:rsid w:val="00586EA4"/>
    <w:rsid w:val="00592257"/>
    <w:rsid w:val="005949CB"/>
    <w:rsid w:val="00596309"/>
    <w:rsid w:val="0059661C"/>
    <w:rsid w:val="005A5342"/>
    <w:rsid w:val="005A5E0E"/>
    <w:rsid w:val="005A75C3"/>
    <w:rsid w:val="005B28F5"/>
    <w:rsid w:val="005B33CD"/>
    <w:rsid w:val="005B3F85"/>
    <w:rsid w:val="005B79B6"/>
    <w:rsid w:val="005C05A3"/>
    <w:rsid w:val="005C2DB2"/>
    <w:rsid w:val="005C3251"/>
    <w:rsid w:val="005C38B6"/>
    <w:rsid w:val="005C48A0"/>
    <w:rsid w:val="005D1011"/>
    <w:rsid w:val="005D269D"/>
    <w:rsid w:val="005D3949"/>
    <w:rsid w:val="005D3FB6"/>
    <w:rsid w:val="005D4A2E"/>
    <w:rsid w:val="005D5766"/>
    <w:rsid w:val="005E19BC"/>
    <w:rsid w:val="005E1F0A"/>
    <w:rsid w:val="005E28B7"/>
    <w:rsid w:val="005E46DB"/>
    <w:rsid w:val="005E5097"/>
    <w:rsid w:val="005F0DE5"/>
    <w:rsid w:val="005F1948"/>
    <w:rsid w:val="006004E9"/>
    <w:rsid w:val="00601555"/>
    <w:rsid w:val="00602FF4"/>
    <w:rsid w:val="00603AEE"/>
    <w:rsid w:val="00603DE3"/>
    <w:rsid w:val="006066EA"/>
    <w:rsid w:val="00610B66"/>
    <w:rsid w:val="006110E4"/>
    <w:rsid w:val="00611E54"/>
    <w:rsid w:val="0061355F"/>
    <w:rsid w:val="00615403"/>
    <w:rsid w:val="0061553E"/>
    <w:rsid w:val="0061598A"/>
    <w:rsid w:val="006167C0"/>
    <w:rsid w:val="006177E1"/>
    <w:rsid w:val="00620C92"/>
    <w:rsid w:val="006223DD"/>
    <w:rsid w:val="00623FD6"/>
    <w:rsid w:val="00626987"/>
    <w:rsid w:val="0063073C"/>
    <w:rsid w:val="00630BDF"/>
    <w:rsid w:val="00632533"/>
    <w:rsid w:val="00632673"/>
    <w:rsid w:val="00632AA1"/>
    <w:rsid w:val="0063425E"/>
    <w:rsid w:val="00634A8C"/>
    <w:rsid w:val="00635872"/>
    <w:rsid w:val="00637848"/>
    <w:rsid w:val="00640885"/>
    <w:rsid w:val="006418B1"/>
    <w:rsid w:val="00641D27"/>
    <w:rsid w:val="00644159"/>
    <w:rsid w:val="00645714"/>
    <w:rsid w:val="006538EC"/>
    <w:rsid w:val="00654022"/>
    <w:rsid w:val="00656F5A"/>
    <w:rsid w:val="00660101"/>
    <w:rsid w:val="00661407"/>
    <w:rsid w:val="00662A00"/>
    <w:rsid w:val="00663A01"/>
    <w:rsid w:val="00663D12"/>
    <w:rsid w:val="006742FF"/>
    <w:rsid w:val="00676C10"/>
    <w:rsid w:val="006820F5"/>
    <w:rsid w:val="00683224"/>
    <w:rsid w:val="00683487"/>
    <w:rsid w:val="00683983"/>
    <w:rsid w:val="00683C94"/>
    <w:rsid w:val="00684F02"/>
    <w:rsid w:val="006853D5"/>
    <w:rsid w:val="00686E38"/>
    <w:rsid w:val="0068798F"/>
    <w:rsid w:val="00690F55"/>
    <w:rsid w:val="00692AAA"/>
    <w:rsid w:val="00694501"/>
    <w:rsid w:val="00694646"/>
    <w:rsid w:val="006948E2"/>
    <w:rsid w:val="006954F9"/>
    <w:rsid w:val="00695BA8"/>
    <w:rsid w:val="006A0A1F"/>
    <w:rsid w:val="006A1089"/>
    <w:rsid w:val="006A14DE"/>
    <w:rsid w:val="006A2670"/>
    <w:rsid w:val="006A5C7C"/>
    <w:rsid w:val="006B08DF"/>
    <w:rsid w:val="006B1711"/>
    <w:rsid w:val="006B2133"/>
    <w:rsid w:val="006B36A1"/>
    <w:rsid w:val="006B768A"/>
    <w:rsid w:val="006C31D3"/>
    <w:rsid w:val="006C635A"/>
    <w:rsid w:val="006D237E"/>
    <w:rsid w:val="006D25C6"/>
    <w:rsid w:val="006D53FE"/>
    <w:rsid w:val="006E06DC"/>
    <w:rsid w:val="006E0A13"/>
    <w:rsid w:val="006E133E"/>
    <w:rsid w:val="006E1A89"/>
    <w:rsid w:val="006E23DA"/>
    <w:rsid w:val="006E4636"/>
    <w:rsid w:val="006E5572"/>
    <w:rsid w:val="006E5D14"/>
    <w:rsid w:val="006E6518"/>
    <w:rsid w:val="006E683F"/>
    <w:rsid w:val="006E7F43"/>
    <w:rsid w:val="006F1905"/>
    <w:rsid w:val="006F1C93"/>
    <w:rsid w:val="006F25FB"/>
    <w:rsid w:val="006F760A"/>
    <w:rsid w:val="007009B6"/>
    <w:rsid w:val="00702680"/>
    <w:rsid w:val="00711EF6"/>
    <w:rsid w:val="00712902"/>
    <w:rsid w:val="007141AB"/>
    <w:rsid w:val="00715AB7"/>
    <w:rsid w:val="007162E9"/>
    <w:rsid w:val="00716D5E"/>
    <w:rsid w:val="0071799E"/>
    <w:rsid w:val="0072034A"/>
    <w:rsid w:val="00730077"/>
    <w:rsid w:val="00731589"/>
    <w:rsid w:val="0073250E"/>
    <w:rsid w:val="00733AF2"/>
    <w:rsid w:val="00734890"/>
    <w:rsid w:val="0073642E"/>
    <w:rsid w:val="00741336"/>
    <w:rsid w:val="007416CC"/>
    <w:rsid w:val="00744C83"/>
    <w:rsid w:val="007462D5"/>
    <w:rsid w:val="007477E7"/>
    <w:rsid w:val="00751620"/>
    <w:rsid w:val="00755C26"/>
    <w:rsid w:val="00764037"/>
    <w:rsid w:val="00765D2F"/>
    <w:rsid w:val="00767491"/>
    <w:rsid w:val="00770F6E"/>
    <w:rsid w:val="007729A8"/>
    <w:rsid w:val="00773D06"/>
    <w:rsid w:val="00774EB5"/>
    <w:rsid w:val="007761AE"/>
    <w:rsid w:val="00777165"/>
    <w:rsid w:val="00777CEF"/>
    <w:rsid w:val="00780AB5"/>
    <w:rsid w:val="00781EDC"/>
    <w:rsid w:val="007820D2"/>
    <w:rsid w:val="00787CEF"/>
    <w:rsid w:val="007904C5"/>
    <w:rsid w:val="00790562"/>
    <w:rsid w:val="007919D9"/>
    <w:rsid w:val="00791FDA"/>
    <w:rsid w:val="0079341D"/>
    <w:rsid w:val="007951D1"/>
    <w:rsid w:val="00795F47"/>
    <w:rsid w:val="007A23F8"/>
    <w:rsid w:val="007B0590"/>
    <w:rsid w:val="007B1E65"/>
    <w:rsid w:val="007B25FE"/>
    <w:rsid w:val="007B30D5"/>
    <w:rsid w:val="007C015C"/>
    <w:rsid w:val="007C06E3"/>
    <w:rsid w:val="007C5581"/>
    <w:rsid w:val="007C7E59"/>
    <w:rsid w:val="007D2D18"/>
    <w:rsid w:val="007D6068"/>
    <w:rsid w:val="007D6CCD"/>
    <w:rsid w:val="007E21CB"/>
    <w:rsid w:val="007E2992"/>
    <w:rsid w:val="007E329C"/>
    <w:rsid w:val="007E421F"/>
    <w:rsid w:val="007E5467"/>
    <w:rsid w:val="007E5CEA"/>
    <w:rsid w:val="007F008E"/>
    <w:rsid w:val="007F0382"/>
    <w:rsid w:val="007F14D1"/>
    <w:rsid w:val="007F22FB"/>
    <w:rsid w:val="007F26F4"/>
    <w:rsid w:val="007F7629"/>
    <w:rsid w:val="007F7B06"/>
    <w:rsid w:val="0080281C"/>
    <w:rsid w:val="00804A09"/>
    <w:rsid w:val="00806149"/>
    <w:rsid w:val="008134F2"/>
    <w:rsid w:val="008139A8"/>
    <w:rsid w:val="0081422B"/>
    <w:rsid w:val="008165F9"/>
    <w:rsid w:val="008210A1"/>
    <w:rsid w:val="008241EF"/>
    <w:rsid w:val="008243E6"/>
    <w:rsid w:val="00825FD0"/>
    <w:rsid w:val="008260F4"/>
    <w:rsid w:val="00830218"/>
    <w:rsid w:val="00831F8B"/>
    <w:rsid w:val="008328B5"/>
    <w:rsid w:val="00832977"/>
    <w:rsid w:val="008406C3"/>
    <w:rsid w:val="00840DA3"/>
    <w:rsid w:val="00842A6B"/>
    <w:rsid w:val="00842B80"/>
    <w:rsid w:val="00843103"/>
    <w:rsid w:val="00845F09"/>
    <w:rsid w:val="00847EE4"/>
    <w:rsid w:val="008503BF"/>
    <w:rsid w:val="00851E9A"/>
    <w:rsid w:val="00852F06"/>
    <w:rsid w:val="00854413"/>
    <w:rsid w:val="00855193"/>
    <w:rsid w:val="00860E66"/>
    <w:rsid w:val="00862E62"/>
    <w:rsid w:val="00863EEF"/>
    <w:rsid w:val="00863F93"/>
    <w:rsid w:val="00864811"/>
    <w:rsid w:val="00864DB1"/>
    <w:rsid w:val="0086522F"/>
    <w:rsid w:val="00865FD2"/>
    <w:rsid w:val="00871695"/>
    <w:rsid w:val="00872397"/>
    <w:rsid w:val="008737B7"/>
    <w:rsid w:val="00873EC0"/>
    <w:rsid w:val="008747C1"/>
    <w:rsid w:val="008750C3"/>
    <w:rsid w:val="0087529C"/>
    <w:rsid w:val="008757F6"/>
    <w:rsid w:val="0088059A"/>
    <w:rsid w:val="008815A0"/>
    <w:rsid w:val="0088197C"/>
    <w:rsid w:val="00890555"/>
    <w:rsid w:val="008927C1"/>
    <w:rsid w:val="008939A3"/>
    <w:rsid w:val="008946E4"/>
    <w:rsid w:val="008949EE"/>
    <w:rsid w:val="00896667"/>
    <w:rsid w:val="00897CBF"/>
    <w:rsid w:val="008A02F5"/>
    <w:rsid w:val="008A13DE"/>
    <w:rsid w:val="008A2AAD"/>
    <w:rsid w:val="008A6B6C"/>
    <w:rsid w:val="008A768E"/>
    <w:rsid w:val="008B03E0"/>
    <w:rsid w:val="008B3FCF"/>
    <w:rsid w:val="008B4102"/>
    <w:rsid w:val="008B5068"/>
    <w:rsid w:val="008B50B7"/>
    <w:rsid w:val="008C1E48"/>
    <w:rsid w:val="008C4762"/>
    <w:rsid w:val="008C4A51"/>
    <w:rsid w:val="008C5EA8"/>
    <w:rsid w:val="008C61CB"/>
    <w:rsid w:val="008C7E8B"/>
    <w:rsid w:val="008D3049"/>
    <w:rsid w:val="008D6576"/>
    <w:rsid w:val="008D7BFA"/>
    <w:rsid w:val="008D7EED"/>
    <w:rsid w:val="008E136E"/>
    <w:rsid w:val="008E3A6C"/>
    <w:rsid w:val="008E3B3D"/>
    <w:rsid w:val="008E5627"/>
    <w:rsid w:val="008E594C"/>
    <w:rsid w:val="008E7106"/>
    <w:rsid w:val="008F0154"/>
    <w:rsid w:val="008F376F"/>
    <w:rsid w:val="008F3DD8"/>
    <w:rsid w:val="00901A4D"/>
    <w:rsid w:val="00902880"/>
    <w:rsid w:val="0090635E"/>
    <w:rsid w:val="00910685"/>
    <w:rsid w:val="009133E0"/>
    <w:rsid w:val="00915566"/>
    <w:rsid w:val="00916696"/>
    <w:rsid w:val="009166CA"/>
    <w:rsid w:val="00920A19"/>
    <w:rsid w:val="00921811"/>
    <w:rsid w:val="00921E31"/>
    <w:rsid w:val="009222A7"/>
    <w:rsid w:val="00922306"/>
    <w:rsid w:val="009240D6"/>
    <w:rsid w:val="009253C6"/>
    <w:rsid w:val="009277E8"/>
    <w:rsid w:val="0093516F"/>
    <w:rsid w:val="00943CCA"/>
    <w:rsid w:val="009448A4"/>
    <w:rsid w:val="00946054"/>
    <w:rsid w:val="0094689D"/>
    <w:rsid w:val="00952304"/>
    <w:rsid w:val="00953B8B"/>
    <w:rsid w:val="00954C86"/>
    <w:rsid w:val="009578C8"/>
    <w:rsid w:val="00957AAB"/>
    <w:rsid w:val="00960736"/>
    <w:rsid w:val="00961B62"/>
    <w:rsid w:val="00964E7A"/>
    <w:rsid w:val="009650C6"/>
    <w:rsid w:val="00966E60"/>
    <w:rsid w:val="00967AB2"/>
    <w:rsid w:val="00970572"/>
    <w:rsid w:val="00970E2B"/>
    <w:rsid w:val="00970E46"/>
    <w:rsid w:val="00973144"/>
    <w:rsid w:val="00981D89"/>
    <w:rsid w:val="00981DE6"/>
    <w:rsid w:val="009830B3"/>
    <w:rsid w:val="00984A67"/>
    <w:rsid w:val="00984B6B"/>
    <w:rsid w:val="009853AB"/>
    <w:rsid w:val="009874C4"/>
    <w:rsid w:val="00987539"/>
    <w:rsid w:val="00987686"/>
    <w:rsid w:val="00995B2C"/>
    <w:rsid w:val="009A049A"/>
    <w:rsid w:val="009A1878"/>
    <w:rsid w:val="009A1AA2"/>
    <w:rsid w:val="009A43EC"/>
    <w:rsid w:val="009A476F"/>
    <w:rsid w:val="009A6009"/>
    <w:rsid w:val="009B0123"/>
    <w:rsid w:val="009B04A5"/>
    <w:rsid w:val="009B6A09"/>
    <w:rsid w:val="009B7F70"/>
    <w:rsid w:val="009C0257"/>
    <w:rsid w:val="009C0318"/>
    <w:rsid w:val="009C3A11"/>
    <w:rsid w:val="009C520D"/>
    <w:rsid w:val="009C6C9A"/>
    <w:rsid w:val="009C76C9"/>
    <w:rsid w:val="009C7B9E"/>
    <w:rsid w:val="009D0F6F"/>
    <w:rsid w:val="009D22ED"/>
    <w:rsid w:val="009D2C35"/>
    <w:rsid w:val="009D4A2A"/>
    <w:rsid w:val="009E0389"/>
    <w:rsid w:val="009E1022"/>
    <w:rsid w:val="009E2143"/>
    <w:rsid w:val="009E2237"/>
    <w:rsid w:val="009E2B2F"/>
    <w:rsid w:val="009F1ACD"/>
    <w:rsid w:val="009F68C1"/>
    <w:rsid w:val="009F699D"/>
    <w:rsid w:val="009F6C36"/>
    <w:rsid w:val="009F71B9"/>
    <w:rsid w:val="00A0062C"/>
    <w:rsid w:val="00A019FD"/>
    <w:rsid w:val="00A055EE"/>
    <w:rsid w:val="00A05DC3"/>
    <w:rsid w:val="00A1079B"/>
    <w:rsid w:val="00A114FE"/>
    <w:rsid w:val="00A11BFB"/>
    <w:rsid w:val="00A11EA4"/>
    <w:rsid w:val="00A151CB"/>
    <w:rsid w:val="00A1648D"/>
    <w:rsid w:val="00A17E5B"/>
    <w:rsid w:val="00A21F51"/>
    <w:rsid w:val="00A23B6D"/>
    <w:rsid w:val="00A324A7"/>
    <w:rsid w:val="00A36353"/>
    <w:rsid w:val="00A3713E"/>
    <w:rsid w:val="00A37CDD"/>
    <w:rsid w:val="00A429D9"/>
    <w:rsid w:val="00A43DCB"/>
    <w:rsid w:val="00A45045"/>
    <w:rsid w:val="00A453DC"/>
    <w:rsid w:val="00A46F90"/>
    <w:rsid w:val="00A50640"/>
    <w:rsid w:val="00A51B9E"/>
    <w:rsid w:val="00A52ABC"/>
    <w:rsid w:val="00A53BAB"/>
    <w:rsid w:val="00A609CA"/>
    <w:rsid w:val="00A617DB"/>
    <w:rsid w:val="00A63427"/>
    <w:rsid w:val="00A636D0"/>
    <w:rsid w:val="00A679FD"/>
    <w:rsid w:val="00A705A6"/>
    <w:rsid w:val="00A73C3D"/>
    <w:rsid w:val="00A74986"/>
    <w:rsid w:val="00A8049B"/>
    <w:rsid w:val="00A81A24"/>
    <w:rsid w:val="00A82274"/>
    <w:rsid w:val="00A83850"/>
    <w:rsid w:val="00A83FFD"/>
    <w:rsid w:val="00A8601D"/>
    <w:rsid w:val="00A8655D"/>
    <w:rsid w:val="00A918CC"/>
    <w:rsid w:val="00A92377"/>
    <w:rsid w:val="00A93611"/>
    <w:rsid w:val="00A94AD5"/>
    <w:rsid w:val="00A95841"/>
    <w:rsid w:val="00A95A24"/>
    <w:rsid w:val="00A9636D"/>
    <w:rsid w:val="00AA0E20"/>
    <w:rsid w:val="00AA2CCC"/>
    <w:rsid w:val="00AB16AD"/>
    <w:rsid w:val="00AB4E10"/>
    <w:rsid w:val="00AB5039"/>
    <w:rsid w:val="00AB7A6D"/>
    <w:rsid w:val="00AC0977"/>
    <w:rsid w:val="00AC09AE"/>
    <w:rsid w:val="00AC2B0C"/>
    <w:rsid w:val="00AC4FD7"/>
    <w:rsid w:val="00AC7C09"/>
    <w:rsid w:val="00AD2294"/>
    <w:rsid w:val="00AD40C8"/>
    <w:rsid w:val="00AD556C"/>
    <w:rsid w:val="00AD58F3"/>
    <w:rsid w:val="00AD63F0"/>
    <w:rsid w:val="00AD75C9"/>
    <w:rsid w:val="00AE4061"/>
    <w:rsid w:val="00AE43A3"/>
    <w:rsid w:val="00AE6320"/>
    <w:rsid w:val="00AE690C"/>
    <w:rsid w:val="00AF0380"/>
    <w:rsid w:val="00AF0794"/>
    <w:rsid w:val="00AF4577"/>
    <w:rsid w:val="00B00110"/>
    <w:rsid w:val="00B01404"/>
    <w:rsid w:val="00B01CAB"/>
    <w:rsid w:val="00B04B00"/>
    <w:rsid w:val="00B05205"/>
    <w:rsid w:val="00B06C6B"/>
    <w:rsid w:val="00B100AE"/>
    <w:rsid w:val="00B11396"/>
    <w:rsid w:val="00B115EA"/>
    <w:rsid w:val="00B11895"/>
    <w:rsid w:val="00B12C5F"/>
    <w:rsid w:val="00B131EB"/>
    <w:rsid w:val="00B136D1"/>
    <w:rsid w:val="00B25D76"/>
    <w:rsid w:val="00B30493"/>
    <w:rsid w:val="00B310A4"/>
    <w:rsid w:val="00B313BA"/>
    <w:rsid w:val="00B35A09"/>
    <w:rsid w:val="00B37540"/>
    <w:rsid w:val="00B37B99"/>
    <w:rsid w:val="00B43873"/>
    <w:rsid w:val="00B44221"/>
    <w:rsid w:val="00B44FEF"/>
    <w:rsid w:val="00B4511F"/>
    <w:rsid w:val="00B54470"/>
    <w:rsid w:val="00B555AF"/>
    <w:rsid w:val="00B57DB8"/>
    <w:rsid w:val="00B63838"/>
    <w:rsid w:val="00B6414C"/>
    <w:rsid w:val="00B65B66"/>
    <w:rsid w:val="00B66326"/>
    <w:rsid w:val="00B70180"/>
    <w:rsid w:val="00B709C1"/>
    <w:rsid w:val="00B714B5"/>
    <w:rsid w:val="00B7155E"/>
    <w:rsid w:val="00B71741"/>
    <w:rsid w:val="00B76D21"/>
    <w:rsid w:val="00B776EF"/>
    <w:rsid w:val="00B77825"/>
    <w:rsid w:val="00B806A9"/>
    <w:rsid w:val="00B8112B"/>
    <w:rsid w:val="00B8226C"/>
    <w:rsid w:val="00B848D8"/>
    <w:rsid w:val="00B854F9"/>
    <w:rsid w:val="00B85F66"/>
    <w:rsid w:val="00B904D7"/>
    <w:rsid w:val="00B93320"/>
    <w:rsid w:val="00B96193"/>
    <w:rsid w:val="00BA1E16"/>
    <w:rsid w:val="00BA2E8A"/>
    <w:rsid w:val="00BA455B"/>
    <w:rsid w:val="00BA6614"/>
    <w:rsid w:val="00BA7CA3"/>
    <w:rsid w:val="00BA7EC7"/>
    <w:rsid w:val="00BB2A43"/>
    <w:rsid w:val="00BB6242"/>
    <w:rsid w:val="00BC04E5"/>
    <w:rsid w:val="00BC2626"/>
    <w:rsid w:val="00BC476F"/>
    <w:rsid w:val="00BC4E56"/>
    <w:rsid w:val="00BC4F27"/>
    <w:rsid w:val="00BC5207"/>
    <w:rsid w:val="00BC52AA"/>
    <w:rsid w:val="00BC5634"/>
    <w:rsid w:val="00BC5C58"/>
    <w:rsid w:val="00BC65A3"/>
    <w:rsid w:val="00BC6A7A"/>
    <w:rsid w:val="00BC6C3B"/>
    <w:rsid w:val="00BC7527"/>
    <w:rsid w:val="00BC7AC0"/>
    <w:rsid w:val="00BD029D"/>
    <w:rsid w:val="00BD0989"/>
    <w:rsid w:val="00BD201C"/>
    <w:rsid w:val="00BD3282"/>
    <w:rsid w:val="00BD3529"/>
    <w:rsid w:val="00BD4E80"/>
    <w:rsid w:val="00BE05A7"/>
    <w:rsid w:val="00BE4AB4"/>
    <w:rsid w:val="00BE73F1"/>
    <w:rsid w:val="00BE756D"/>
    <w:rsid w:val="00BF04B5"/>
    <w:rsid w:val="00BF0ECB"/>
    <w:rsid w:val="00BF2174"/>
    <w:rsid w:val="00BF2813"/>
    <w:rsid w:val="00BF5FDE"/>
    <w:rsid w:val="00BF65C3"/>
    <w:rsid w:val="00C0045F"/>
    <w:rsid w:val="00C00961"/>
    <w:rsid w:val="00C01948"/>
    <w:rsid w:val="00C067C9"/>
    <w:rsid w:val="00C12767"/>
    <w:rsid w:val="00C12AB6"/>
    <w:rsid w:val="00C13C1F"/>
    <w:rsid w:val="00C15D8A"/>
    <w:rsid w:val="00C2218B"/>
    <w:rsid w:val="00C25555"/>
    <w:rsid w:val="00C25F93"/>
    <w:rsid w:val="00C27566"/>
    <w:rsid w:val="00C278A0"/>
    <w:rsid w:val="00C3145C"/>
    <w:rsid w:val="00C31CFE"/>
    <w:rsid w:val="00C36F7F"/>
    <w:rsid w:val="00C37C6F"/>
    <w:rsid w:val="00C422B0"/>
    <w:rsid w:val="00C4567F"/>
    <w:rsid w:val="00C47D5D"/>
    <w:rsid w:val="00C52813"/>
    <w:rsid w:val="00C5373A"/>
    <w:rsid w:val="00C53C2B"/>
    <w:rsid w:val="00C543B8"/>
    <w:rsid w:val="00C54C82"/>
    <w:rsid w:val="00C567C9"/>
    <w:rsid w:val="00C56906"/>
    <w:rsid w:val="00C57101"/>
    <w:rsid w:val="00C606F1"/>
    <w:rsid w:val="00C608EC"/>
    <w:rsid w:val="00C62794"/>
    <w:rsid w:val="00C62E31"/>
    <w:rsid w:val="00C74A81"/>
    <w:rsid w:val="00C75B11"/>
    <w:rsid w:val="00C75D6A"/>
    <w:rsid w:val="00C82814"/>
    <w:rsid w:val="00C85C81"/>
    <w:rsid w:val="00C918C1"/>
    <w:rsid w:val="00C91960"/>
    <w:rsid w:val="00C92BAF"/>
    <w:rsid w:val="00C93EC3"/>
    <w:rsid w:val="00C95245"/>
    <w:rsid w:val="00CA113C"/>
    <w:rsid w:val="00CA15C8"/>
    <w:rsid w:val="00CA2D5C"/>
    <w:rsid w:val="00CA3688"/>
    <w:rsid w:val="00CA4748"/>
    <w:rsid w:val="00CA65FF"/>
    <w:rsid w:val="00CB1216"/>
    <w:rsid w:val="00CB34CA"/>
    <w:rsid w:val="00CB57FF"/>
    <w:rsid w:val="00CC0A97"/>
    <w:rsid w:val="00CC0DB6"/>
    <w:rsid w:val="00CC1F41"/>
    <w:rsid w:val="00CC2885"/>
    <w:rsid w:val="00CC2B92"/>
    <w:rsid w:val="00CC2BDF"/>
    <w:rsid w:val="00CC3742"/>
    <w:rsid w:val="00CC3898"/>
    <w:rsid w:val="00CC45DF"/>
    <w:rsid w:val="00CD1BC0"/>
    <w:rsid w:val="00CD281D"/>
    <w:rsid w:val="00CD2F1B"/>
    <w:rsid w:val="00CD3891"/>
    <w:rsid w:val="00CD3D48"/>
    <w:rsid w:val="00CD7E79"/>
    <w:rsid w:val="00CE02FA"/>
    <w:rsid w:val="00CE1C7E"/>
    <w:rsid w:val="00CE4979"/>
    <w:rsid w:val="00CE5B64"/>
    <w:rsid w:val="00CE742F"/>
    <w:rsid w:val="00CE76B0"/>
    <w:rsid w:val="00CF0AA0"/>
    <w:rsid w:val="00CF40E6"/>
    <w:rsid w:val="00CF5B89"/>
    <w:rsid w:val="00D04DBF"/>
    <w:rsid w:val="00D0611A"/>
    <w:rsid w:val="00D06BDC"/>
    <w:rsid w:val="00D10522"/>
    <w:rsid w:val="00D10B8F"/>
    <w:rsid w:val="00D11D0E"/>
    <w:rsid w:val="00D11DC5"/>
    <w:rsid w:val="00D13A9D"/>
    <w:rsid w:val="00D14FB0"/>
    <w:rsid w:val="00D22E75"/>
    <w:rsid w:val="00D257C0"/>
    <w:rsid w:val="00D25959"/>
    <w:rsid w:val="00D25AA2"/>
    <w:rsid w:val="00D26C46"/>
    <w:rsid w:val="00D34342"/>
    <w:rsid w:val="00D35F3C"/>
    <w:rsid w:val="00D37F37"/>
    <w:rsid w:val="00D42DA9"/>
    <w:rsid w:val="00D45691"/>
    <w:rsid w:val="00D45DFC"/>
    <w:rsid w:val="00D47EF2"/>
    <w:rsid w:val="00D50BBD"/>
    <w:rsid w:val="00D50D5C"/>
    <w:rsid w:val="00D5352A"/>
    <w:rsid w:val="00D5391A"/>
    <w:rsid w:val="00D54945"/>
    <w:rsid w:val="00D57AF3"/>
    <w:rsid w:val="00D603B1"/>
    <w:rsid w:val="00D6178B"/>
    <w:rsid w:val="00D635B5"/>
    <w:rsid w:val="00D64D12"/>
    <w:rsid w:val="00D6522D"/>
    <w:rsid w:val="00D669E8"/>
    <w:rsid w:val="00D74F71"/>
    <w:rsid w:val="00D80474"/>
    <w:rsid w:val="00D80FA4"/>
    <w:rsid w:val="00D833B7"/>
    <w:rsid w:val="00D8360D"/>
    <w:rsid w:val="00D839BD"/>
    <w:rsid w:val="00D83B4E"/>
    <w:rsid w:val="00D87DCF"/>
    <w:rsid w:val="00D9234F"/>
    <w:rsid w:val="00D9235C"/>
    <w:rsid w:val="00D9686E"/>
    <w:rsid w:val="00D96A4E"/>
    <w:rsid w:val="00DA026A"/>
    <w:rsid w:val="00DA0694"/>
    <w:rsid w:val="00DA2FE4"/>
    <w:rsid w:val="00DA65ED"/>
    <w:rsid w:val="00DA7FFC"/>
    <w:rsid w:val="00DB00F4"/>
    <w:rsid w:val="00DB4F5C"/>
    <w:rsid w:val="00DB5418"/>
    <w:rsid w:val="00DB7554"/>
    <w:rsid w:val="00DC0060"/>
    <w:rsid w:val="00DC08F4"/>
    <w:rsid w:val="00DC10A2"/>
    <w:rsid w:val="00DC14A9"/>
    <w:rsid w:val="00DC1698"/>
    <w:rsid w:val="00DC3408"/>
    <w:rsid w:val="00DC4CBE"/>
    <w:rsid w:val="00DC5988"/>
    <w:rsid w:val="00DD502A"/>
    <w:rsid w:val="00DD58AB"/>
    <w:rsid w:val="00DE2E64"/>
    <w:rsid w:val="00DE50FB"/>
    <w:rsid w:val="00DE528E"/>
    <w:rsid w:val="00DE5729"/>
    <w:rsid w:val="00DE6D7B"/>
    <w:rsid w:val="00DF07BC"/>
    <w:rsid w:val="00DF1597"/>
    <w:rsid w:val="00DF44FB"/>
    <w:rsid w:val="00E00813"/>
    <w:rsid w:val="00E00AC8"/>
    <w:rsid w:val="00E00C20"/>
    <w:rsid w:val="00E01816"/>
    <w:rsid w:val="00E02FFF"/>
    <w:rsid w:val="00E05303"/>
    <w:rsid w:val="00E0621F"/>
    <w:rsid w:val="00E070B0"/>
    <w:rsid w:val="00E07E9B"/>
    <w:rsid w:val="00E1235E"/>
    <w:rsid w:val="00E16F81"/>
    <w:rsid w:val="00E17CBD"/>
    <w:rsid w:val="00E2433E"/>
    <w:rsid w:val="00E27385"/>
    <w:rsid w:val="00E30BF2"/>
    <w:rsid w:val="00E32F77"/>
    <w:rsid w:val="00E33A96"/>
    <w:rsid w:val="00E362C7"/>
    <w:rsid w:val="00E36C38"/>
    <w:rsid w:val="00E42302"/>
    <w:rsid w:val="00E44610"/>
    <w:rsid w:val="00E453C8"/>
    <w:rsid w:val="00E453F2"/>
    <w:rsid w:val="00E47B07"/>
    <w:rsid w:val="00E51208"/>
    <w:rsid w:val="00E51A27"/>
    <w:rsid w:val="00E51EBC"/>
    <w:rsid w:val="00E53228"/>
    <w:rsid w:val="00E5609C"/>
    <w:rsid w:val="00E57C5B"/>
    <w:rsid w:val="00E57CAB"/>
    <w:rsid w:val="00E60C8B"/>
    <w:rsid w:val="00E6101E"/>
    <w:rsid w:val="00E6428D"/>
    <w:rsid w:val="00E766C2"/>
    <w:rsid w:val="00E76EDA"/>
    <w:rsid w:val="00E8119C"/>
    <w:rsid w:val="00E844E3"/>
    <w:rsid w:val="00E8523D"/>
    <w:rsid w:val="00E85813"/>
    <w:rsid w:val="00E864D0"/>
    <w:rsid w:val="00E92926"/>
    <w:rsid w:val="00E95173"/>
    <w:rsid w:val="00E957F2"/>
    <w:rsid w:val="00EA1619"/>
    <w:rsid w:val="00EA61D4"/>
    <w:rsid w:val="00EA6D2F"/>
    <w:rsid w:val="00EB15DF"/>
    <w:rsid w:val="00EB1721"/>
    <w:rsid w:val="00EB304D"/>
    <w:rsid w:val="00EB3F58"/>
    <w:rsid w:val="00EB6A73"/>
    <w:rsid w:val="00EB7EF2"/>
    <w:rsid w:val="00EC0FA9"/>
    <w:rsid w:val="00EC153E"/>
    <w:rsid w:val="00EC1554"/>
    <w:rsid w:val="00EC51BE"/>
    <w:rsid w:val="00EC5A9A"/>
    <w:rsid w:val="00EC65A8"/>
    <w:rsid w:val="00EC7699"/>
    <w:rsid w:val="00ED0985"/>
    <w:rsid w:val="00ED1EF4"/>
    <w:rsid w:val="00ED570A"/>
    <w:rsid w:val="00ED64CF"/>
    <w:rsid w:val="00ED73EE"/>
    <w:rsid w:val="00EE1D14"/>
    <w:rsid w:val="00EE231A"/>
    <w:rsid w:val="00EF215E"/>
    <w:rsid w:val="00EF43D5"/>
    <w:rsid w:val="00EF483A"/>
    <w:rsid w:val="00EF7FF3"/>
    <w:rsid w:val="00F00165"/>
    <w:rsid w:val="00F0230F"/>
    <w:rsid w:val="00F02C0B"/>
    <w:rsid w:val="00F038B2"/>
    <w:rsid w:val="00F04C5D"/>
    <w:rsid w:val="00F0785B"/>
    <w:rsid w:val="00F10D8F"/>
    <w:rsid w:val="00F113F6"/>
    <w:rsid w:val="00F14318"/>
    <w:rsid w:val="00F14DAE"/>
    <w:rsid w:val="00F15E23"/>
    <w:rsid w:val="00F16805"/>
    <w:rsid w:val="00F219C3"/>
    <w:rsid w:val="00F21BA5"/>
    <w:rsid w:val="00F21FE2"/>
    <w:rsid w:val="00F22E94"/>
    <w:rsid w:val="00F2475B"/>
    <w:rsid w:val="00F2537D"/>
    <w:rsid w:val="00F32616"/>
    <w:rsid w:val="00F36D35"/>
    <w:rsid w:val="00F373D1"/>
    <w:rsid w:val="00F37569"/>
    <w:rsid w:val="00F37D86"/>
    <w:rsid w:val="00F40D53"/>
    <w:rsid w:val="00F41F8B"/>
    <w:rsid w:val="00F432BB"/>
    <w:rsid w:val="00F457D9"/>
    <w:rsid w:val="00F46008"/>
    <w:rsid w:val="00F46537"/>
    <w:rsid w:val="00F50E25"/>
    <w:rsid w:val="00F51225"/>
    <w:rsid w:val="00F55F48"/>
    <w:rsid w:val="00F60A67"/>
    <w:rsid w:val="00F651FD"/>
    <w:rsid w:val="00F65A59"/>
    <w:rsid w:val="00F66BF5"/>
    <w:rsid w:val="00F7026B"/>
    <w:rsid w:val="00F71116"/>
    <w:rsid w:val="00F72C71"/>
    <w:rsid w:val="00F730FB"/>
    <w:rsid w:val="00F77F74"/>
    <w:rsid w:val="00F80747"/>
    <w:rsid w:val="00F822DD"/>
    <w:rsid w:val="00F83982"/>
    <w:rsid w:val="00F83C15"/>
    <w:rsid w:val="00F86510"/>
    <w:rsid w:val="00F90086"/>
    <w:rsid w:val="00F904A5"/>
    <w:rsid w:val="00F9093B"/>
    <w:rsid w:val="00F91498"/>
    <w:rsid w:val="00FA0772"/>
    <w:rsid w:val="00FA2E94"/>
    <w:rsid w:val="00FA3911"/>
    <w:rsid w:val="00FB265A"/>
    <w:rsid w:val="00FB3353"/>
    <w:rsid w:val="00FB3B6A"/>
    <w:rsid w:val="00FB547E"/>
    <w:rsid w:val="00FB5670"/>
    <w:rsid w:val="00FB63FC"/>
    <w:rsid w:val="00FC215D"/>
    <w:rsid w:val="00FC73C9"/>
    <w:rsid w:val="00FD1726"/>
    <w:rsid w:val="00FD233F"/>
    <w:rsid w:val="00FD5D10"/>
    <w:rsid w:val="00FD7C08"/>
    <w:rsid w:val="00FE2EDA"/>
    <w:rsid w:val="00FE794D"/>
    <w:rsid w:val="00FF0966"/>
    <w:rsid w:val="00FF2D50"/>
    <w:rsid w:val="00FF406B"/>
    <w:rsid w:val="00FF6C44"/>
    <w:rsid w:val="00FF7A7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D8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C94"/>
    <w:pPr>
      <w:spacing w:after="200" w:line="276" w:lineRule="auto"/>
    </w:pPr>
    <w:rPr>
      <w:rFonts w:ascii="Arial" w:eastAsia="Arial" w:hAnsi="Arial"/>
      <w:kern w:val="0"/>
      <w:sz w:val="20"/>
      <w:lang w:val="en-US"/>
      <w14:ligatures w14:val="none"/>
    </w:rPr>
  </w:style>
  <w:style w:type="paragraph" w:styleId="Naslov1">
    <w:name w:val="heading 1"/>
    <w:basedOn w:val="Normal"/>
    <w:next w:val="Normal"/>
    <w:link w:val="Naslov1Char"/>
    <w:uiPriority w:val="9"/>
    <w:qFormat/>
    <w:rsid w:val="00683C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ormal"/>
    <w:next w:val="Normal"/>
    <w:link w:val="Naslov2Char"/>
    <w:uiPriority w:val="9"/>
    <w:unhideWhenUsed/>
    <w:qFormat/>
    <w:rsid w:val="00B717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ormal"/>
    <w:next w:val="Normal"/>
    <w:link w:val="Naslov3Char"/>
    <w:uiPriority w:val="9"/>
    <w:unhideWhenUsed/>
    <w:qFormat/>
    <w:rsid w:val="00B717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5">
    <w:name w:val="heading 5"/>
    <w:basedOn w:val="Normal"/>
    <w:link w:val="Naslov5Char"/>
    <w:uiPriority w:val="9"/>
    <w:unhideWhenUsed/>
    <w:qFormat/>
    <w:rsid w:val="00502933"/>
    <w:pPr>
      <w:widowControl w:val="0"/>
      <w:autoSpaceDE w:val="0"/>
      <w:autoSpaceDN w:val="0"/>
      <w:spacing w:after="0" w:line="240" w:lineRule="auto"/>
      <w:ind w:left="141"/>
      <w:jc w:val="both"/>
      <w:outlineLvl w:val="4"/>
    </w:pPr>
    <w:rPr>
      <w:rFonts w:ascii="Times New Roman" w:eastAsia="Times New Roman" w:hAnsi="Times New Roman" w:cs="Times New Roman"/>
      <w:b/>
      <w:bCs/>
      <w:sz w:val="24"/>
      <w:szCs w:val="24"/>
      <w:lang w:val="hr-HR"/>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Podnoje">
    <w:name w:val="footer"/>
    <w:basedOn w:val="Normal"/>
    <w:link w:val="PodnojeChar"/>
    <w:uiPriority w:val="99"/>
    <w:unhideWhenUsed/>
    <w:rsid w:val="00683C94"/>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683C94"/>
    <w:rPr>
      <w:rFonts w:ascii="Arial" w:eastAsia="Arial" w:hAnsi="Arial"/>
      <w:kern w:val="0"/>
      <w:sz w:val="20"/>
      <w:lang w:val="en-US"/>
      <w14:ligatures w14:val="none"/>
    </w:rPr>
  </w:style>
  <w:style w:type="character" w:customStyle="1" w:styleId="Naslov1Char">
    <w:name w:val="Naslov 1 Char"/>
    <w:basedOn w:val="Zadanifontodlomka"/>
    <w:link w:val="Naslov1"/>
    <w:uiPriority w:val="9"/>
    <w:rsid w:val="00683C94"/>
    <w:rPr>
      <w:rFonts w:asciiTheme="majorHAnsi" w:eastAsiaTheme="majorEastAsia" w:hAnsiTheme="majorHAnsi" w:cstheme="majorBidi"/>
      <w:color w:val="2F5496" w:themeColor="accent1" w:themeShade="BF"/>
      <w:kern w:val="0"/>
      <w:sz w:val="32"/>
      <w:szCs w:val="32"/>
      <w:lang w:val="en-US"/>
      <w14:ligatures w14:val="none"/>
    </w:rPr>
  </w:style>
  <w:style w:type="paragraph" w:styleId="TOCNaslov">
    <w:name w:val="TOC Heading"/>
    <w:basedOn w:val="Naslov1"/>
    <w:next w:val="Normal"/>
    <w:uiPriority w:val="39"/>
    <w:unhideWhenUsed/>
    <w:qFormat/>
    <w:rsid w:val="00683C94"/>
    <w:pPr>
      <w:spacing w:before="480"/>
      <w:outlineLvl w:val="9"/>
    </w:pPr>
    <w:rPr>
      <w:b/>
      <w:bCs/>
      <w:sz w:val="28"/>
      <w:szCs w:val="28"/>
    </w:rPr>
  </w:style>
  <w:style w:type="character" w:customStyle="1" w:styleId="Naslov2Char">
    <w:name w:val="Naslov 2 Char"/>
    <w:basedOn w:val="Zadanifontodlomka"/>
    <w:link w:val="Naslov2"/>
    <w:uiPriority w:val="9"/>
    <w:semiHidden/>
    <w:rsid w:val="00B71741"/>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Naslov3Char">
    <w:name w:val="Naslov 3 Char"/>
    <w:basedOn w:val="Zadanifontodlomka"/>
    <w:link w:val="Naslov3"/>
    <w:uiPriority w:val="9"/>
    <w:semiHidden/>
    <w:rsid w:val="00B71741"/>
    <w:rPr>
      <w:rFonts w:asciiTheme="majorHAnsi" w:eastAsiaTheme="majorEastAsia" w:hAnsiTheme="majorHAnsi" w:cstheme="majorBidi"/>
      <w:color w:val="1F3763" w:themeColor="accent1" w:themeShade="7F"/>
      <w:kern w:val="0"/>
      <w:sz w:val="24"/>
      <w:szCs w:val="24"/>
      <w:lang w:val="en-US"/>
      <w14:ligatures w14:val="none"/>
    </w:rPr>
  </w:style>
  <w:style w:type="paragraph" w:styleId="Odlomakpopisa">
    <w:name w:val="List Paragraph"/>
    <w:basedOn w:val="Normal"/>
    <w:uiPriority w:val="34"/>
    <w:qFormat/>
    <w:rsid w:val="0050654F"/>
    <w:pPr>
      <w:ind w:left="720"/>
      <w:contextualSpacing/>
    </w:pPr>
  </w:style>
  <w:style w:type="paragraph" w:styleId="Tijeloteksta">
    <w:name w:val="Body Text"/>
    <w:basedOn w:val="Normal"/>
    <w:link w:val="TijelotekstaChar"/>
    <w:uiPriority w:val="1"/>
    <w:qFormat/>
    <w:rsid w:val="00B131EB"/>
    <w:pPr>
      <w:widowControl w:val="0"/>
      <w:autoSpaceDE w:val="0"/>
      <w:autoSpaceDN w:val="0"/>
      <w:spacing w:after="0" w:line="240" w:lineRule="auto"/>
    </w:pPr>
    <w:rPr>
      <w:rFonts w:ascii="Times New Roman" w:eastAsia="Times New Roman" w:hAnsi="Times New Roman" w:cs="Times New Roman"/>
      <w:sz w:val="24"/>
      <w:szCs w:val="24"/>
      <w:lang w:val="hr-HR"/>
    </w:rPr>
  </w:style>
  <w:style w:type="character" w:customStyle="1" w:styleId="TijelotekstaChar">
    <w:name w:val="Tijelo teksta Char"/>
    <w:basedOn w:val="Zadanifontodlomka"/>
    <w:link w:val="Tijeloteksta"/>
    <w:uiPriority w:val="1"/>
    <w:rsid w:val="00B131EB"/>
    <w:rPr>
      <w:rFonts w:ascii="Times New Roman" w:eastAsia="Times New Roman" w:hAnsi="Times New Roman" w:cs="Times New Roman"/>
      <w:kern w:val="0"/>
      <w:sz w:val="24"/>
      <w:szCs w:val="24"/>
      <w14:ligatures w14:val="none"/>
    </w:rPr>
  </w:style>
  <w:style w:type="paragraph" w:styleId="Grafikeoznake">
    <w:name w:val="List Bullet"/>
    <w:basedOn w:val="Normal"/>
    <w:uiPriority w:val="99"/>
    <w:unhideWhenUsed/>
    <w:rsid w:val="00155F6E"/>
    <w:pPr>
      <w:numPr>
        <w:numId w:val="5"/>
      </w:numPr>
      <w:spacing w:after="110" w:line="259" w:lineRule="auto"/>
      <w:contextualSpacing/>
      <w:jc w:val="both"/>
    </w:pPr>
    <w:rPr>
      <w:rFonts w:ascii="Calibri" w:eastAsiaTheme="minorEastAsia" w:hAnsi="Calibri"/>
      <w:sz w:val="21"/>
    </w:rPr>
  </w:style>
  <w:style w:type="paragraph" w:customStyle="1" w:styleId="Istaknutonaslov">
    <w:name w:val="Istaknuto naslov"/>
    <w:rsid w:val="00155F6E"/>
    <w:pPr>
      <w:keepNext/>
      <w:spacing w:after="60" w:line="276" w:lineRule="auto"/>
    </w:pPr>
    <w:rPr>
      <w:rFonts w:ascii="Calibri" w:eastAsiaTheme="minorEastAsia" w:hAnsi="Calibri"/>
      <w:b/>
      <w:color w:val="1F4E79"/>
      <w:kern w:val="0"/>
      <w:sz w:val="20"/>
      <w:lang w:val="en-US"/>
      <w14:ligatures w14:val="none"/>
    </w:rPr>
  </w:style>
  <w:style w:type="paragraph" w:styleId="Sadraj2">
    <w:name w:val="toc 2"/>
    <w:basedOn w:val="Normal"/>
    <w:next w:val="Normal"/>
    <w:autoRedefine/>
    <w:uiPriority w:val="39"/>
    <w:unhideWhenUsed/>
    <w:rsid w:val="00F2475B"/>
    <w:pPr>
      <w:spacing w:after="100"/>
      <w:ind w:left="200"/>
    </w:pPr>
  </w:style>
  <w:style w:type="paragraph" w:styleId="Sadraj3">
    <w:name w:val="toc 3"/>
    <w:basedOn w:val="Normal"/>
    <w:next w:val="Normal"/>
    <w:autoRedefine/>
    <w:uiPriority w:val="39"/>
    <w:unhideWhenUsed/>
    <w:rsid w:val="00F2475B"/>
    <w:pPr>
      <w:spacing w:after="100"/>
      <w:ind w:left="400"/>
    </w:pPr>
  </w:style>
  <w:style w:type="character" w:styleId="Hiperveza">
    <w:name w:val="Hyperlink"/>
    <w:basedOn w:val="Zadanifontodlomka"/>
    <w:uiPriority w:val="99"/>
    <w:unhideWhenUsed/>
    <w:rsid w:val="00F2475B"/>
    <w:rPr>
      <w:color w:val="0563C1" w:themeColor="hyperlink"/>
      <w:u w:val="single"/>
    </w:rPr>
  </w:style>
  <w:style w:type="character" w:styleId="Naglaeno">
    <w:name w:val="Strong"/>
    <w:basedOn w:val="Zadanifontodlomka"/>
    <w:uiPriority w:val="22"/>
    <w:qFormat/>
    <w:rsid w:val="00F90086"/>
    <w:rPr>
      <w:b/>
      <w:bCs/>
    </w:rPr>
  </w:style>
  <w:style w:type="table" w:styleId="Svijetlareetkatablice">
    <w:name w:val="Grid Table Light"/>
    <w:basedOn w:val="Obinatablica"/>
    <w:uiPriority w:val="40"/>
    <w:rsid w:val="00F900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D35F3C"/>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paragraph" w:styleId="StandardWeb">
    <w:name w:val="Normal (Web)"/>
    <w:basedOn w:val="Normal"/>
    <w:uiPriority w:val="99"/>
    <w:semiHidden/>
    <w:unhideWhenUsed/>
    <w:rsid w:val="00D35F3C"/>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paragraph" w:customStyle="1" w:styleId="CaptionSmall">
    <w:name w:val="Caption Small"/>
    <w:rsid w:val="00D839BD"/>
    <w:pPr>
      <w:spacing w:line="276" w:lineRule="auto"/>
    </w:pPr>
    <w:rPr>
      <w:rFonts w:ascii="Calibri" w:eastAsiaTheme="minorEastAsia" w:hAnsi="Calibri"/>
      <w:i/>
      <w:color w:val="666666"/>
      <w:kern w:val="0"/>
      <w:sz w:val="18"/>
      <w:lang w:val="en-US"/>
      <w14:ligatures w14:val="none"/>
    </w:rPr>
  </w:style>
  <w:style w:type="paragraph" w:customStyle="1" w:styleId="BoxText">
    <w:name w:val="Box Text"/>
    <w:rsid w:val="00D839BD"/>
    <w:pPr>
      <w:spacing w:after="60" w:line="252" w:lineRule="auto"/>
    </w:pPr>
    <w:rPr>
      <w:rFonts w:ascii="Calibri" w:eastAsiaTheme="minorEastAsia" w:hAnsi="Calibri"/>
      <w:kern w:val="0"/>
      <w:sz w:val="20"/>
      <w:lang w:val="en-US"/>
      <w14:ligatures w14:val="none"/>
    </w:rPr>
  </w:style>
  <w:style w:type="paragraph" w:customStyle="1" w:styleId="TableText">
    <w:name w:val="Table Text"/>
    <w:rsid w:val="00D839BD"/>
    <w:pPr>
      <w:spacing w:after="0" w:line="240" w:lineRule="auto"/>
    </w:pPr>
    <w:rPr>
      <w:rFonts w:ascii="Calibri" w:eastAsiaTheme="minorEastAsia" w:hAnsi="Calibri"/>
      <w:kern w:val="0"/>
      <w:sz w:val="18"/>
      <w:lang w:val="en-US"/>
      <w14:ligatures w14:val="none"/>
    </w:rPr>
  </w:style>
  <w:style w:type="character" w:customStyle="1" w:styleId="Naslov5Char">
    <w:name w:val="Naslov 5 Char"/>
    <w:basedOn w:val="Zadanifontodlomka"/>
    <w:link w:val="Naslov5"/>
    <w:uiPriority w:val="9"/>
    <w:rsid w:val="00502933"/>
    <w:rPr>
      <w:rFonts w:ascii="Times New Roman" w:eastAsia="Times New Roman" w:hAnsi="Times New Roman" w:cs="Times New Roman"/>
      <w:b/>
      <w:bCs/>
      <w:kern w:val="0"/>
      <w:sz w:val="24"/>
      <w:szCs w:val="24"/>
      <w14:ligatures w14:val="none"/>
    </w:rPr>
  </w:style>
  <w:style w:type="paragraph" w:styleId="Sadraj1">
    <w:name w:val="toc 1"/>
    <w:basedOn w:val="Normal"/>
    <w:next w:val="Normal"/>
    <w:autoRedefine/>
    <w:uiPriority w:val="39"/>
    <w:unhideWhenUsed/>
    <w:rsid w:val="00683224"/>
    <w:pPr>
      <w:spacing w:after="100"/>
    </w:pPr>
  </w:style>
  <w:style w:type="table" w:styleId="Obinatablica1">
    <w:name w:val="Plain Table 1"/>
    <w:basedOn w:val="Obinatablica"/>
    <w:uiPriority w:val="41"/>
    <w:rsid w:val="004376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staknuto">
    <w:name w:val="Emphasis"/>
    <w:basedOn w:val="Zadanifontodlomka"/>
    <w:uiPriority w:val="20"/>
    <w:qFormat/>
    <w:rsid w:val="004C4CB2"/>
    <w:rPr>
      <w:i/>
      <w:iCs/>
    </w:rPr>
  </w:style>
  <w:style w:type="paragraph" w:styleId="Revizija">
    <w:name w:val="Revision"/>
    <w:hidden/>
    <w:uiPriority w:val="99"/>
    <w:semiHidden/>
    <w:rsid w:val="00BE756D"/>
    <w:pPr>
      <w:spacing w:after="0" w:line="240" w:lineRule="auto"/>
    </w:pPr>
    <w:rPr>
      <w:rFonts w:ascii="Arial" w:eastAsia="Arial" w:hAnsi="Arial"/>
      <w:kern w:val="0"/>
      <w:sz w:val="20"/>
      <w:lang w:val="en-US"/>
      <w14:ligatures w14:val="none"/>
    </w:rPr>
  </w:style>
  <w:style w:type="character" w:styleId="Referencakomentara">
    <w:name w:val="annotation reference"/>
    <w:basedOn w:val="Zadanifontodlomka"/>
    <w:uiPriority w:val="99"/>
    <w:semiHidden/>
    <w:unhideWhenUsed/>
    <w:rsid w:val="008328B5"/>
    <w:rPr>
      <w:sz w:val="16"/>
      <w:szCs w:val="16"/>
    </w:rPr>
  </w:style>
  <w:style w:type="paragraph" w:styleId="Tekstkomentara">
    <w:name w:val="annotation text"/>
    <w:basedOn w:val="Normal"/>
    <w:link w:val="TekstkomentaraChar"/>
    <w:uiPriority w:val="99"/>
    <w:unhideWhenUsed/>
    <w:rsid w:val="008328B5"/>
    <w:pPr>
      <w:spacing w:line="240" w:lineRule="auto"/>
    </w:pPr>
    <w:rPr>
      <w:szCs w:val="20"/>
    </w:rPr>
  </w:style>
  <w:style w:type="character" w:customStyle="1" w:styleId="TekstkomentaraChar">
    <w:name w:val="Tekst komentara Char"/>
    <w:basedOn w:val="Zadanifontodlomka"/>
    <w:link w:val="Tekstkomentara"/>
    <w:uiPriority w:val="99"/>
    <w:rsid w:val="008328B5"/>
    <w:rPr>
      <w:rFonts w:ascii="Arial" w:eastAsia="Arial" w:hAnsi="Arial"/>
      <w:kern w:val="0"/>
      <w:sz w:val="20"/>
      <w:szCs w:val="20"/>
      <w:lang w:val="en-US"/>
      <w14:ligatures w14:val="none"/>
    </w:rPr>
  </w:style>
  <w:style w:type="paragraph" w:styleId="Predmetkomentara">
    <w:name w:val="annotation subject"/>
    <w:basedOn w:val="Tekstkomentara"/>
    <w:next w:val="Tekstkomentara"/>
    <w:link w:val="PredmetkomentaraChar"/>
    <w:uiPriority w:val="99"/>
    <w:semiHidden/>
    <w:unhideWhenUsed/>
    <w:rsid w:val="008328B5"/>
    <w:rPr>
      <w:b/>
      <w:bCs/>
    </w:rPr>
  </w:style>
  <w:style w:type="character" w:customStyle="1" w:styleId="PredmetkomentaraChar">
    <w:name w:val="Predmet komentara Char"/>
    <w:basedOn w:val="TekstkomentaraChar"/>
    <w:link w:val="Predmetkomentara"/>
    <w:uiPriority w:val="99"/>
    <w:semiHidden/>
    <w:rsid w:val="008328B5"/>
    <w:rPr>
      <w:rFonts w:ascii="Arial" w:eastAsia="Arial" w:hAnsi="Arial"/>
      <w:b/>
      <w:bCs/>
      <w:kern w:val="0"/>
      <w:sz w:val="20"/>
      <w:szCs w:val="20"/>
      <w:lang w:val="en-US"/>
      <w14:ligatures w14:val="none"/>
    </w:rPr>
  </w:style>
  <w:style w:type="character" w:customStyle="1" w:styleId="cf01">
    <w:name w:val="cf01"/>
    <w:basedOn w:val="Zadanifontodlomka"/>
    <w:rsid w:val="00C52813"/>
    <w:rPr>
      <w:rFonts w:ascii="Segoe UI" w:hAnsi="Segoe UI" w:cs="Segoe UI" w:hint="default"/>
      <w:sz w:val="18"/>
      <w:szCs w:val="18"/>
    </w:rPr>
  </w:style>
  <w:style w:type="character" w:customStyle="1" w:styleId="cf11">
    <w:name w:val="cf11"/>
    <w:basedOn w:val="Zadanifontodlomka"/>
    <w:rsid w:val="00C52813"/>
    <w:rPr>
      <w:rFonts w:ascii="Segoe UI" w:hAnsi="Segoe UI" w:cs="Segoe UI" w:hint="default"/>
      <w:sz w:val="18"/>
      <w:szCs w:val="18"/>
    </w:rPr>
  </w:style>
  <w:style w:type="paragraph" w:customStyle="1" w:styleId="pf0">
    <w:name w:val="pf0"/>
    <w:basedOn w:val="Normal"/>
    <w:rsid w:val="00615403"/>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customStyle="1" w:styleId="cf21">
    <w:name w:val="cf21"/>
    <w:basedOn w:val="Zadanifontodlomka"/>
    <w:rsid w:val="00615403"/>
    <w:rPr>
      <w:rFonts w:ascii="Segoe UI" w:hAnsi="Segoe UI" w:cs="Segoe UI" w:hint="default"/>
      <w:sz w:val="18"/>
      <w:szCs w:val="18"/>
    </w:rPr>
  </w:style>
  <w:style w:type="paragraph" w:styleId="Tekstfusnote">
    <w:name w:val="footnote text"/>
    <w:basedOn w:val="Normal"/>
    <w:link w:val="TekstfusnoteChar"/>
    <w:uiPriority w:val="99"/>
    <w:semiHidden/>
    <w:unhideWhenUsed/>
    <w:rsid w:val="000B73E2"/>
    <w:pPr>
      <w:spacing w:after="0" w:line="240" w:lineRule="auto"/>
    </w:pPr>
    <w:rPr>
      <w:szCs w:val="20"/>
    </w:rPr>
  </w:style>
  <w:style w:type="character" w:customStyle="1" w:styleId="TekstfusnoteChar">
    <w:name w:val="Tekst fusnote Char"/>
    <w:basedOn w:val="Zadanifontodlomka"/>
    <w:link w:val="Tekstfusnote"/>
    <w:uiPriority w:val="99"/>
    <w:semiHidden/>
    <w:rsid w:val="000B73E2"/>
    <w:rPr>
      <w:rFonts w:ascii="Arial" w:eastAsia="Arial" w:hAnsi="Arial"/>
      <w:kern w:val="0"/>
      <w:sz w:val="20"/>
      <w:szCs w:val="20"/>
      <w:lang w:val="en-US"/>
      <w14:ligatures w14:val="none"/>
    </w:rPr>
  </w:style>
  <w:style w:type="character" w:styleId="Referencafusnote">
    <w:name w:val="footnote reference"/>
    <w:basedOn w:val="Zadanifontodlomka"/>
    <w:uiPriority w:val="99"/>
    <w:semiHidden/>
    <w:unhideWhenUsed/>
    <w:rsid w:val="000B73E2"/>
    <w:rPr>
      <w:vertAlign w:val="superscript"/>
    </w:rPr>
  </w:style>
  <w:style w:type="table" w:styleId="Reetkatablice">
    <w:name w:val="Table Grid"/>
    <w:basedOn w:val="Obinatablica"/>
    <w:uiPriority w:val="59"/>
    <w:rsid w:val="00686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aglavlje">
    <w:name w:val="header"/>
    <w:basedOn w:val="Normal"/>
    <w:link w:val="ZaglavljeChar"/>
    <w:uiPriority w:val="99"/>
    <w:unhideWhenUsed/>
    <w:rsid w:val="00332D05"/>
    <w:pPr>
      <w:tabs>
        <w:tab w:val="center" w:pos="4513"/>
        <w:tab w:val="right" w:pos="9026"/>
      </w:tabs>
      <w:spacing w:after="0" w:line="240" w:lineRule="auto"/>
    </w:pPr>
  </w:style>
  <w:style w:type="character" w:customStyle="1" w:styleId="ZaglavljeChar">
    <w:name w:val="Zaglavlje Char"/>
    <w:basedOn w:val="Zadanifontodlomka"/>
    <w:link w:val="Zaglavlje"/>
    <w:uiPriority w:val="99"/>
    <w:rsid w:val="00332D05"/>
    <w:rPr>
      <w:rFonts w:ascii="Arial" w:eastAsia="Arial" w:hAnsi="Arial"/>
      <w:kern w:val="0"/>
      <w:sz w:val="20"/>
      <w:lang w:val="en-US"/>
      <w14:ligatures w14:val="none"/>
    </w:rPr>
  </w:style>
  <w:style w:type="table" w:customStyle="1" w:styleId="Obinatablica21">
    <w:name w:val="Obična tablica 21"/>
    <w:basedOn w:val="Obinatablica"/>
    <w:next w:val="Obinatablica2"/>
    <w:rsid w:val="00DF07BC"/>
    <w:pPr>
      <w:spacing w:after="0" w:line="240" w:lineRule="auto"/>
    </w:pPr>
    <w:rPr>
      <w:rFonts w:eastAsia="Times New Roman"/>
      <w:kern w:val="0"/>
      <w:sz w:val="24"/>
      <w:szCs w:val="24"/>
      <w:lang w:val="en-US" w:eastAsia="zh-CN"/>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Obinatablica2">
    <w:name w:val="Plain Table 2"/>
    <w:basedOn w:val="Obinatablica"/>
    <w:rsid w:val="00DF07B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Tijeloteksta"/>
    <w:qFormat/>
    <w:rsid w:val="003C56B9"/>
    <w:pPr>
      <w:widowControl/>
      <w:autoSpaceDE/>
      <w:autoSpaceDN/>
      <w:spacing w:before="36" w:after="36"/>
    </w:pPr>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22589">
      <w:bodyDiv w:val="1"/>
      <w:marLeft w:val="0"/>
      <w:marRight w:val="0"/>
      <w:marTop w:val="0"/>
      <w:marBottom w:val="0"/>
      <w:divBdr>
        <w:top w:val="none" w:sz="0" w:space="0" w:color="auto"/>
        <w:left w:val="none" w:sz="0" w:space="0" w:color="auto"/>
        <w:bottom w:val="none" w:sz="0" w:space="0" w:color="auto"/>
        <w:right w:val="none" w:sz="0" w:space="0" w:color="auto"/>
      </w:divBdr>
    </w:div>
    <w:div w:id="90905616">
      <w:bodyDiv w:val="1"/>
      <w:marLeft w:val="0"/>
      <w:marRight w:val="0"/>
      <w:marTop w:val="0"/>
      <w:marBottom w:val="0"/>
      <w:divBdr>
        <w:top w:val="none" w:sz="0" w:space="0" w:color="auto"/>
        <w:left w:val="none" w:sz="0" w:space="0" w:color="auto"/>
        <w:bottom w:val="none" w:sz="0" w:space="0" w:color="auto"/>
        <w:right w:val="none" w:sz="0" w:space="0" w:color="auto"/>
      </w:divBdr>
    </w:div>
    <w:div w:id="123038979">
      <w:bodyDiv w:val="1"/>
      <w:marLeft w:val="0"/>
      <w:marRight w:val="0"/>
      <w:marTop w:val="0"/>
      <w:marBottom w:val="0"/>
      <w:divBdr>
        <w:top w:val="none" w:sz="0" w:space="0" w:color="auto"/>
        <w:left w:val="none" w:sz="0" w:space="0" w:color="auto"/>
        <w:bottom w:val="none" w:sz="0" w:space="0" w:color="auto"/>
        <w:right w:val="none" w:sz="0" w:space="0" w:color="auto"/>
      </w:divBdr>
    </w:div>
    <w:div w:id="150607416">
      <w:bodyDiv w:val="1"/>
      <w:marLeft w:val="0"/>
      <w:marRight w:val="0"/>
      <w:marTop w:val="0"/>
      <w:marBottom w:val="0"/>
      <w:divBdr>
        <w:top w:val="none" w:sz="0" w:space="0" w:color="auto"/>
        <w:left w:val="none" w:sz="0" w:space="0" w:color="auto"/>
        <w:bottom w:val="none" w:sz="0" w:space="0" w:color="auto"/>
        <w:right w:val="none" w:sz="0" w:space="0" w:color="auto"/>
      </w:divBdr>
    </w:div>
    <w:div w:id="167406844">
      <w:bodyDiv w:val="1"/>
      <w:marLeft w:val="0"/>
      <w:marRight w:val="0"/>
      <w:marTop w:val="0"/>
      <w:marBottom w:val="0"/>
      <w:divBdr>
        <w:top w:val="none" w:sz="0" w:space="0" w:color="auto"/>
        <w:left w:val="none" w:sz="0" w:space="0" w:color="auto"/>
        <w:bottom w:val="none" w:sz="0" w:space="0" w:color="auto"/>
        <w:right w:val="none" w:sz="0" w:space="0" w:color="auto"/>
      </w:divBdr>
    </w:div>
    <w:div w:id="210920170">
      <w:bodyDiv w:val="1"/>
      <w:marLeft w:val="0"/>
      <w:marRight w:val="0"/>
      <w:marTop w:val="0"/>
      <w:marBottom w:val="0"/>
      <w:divBdr>
        <w:top w:val="none" w:sz="0" w:space="0" w:color="auto"/>
        <w:left w:val="none" w:sz="0" w:space="0" w:color="auto"/>
        <w:bottom w:val="none" w:sz="0" w:space="0" w:color="auto"/>
        <w:right w:val="none" w:sz="0" w:space="0" w:color="auto"/>
      </w:divBdr>
    </w:div>
    <w:div w:id="222520043">
      <w:bodyDiv w:val="1"/>
      <w:marLeft w:val="0"/>
      <w:marRight w:val="0"/>
      <w:marTop w:val="0"/>
      <w:marBottom w:val="0"/>
      <w:divBdr>
        <w:top w:val="none" w:sz="0" w:space="0" w:color="auto"/>
        <w:left w:val="none" w:sz="0" w:space="0" w:color="auto"/>
        <w:bottom w:val="none" w:sz="0" w:space="0" w:color="auto"/>
        <w:right w:val="none" w:sz="0" w:space="0" w:color="auto"/>
      </w:divBdr>
    </w:div>
    <w:div w:id="234626215">
      <w:bodyDiv w:val="1"/>
      <w:marLeft w:val="0"/>
      <w:marRight w:val="0"/>
      <w:marTop w:val="0"/>
      <w:marBottom w:val="0"/>
      <w:divBdr>
        <w:top w:val="none" w:sz="0" w:space="0" w:color="auto"/>
        <w:left w:val="none" w:sz="0" w:space="0" w:color="auto"/>
        <w:bottom w:val="none" w:sz="0" w:space="0" w:color="auto"/>
        <w:right w:val="none" w:sz="0" w:space="0" w:color="auto"/>
      </w:divBdr>
    </w:div>
    <w:div w:id="235751497">
      <w:bodyDiv w:val="1"/>
      <w:marLeft w:val="0"/>
      <w:marRight w:val="0"/>
      <w:marTop w:val="0"/>
      <w:marBottom w:val="0"/>
      <w:divBdr>
        <w:top w:val="none" w:sz="0" w:space="0" w:color="auto"/>
        <w:left w:val="none" w:sz="0" w:space="0" w:color="auto"/>
        <w:bottom w:val="none" w:sz="0" w:space="0" w:color="auto"/>
        <w:right w:val="none" w:sz="0" w:space="0" w:color="auto"/>
      </w:divBdr>
    </w:div>
    <w:div w:id="358167615">
      <w:bodyDiv w:val="1"/>
      <w:marLeft w:val="0"/>
      <w:marRight w:val="0"/>
      <w:marTop w:val="0"/>
      <w:marBottom w:val="0"/>
      <w:divBdr>
        <w:top w:val="none" w:sz="0" w:space="0" w:color="auto"/>
        <w:left w:val="none" w:sz="0" w:space="0" w:color="auto"/>
        <w:bottom w:val="none" w:sz="0" w:space="0" w:color="auto"/>
        <w:right w:val="none" w:sz="0" w:space="0" w:color="auto"/>
      </w:divBdr>
    </w:div>
    <w:div w:id="393624522">
      <w:bodyDiv w:val="1"/>
      <w:marLeft w:val="0"/>
      <w:marRight w:val="0"/>
      <w:marTop w:val="0"/>
      <w:marBottom w:val="0"/>
      <w:divBdr>
        <w:top w:val="none" w:sz="0" w:space="0" w:color="auto"/>
        <w:left w:val="none" w:sz="0" w:space="0" w:color="auto"/>
        <w:bottom w:val="none" w:sz="0" w:space="0" w:color="auto"/>
        <w:right w:val="none" w:sz="0" w:space="0" w:color="auto"/>
      </w:divBdr>
    </w:div>
    <w:div w:id="556550093">
      <w:bodyDiv w:val="1"/>
      <w:marLeft w:val="0"/>
      <w:marRight w:val="0"/>
      <w:marTop w:val="0"/>
      <w:marBottom w:val="0"/>
      <w:divBdr>
        <w:top w:val="none" w:sz="0" w:space="0" w:color="auto"/>
        <w:left w:val="none" w:sz="0" w:space="0" w:color="auto"/>
        <w:bottom w:val="none" w:sz="0" w:space="0" w:color="auto"/>
        <w:right w:val="none" w:sz="0" w:space="0" w:color="auto"/>
      </w:divBdr>
    </w:div>
    <w:div w:id="567805149">
      <w:bodyDiv w:val="1"/>
      <w:marLeft w:val="0"/>
      <w:marRight w:val="0"/>
      <w:marTop w:val="0"/>
      <w:marBottom w:val="0"/>
      <w:divBdr>
        <w:top w:val="none" w:sz="0" w:space="0" w:color="auto"/>
        <w:left w:val="none" w:sz="0" w:space="0" w:color="auto"/>
        <w:bottom w:val="none" w:sz="0" w:space="0" w:color="auto"/>
        <w:right w:val="none" w:sz="0" w:space="0" w:color="auto"/>
      </w:divBdr>
    </w:div>
    <w:div w:id="577593003">
      <w:bodyDiv w:val="1"/>
      <w:marLeft w:val="0"/>
      <w:marRight w:val="0"/>
      <w:marTop w:val="0"/>
      <w:marBottom w:val="0"/>
      <w:divBdr>
        <w:top w:val="none" w:sz="0" w:space="0" w:color="auto"/>
        <w:left w:val="none" w:sz="0" w:space="0" w:color="auto"/>
        <w:bottom w:val="none" w:sz="0" w:space="0" w:color="auto"/>
        <w:right w:val="none" w:sz="0" w:space="0" w:color="auto"/>
      </w:divBdr>
    </w:div>
    <w:div w:id="638078189">
      <w:bodyDiv w:val="1"/>
      <w:marLeft w:val="0"/>
      <w:marRight w:val="0"/>
      <w:marTop w:val="0"/>
      <w:marBottom w:val="0"/>
      <w:divBdr>
        <w:top w:val="none" w:sz="0" w:space="0" w:color="auto"/>
        <w:left w:val="none" w:sz="0" w:space="0" w:color="auto"/>
        <w:bottom w:val="none" w:sz="0" w:space="0" w:color="auto"/>
        <w:right w:val="none" w:sz="0" w:space="0" w:color="auto"/>
      </w:divBdr>
    </w:div>
    <w:div w:id="647056944">
      <w:bodyDiv w:val="1"/>
      <w:marLeft w:val="0"/>
      <w:marRight w:val="0"/>
      <w:marTop w:val="0"/>
      <w:marBottom w:val="0"/>
      <w:divBdr>
        <w:top w:val="none" w:sz="0" w:space="0" w:color="auto"/>
        <w:left w:val="none" w:sz="0" w:space="0" w:color="auto"/>
        <w:bottom w:val="none" w:sz="0" w:space="0" w:color="auto"/>
        <w:right w:val="none" w:sz="0" w:space="0" w:color="auto"/>
      </w:divBdr>
      <w:divsChild>
        <w:div w:id="1303579344">
          <w:marLeft w:val="0"/>
          <w:marRight w:val="0"/>
          <w:marTop w:val="0"/>
          <w:marBottom w:val="0"/>
          <w:divBdr>
            <w:top w:val="none" w:sz="0" w:space="0" w:color="auto"/>
            <w:left w:val="none" w:sz="0" w:space="0" w:color="auto"/>
            <w:bottom w:val="none" w:sz="0" w:space="0" w:color="auto"/>
            <w:right w:val="none" w:sz="0" w:space="0" w:color="auto"/>
          </w:divBdr>
          <w:divsChild>
            <w:div w:id="9268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5499">
      <w:bodyDiv w:val="1"/>
      <w:marLeft w:val="0"/>
      <w:marRight w:val="0"/>
      <w:marTop w:val="0"/>
      <w:marBottom w:val="0"/>
      <w:divBdr>
        <w:top w:val="none" w:sz="0" w:space="0" w:color="auto"/>
        <w:left w:val="none" w:sz="0" w:space="0" w:color="auto"/>
        <w:bottom w:val="none" w:sz="0" w:space="0" w:color="auto"/>
        <w:right w:val="none" w:sz="0" w:space="0" w:color="auto"/>
      </w:divBdr>
    </w:div>
    <w:div w:id="703092455">
      <w:bodyDiv w:val="1"/>
      <w:marLeft w:val="0"/>
      <w:marRight w:val="0"/>
      <w:marTop w:val="0"/>
      <w:marBottom w:val="0"/>
      <w:divBdr>
        <w:top w:val="none" w:sz="0" w:space="0" w:color="auto"/>
        <w:left w:val="none" w:sz="0" w:space="0" w:color="auto"/>
        <w:bottom w:val="none" w:sz="0" w:space="0" w:color="auto"/>
        <w:right w:val="none" w:sz="0" w:space="0" w:color="auto"/>
      </w:divBdr>
    </w:div>
    <w:div w:id="772744176">
      <w:bodyDiv w:val="1"/>
      <w:marLeft w:val="0"/>
      <w:marRight w:val="0"/>
      <w:marTop w:val="0"/>
      <w:marBottom w:val="0"/>
      <w:divBdr>
        <w:top w:val="none" w:sz="0" w:space="0" w:color="auto"/>
        <w:left w:val="none" w:sz="0" w:space="0" w:color="auto"/>
        <w:bottom w:val="none" w:sz="0" w:space="0" w:color="auto"/>
        <w:right w:val="none" w:sz="0" w:space="0" w:color="auto"/>
      </w:divBdr>
    </w:div>
    <w:div w:id="821700058">
      <w:bodyDiv w:val="1"/>
      <w:marLeft w:val="0"/>
      <w:marRight w:val="0"/>
      <w:marTop w:val="0"/>
      <w:marBottom w:val="0"/>
      <w:divBdr>
        <w:top w:val="none" w:sz="0" w:space="0" w:color="auto"/>
        <w:left w:val="none" w:sz="0" w:space="0" w:color="auto"/>
        <w:bottom w:val="none" w:sz="0" w:space="0" w:color="auto"/>
        <w:right w:val="none" w:sz="0" w:space="0" w:color="auto"/>
      </w:divBdr>
    </w:div>
    <w:div w:id="860970818">
      <w:bodyDiv w:val="1"/>
      <w:marLeft w:val="0"/>
      <w:marRight w:val="0"/>
      <w:marTop w:val="0"/>
      <w:marBottom w:val="0"/>
      <w:divBdr>
        <w:top w:val="none" w:sz="0" w:space="0" w:color="auto"/>
        <w:left w:val="none" w:sz="0" w:space="0" w:color="auto"/>
        <w:bottom w:val="none" w:sz="0" w:space="0" w:color="auto"/>
        <w:right w:val="none" w:sz="0" w:space="0" w:color="auto"/>
      </w:divBdr>
    </w:div>
    <w:div w:id="891499758">
      <w:bodyDiv w:val="1"/>
      <w:marLeft w:val="0"/>
      <w:marRight w:val="0"/>
      <w:marTop w:val="0"/>
      <w:marBottom w:val="0"/>
      <w:divBdr>
        <w:top w:val="none" w:sz="0" w:space="0" w:color="auto"/>
        <w:left w:val="none" w:sz="0" w:space="0" w:color="auto"/>
        <w:bottom w:val="none" w:sz="0" w:space="0" w:color="auto"/>
        <w:right w:val="none" w:sz="0" w:space="0" w:color="auto"/>
      </w:divBdr>
    </w:div>
    <w:div w:id="1078478976">
      <w:bodyDiv w:val="1"/>
      <w:marLeft w:val="0"/>
      <w:marRight w:val="0"/>
      <w:marTop w:val="0"/>
      <w:marBottom w:val="0"/>
      <w:divBdr>
        <w:top w:val="none" w:sz="0" w:space="0" w:color="auto"/>
        <w:left w:val="none" w:sz="0" w:space="0" w:color="auto"/>
        <w:bottom w:val="none" w:sz="0" w:space="0" w:color="auto"/>
        <w:right w:val="none" w:sz="0" w:space="0" w:color="auto"/>
      </w:divBdr>
    </w:div>
    <w:div w:id="1167749909">
      <w:bodyDiv w:val="1"/>
      <w:marLeft w:val="0"/>
      <w:marRight w:val="0"/>
      <w:marTop w:val="0"/>
      <w:marBottom w:val="0"/>
      <w:divBdr>
        <w:top w:val="none" w:sz="0" w:space="0" w:color="auto"/>
        <w:left w:val="none" w:sz="0" w:space="0" w:color="auto"/>
        <w:bottom w:val="none" w:sz="0" w:space="0" w:color="auto"/>
        <w:right w:val="none" w:sz="0" w:space="0" w:color="auto"/>
      </w:divBdr>
    </w:div>
    <w:div w:id="1208178773">
      <w:bodyDiv w:val="1"/>
      <w:marLeft w:val="0"/>
      <w:marRight w:val="0"/>
      <w:marTop w:val="0"/>
      <w:marBottom w:val="0"/>
      <w:divBdr>
        <w:top w:val="none" w:sz="0" w:space="0" w:color="auto"/>
        <w:left w:val="none" w:sz="0" w:space="0" w:color="auto"/>
        <w:bottom w:val="none" w:sz="0" w:space="0" w:color="auto"/>
        <w:right w:val="none" w:sz="0" w:space="0" w:color="auto"/>
      </w:divBdr>
    </w:div>
    <w:div w:id="1259798532">
      <w:bodyDiv w:val="1"/>
      <w:marLeft w:val="0"/>
      <w:marRight w:val="0"/>
      <w:marTop w:val="0"/>
      <w:marBottom w:val="0"/>
      <w:divBdr>
        <w:top w:val="none" w:sz="0" w:space="0" w:color="auto"/>
        <w:left w:val="none" w:sz="0" w:space="0" w:color="auto"/>
        <w:bottom w:val="none" w:sz="0" w:space="0" w:color="auto"/>
        <w:right w:val="none" w:sz="0" w:space="0" w:color="auto"/>
      </w:divBdr>
    </w:div>
    <w:div w:id="1398937494">
      <w:bodyDiv w:val="1"/>
      <w:marLeft w:val="0"/>
      <w:marRight w:val="0"/>
      <w:marTop w:val="0"/>
      <w:marBottom w:val="0"/>
      <w:divBdr>
        <w:top w:val="none" w:sz="0" w:space="0" w:color="auto"/>
        <w:left w:val="none" w:sz="0" w:space="0" w:color="auto"/>
        <w:bottom w:val="none" w:sz="0" w:space="0" w:color="auto"/>
        <w:right w:val="none" w:sz="0" w:space="0" w:color="auto"/>
      </w:divBdr>
    </w:div>
    <w:div w:id="1404254608">
      <w:bodyDiv w:val="1"/>
      <w:marLeft w:val="0"/>
      <w:marRight w:val="0"/>
      <w:marTop w:val="0"/>
      <w:marBottom w:val="0"/>
      <w:divBdr>
        <w:top w:val="none" w:sz="0" w:space="0" w:color="auto"/>
        <w:left w:val="none" w:sz="0" w:space="0" w:color="auto"/>
        <w:bottom w:val="none" w:sz="0" w:space="0" w:color="auto"/>
        <w:right w:val="none" w:sz="0" w:space="0" w:color="auto"/>
      </w:divBdr>
    </w:div>
    <w:div w:id="1506356469">
      <w:bodyDiv w:val="1"/>
      <w:marLeft w:val="0"/>
      <w:marRight w:val="0"/>
      <w:marTop w:val="0"/>
      <w:marBottom w:val="0"/>
      <w:divBdr>
        <w:top w:val="none" w:sz="0" w:space="0" w:color="auto"/>
        <w:left w:val="none" w:sz="0" w:space="0" w:color="auto"/>
        <w:bottom w:val="none" w:sz="0" w:space="0" w:color="auto"/>
        <w:right w:val="none" w:sz="0" w:space="0" w:color="auto"/>
      </w:divBdr>
    </w:div>
    <w:div w:id="1520509855">
      <w:bodyDiv w:val="1"/>
      <w:marLeft w:val="0"/>
      <w:marRight w:val="0"/>
      <w:marTop w:val="0"/>
      <w:marBottom w:val="0"/>
      <w:divBdr>
        <w:top w:val="none" w:sz="0" w:space="0" w:color="auto"/>
        <w:left w:val="none" w:sz="0" w:space="0" w:color="auto"/>
        <w:bottom w:val="none" w:sz="0" w:space="0" w:color="auto"/>
        <w:right w:val="none" w:sz="0" w:space="0" w:color="auto"/>
      </w:divBdr>
    </w:div>
    <w:div w:id="1567715540">
      <w:bodyDiv w:val="1"/>
      <w:marLeft w:val="0"/>
      <w:marRight w:val="0"/>
      <w:marTop w:val="0"/>
      <w:marBottom w:val="0"/>
      <w:divBdr>
        <w:top w:val="none" w:sz="0" w:space="0" w:color="auto"/>
        <w:left w:val="none" w:sz="0" w:space="0" w:color="auto"/>
        <w:bottom w:val="none" w:sz="0" w:space="0" w:color="auto"/>
        <w:right w:val="none" w:sz="0" w:space="0" w:color="auto"/>
      </w:divBdr>
    </w:div>
    <w:div w:id="1638685435">
      <w:bodyDiv w:val="1"/>
      <w:marLeft w:val="0"/>
      <w:marRight w:val="0"/>
      <w:marTop w:val="0"/>
      <w:marBottom w:val="0"/>
      <w:divBdr>
        <w:top w:val="none" w:sz="0" w:space="0" w:color="auto"/>
        <w:left w:val="none" w:sz="0" w:space="0" w:color="auto"/>
        <w:bottom w:val="none" w:sz="0" w:space="0" w:color="auto"/>
        <w:right w:val="none" w:sz="0" w:space="0" w:color="auto"/>
      </w:divBdr>
    </w:div>
    <w:div w:id="1673531944">
      <w:bodyDiv w:val="1"/>
      <w:marLeft w:val="0"/>
      <w:marRight w:val="0"/>
      <w:marTop w:val="0"/>
      <w:marBottom w:val="0"/>
      <w:divBdr>
        <w:top w:val="none" w:sz="0" w:space="0" w:color="auto"/>
        <w:left w:val="none" w:sz="0" w:space="0" w:color="auto"/>
        <w:bottom w:val="none" w:sz="0" w:space="0" w:color="auto"/>
        <w:right w:val="none" w:sz="0" w:space="0" w:color="auto"/>
      </w:divBdr>
    </w:div>
    <w:div w:id="1713069003">
      <w:bodyDiv w:val="1"/>
      <w:marLeft w:val="0"/>
      <w:marRight w:val="0"/>
      <w:marTop w:val="0"/>
      <w:marBottom w:val="0"/>
      <w:divBdr>
        <w:top w:val="none" w:sz="0" w:space="0" w:color="auto"/>
        <w:left w:val="none" w:sz="0" w:space="0" w:color="auto"/>
        <w:bottom w:val="none" w:sz="0" w:space="0" w:color="auto"/>
        <w:right w:val="none" w:sz="0" w:space="0" w:color="auto"/>
      </w:divBdr>
    </w:div>
    <w:div w:id="1724788886">
      <w:bodyDiv w:val="1"/>
      <w:marLeft w:val="0"/>
      <w:marRight w:val="0"/>
      <w:marTop w:val="0"/>
      <w:marBottom w:val="0"/>
      <w:divBdr>
        <w:top w:val="none" w:sz="0" w:space="0" w:color="auto"/>
        <w:left w:val="none" w:sz="0" w:space="0" w:color="auto"/>
        <w:bottom w:val="none" w:sz="0" w:space="0" w:color="auto"/>
        <w:right w:val="none" w:sz="0" w:space="0" w:color="auto"/>
      </w:divBdr>
    </w:div>
    <w:div w:id="1728988261">
      <w:bodyDiv w:val="1"/>
      <w:marLeft w:val="0"/>
      <w:marRight w:val="0"/>
      <w:marTop w:val="0"/>
      <w:marBottom w:val="0"/>
      <w:divBdr>
        <w:top w:val="none" w:sz="0" w:space="0" w:color="auto"/>
        <w:left w:val="none" w:sz="0" w:space="0" w:color="auto"/>
        <w:bottom w:val="none" w:sz="0" w:space="0" w:color="auto"/>
        <w:right w:val="none" w:sz="0" w:space="0" w:color="auto"/>
      </w:divBdr>
    </w:div>
    <w:div w:id="1739010839">
      <w:bodyDiv w:val="1"/>
      <w:marLeft w:val="0"/>
      <w:marRight w:val="0"/>
      <w:marTop w:val="0"/>
      <w:marBottom w:val="0"/>
      <w:divBdr>
        <w:top w:val="none" w:sz="0" w:space="0" w:color="auto"/>
        <w:left w:val="none" w:sz="0" w:space="0" w:color="auto"/>
        <w:bottom w:val="none" w:sz="0" w:space="0" w:color="auto"/>
        <w:right w:val="none" w:sz="0" w:space="0" w:color="auto"/>
      </w:divBdr>
    </w:div>
    <w:div w:id="1775124487">
      <w:bodyDiv w:val="1"/>
      <w:marLeft w:val="0"/>
      <w:marRight w:val="0"/>
      <w:marTop w:val="0"/>
      <w:marBottom w:val="0"/>
      <w:divBdr>
        <w:top w:val="none" w:sz="0" w:space="0" w:color="auto"/>
        <w:left w:val="none" w:sz="0" w:space="0" w:color="auto"/>
        <w:bottom w:val="none" w:sz="0" w:space="0" w:color="auto"/>
        <w:right w:val="none" w:sz="0" w:space="0" w:color="auto"/>
      </w:divBdr>
    </w:div>
    <w:div w:id="1801147835">
      <w:bodyDiv w:val="1"/>
      <w:marLeft w:val="0"/>
      <w:marRight w:val="0"/>
      <w:marTop w:val="0"/>
      <w:marBottom w:val="0"/>
      <w:divBdr>
        <w:top w:val="none" w:sz="0" w:space="0" w:color="auto"/>
        <w:left w:val="none" w:sz="0" w:space="0" w:color="auto"/>
        <w:bottom w:val="none" w:sz="0" w:space="0" w:color="auto"/>
        <w:right w:val="none" w:sz="0" w:space="0" w:color="auto"/>
      </w:divBdr>
    </w:div>
    <w:div w:id="1803306052">
      <w:bodyDiv w:val="1"/>
      <w:marLeft w:val="0"/>
      <w:marRight w:val="0"/>
      <w:marTop w:val="0"/>
      <w:marBottom w:val="0"/>
      <w:divBdr>
        <w:top w:val="none" w:sz="0" w:space="0" w:color="auto"/>
        <w:left w:val="none" w:sz="0" w:space="0" w:color="auto"/>
        <w:bottom w:val="none" w:sz="0" w:space="0" w:color="auto"/>
        <w:right w:val="none" w:sz="0" w:space="0" w:color="auto"/>
      </w:divBdr>
    </w:div>
    <w:div w:id="1907568227">
      <w:bodyDiv w:val="1"/>
      <w:marLeft w:val="0"/>
      <w:marRight w:val="0"/>
      <w:marTop w:val="0"/>
      <w:marBottom w:val="0"/>
      <w:divBdr>
        <w:top w:val="none" w:sz="0" w:space="0" w:color="auto"/>
        <w:left w:val="none" w:sz="0" w:space="0" w:color="auto"/>
        <w:bottom w:val="none" w:sz="0" w:space="0" w:color="auto"/>
        <w:right w:val="none" w:sz="0" w:space="0" w:color="auto"/>
      </w:divBdr>
    </w:div>
    <w:div w:id="1917862297">
      <w:bodyDiv w:val="1"/>
      <w:marLeft w:val="0"/>
      <w:marRight w:val="0"/>
      <w:marTop w:val="0"/>
      <w:marBottom w:val="0"/>
      <w:divBdr>
        <w:top w:val="none" w:sz="0" w:space="0" w:color="auto"/>
        <w:left w:val="none" w:sz="0" w:space="0" w:color="auto"/>
        <w:bottom w:val="none" w:sz="0" w:space="0" w:color="auto"/>
        <w:right w:val="none" w:sz="0" w:space="0" w:color="auto"/>
      </w:divBdr>
    </w:div>
    <w:div w:id="1954945206">
      <w:bodyDiv w:val="1"/>
      <w:marLeft w:val="0"/>
      <w:marRight w:val="0"/>
      <w:marTop w:val="0"/>
      <w:marBottom w:val="0"/>
      <w:divBdr>
        <w:top w:val="none" w:sz="0" w:space="0" w:color="auto"/>
        <w:left w:val="none" w:sz="0" w:space="0" w:color="auto"/>
        <w:bottom w:val="none" w:sz="0" w:space="0" w:color="auto"/>
        <w:right w:val="none" w:sz="0" w:space="0" w:color="auto"/>
      </w:divBdr>
    </w:div>
    <w:div w:id="1974829007">
      <w:bodyDiv w:val="1"/>
      <w:marLeft w:val="0"/>
      <w:marRight w:val="0"/>
      <w:marTop w:val="0"/>
      <w:marBottom w:val="0"/>
      <w:divBdr>
        <w:top w:val="none" w:sz="0" w:space="0" w:color="auto"/>
        <w:left w:val="none" w:sz="0" w:space="0" w:color="auto"/>
        <w:bottom w:val="none" w:sz="0" w:space="0" w:color="auto"/>
        <w:right w:val="none" w:sz="0" w:space="0" w:color="auto"/>
      </w:divBdr>
    </w:div>
    <w:div w:id="2118212524">
      <w:bodyDiv w:val="1"/>
      <w:marLeft w:val="0"/>
      <w:marRight w:val="0"/>
      <w:marTop w:val="0"/>
      <w:marBottom w:val="0"/>
      <w:divBdr>
        <w:top w:val="none" w:sz="0" w:space="0" w:color="auto"/>
        <w:left w:val="none" w:sz="0" w:space="0" w:color="auto"/>
        <w:bottom w:val="none" w:sz="0" w:space="0" w:color="auto"/>
        <w:right w:val="none" w:sz="0" w:space="0" w:color="auto"/>
      </w:divBdr>
    </w:div>
    <w:div w:id="21288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32F46-7095-4E32-8B5D-177E6F270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28761</Words>
  <Characters>163943</Characters>
  <Application>Microsoft Office Word</Application>
  <DocSecurity>0</DocSecurity>
  <Lines>1366</Lines>
  <Paragraphs>384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192320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2026-10-15T07:38:00Z</dcterms:created>
  <dcterms:modified xsi:type="dcterms:W3CDTF">2026-10-15T07:40:00Z</dcterms:modified>
</cp:coreProperties>
</file>