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color w:val="0B2545"/>
          <w:sz w:val="21"/>
        </w:rPr>
        <w:t>CNGN Coinbase Paper Console</w:t>
        <w:br/>
        <w:t>Mathematical and Computational Specification</w:t>
      </w:r>
    </w:p>
    <w:p>
      <w:r>
        <w:rPr>
          <w:rFonts w:ascii="Calibri" w:hAnsi="Calibri"/>
          <w:b w:val="0"/>
          <w:i/>
          <w:color w:val="0B2545"/>
          <w:sz w:val="21"/>
        </w:rPr>
        <w:t>A reproducible description of the implemented dashboard, forecast ledger, dynamic inversion, hourly regime execution, and paper-wallet state machine.</w:t>
      </w:r>
    </w:p>
    <w:p>
      <w:r>
        <w:rPr>
          <w:rFonts w:ascii="Calibri" w:hAnsi="Calibri"/>
          <w:b w:val="0"/>
          <w:i w:val="0"/>
          <w:color w:val="0B2545"/>
          <w:sz w:val="21"/>
        </w:rPr>
        <w:t>Implementation source: E:\coinbase\index.php</w:t>
        <w:br/>
        <w:t>Specification source: E:\coinbase\strategy-spec.json</w:t>
        <w:br/>
        <w:t>Status: formal implementation specification; not a claim of validated predictive profitability.</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tcMar>
              <w:top w:w="80" w:type="dxa"/>
              <w:start w:w="120" w:type="dxa"/>
              <w:bottom w:w="80" w:type="dxa"/>
              <w:end w:w="120" w:type="dxa"/>
            </w:tcMar>
            <w:vAlign w:val="center"/>
            <w:tcW w:w="9360" w:type="dxa"/>
            <w:shd w:fill="F4F6F9"/>
          </w:tcPr>
          <w:p>
            <w:r>
              <w:rPr>
                <w:rFonts w:ascii="Calibri" w:hAnsi="Calibri"/>
                <w:b/>
                <w:i w:val="0"/>
                <w:color w:val="0B2545"/>
                <w:sz w:val="21"/>
              </w:rPr>
              <w:t xml:space="preserve">Scope and scientific posture. </w:t>
            </w:r>
            <w:r>
              <w:rPr>
                <w:rFonts w:ascii="Calibri" w:hAnsi="Calibri"/>
                <w:b w:val="0"/>
                <w:i w:val="0"/>
                <w:color w:val="0B2545"/>
                <w:sz w:val="21"/>
              </w:rPr>
              <w:t>This document specifies what the current program computes and executes in paper mode. Precision and reproducibility are prerequisites for serious evaluation, not evidence of predictive validity. A university-grade study still requires frozen data, preregistered hypotheses, out-of-sample testing, cost modeling, uncertainty estimates, and independent replication.</w:t>
            </w:r>
          </w:p>
        </w:tc>
      </w:tr>
    </w:tbl>
    <w:p/>
    <w:p>
      <w:pPr>
        <w:pStyle w:val="Heading1"/>
      </w:pPr>
      <w:r>
        <w:t>1. System objective and fidelity contract</w:t>
      </w:r>
    </w:p>
    <w:p>
      <w:r>
        <w:rPr>
          <w:rFonts w:ascii="Calibri" w:hAnsi="Calibri"/>
          <w:b w:val="0"/>
          <w:i w:val="0"/>
          <w:color w:val="0B2545"/>
          <w:sz w:val="21"/>
        </w:rPr>
        <w:t>The page is a server-rendered PHP dashboard backed by timestamped market observations, timestamp-locked CNGN guesses, resolved candle outcomes, per-ticker JSON state, a paper wallet, and a JavaScript refresh layer. The resolved ledger is historical truth. The active map affects new or unresolved signals only.</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tcMar>
              <w:top w:w="80" w:type="dxa"/>
              <w:start w:w="120" w:type="dxa"/>
              <w:bottom w:w="80" w:type="dxa"/>
              <w:end w:w="120" w:type="dxa"/>
            </w:tcMar>
            <w:vAlign w:val="center"/>
            <w:tcW w:w="1800" w:type="dxa"/>
            <w:shd w:fill="E8EEF5"/>
          </w:tcPr>
          <w:p>
            <w:r>
              <w:rPr>
                <w:rFonts w:ascii="Calibri" w:hAnsi="Calibri"/>
                <w:b/>
                <w:i w:val="0"/>
                <w:color w:val="1F4D78"/>
                <w:sz w:val="21"/>
              </w:rPr>
              <w:t>Property</w:t>
            </w:r>
          </w:p>
        </w:tc>
        <w:tc>
          <w:tcPr>
            <w:tcW w:type="dxa" w:w="7560"/>
            <w:tcMar>
              <w:top w:w="80" w:type="dxa"/>
              <w:start w:w="120" w:type="dxa"/>
              <w:bottom w:w="80" w:type="dxa"/>
              <w:end w:w="120" w:type="dxa"/>
            </w:tcMar>
            <w:vAlign w:val="center"/>
            <w:tcW w:w="7560" w:type="dxa"/>
            <w:shd w:fill="E8EEF5"/>
          </w:tcPr>
          <w:p>
            <w:r>
              <w:rPr>
                <w:rFonts w:ascii="Calibri" w:hAnsi="Calibri"/>
                <w:b/>
                <w:i w:val="0"/>
                <w:color w:val="1F4D78"/>
                <w:sz w:val="21"/>
              </w:rPr>
              <w:t>Exact contract</w:t>
            </w:r>
          </w:p>
        </w:tc>
      </w:tr>
      <w:tr>
        <w:tc>
          <w:tcPr>
            <w:tcW w:type="dxa" w:w="1800"/>
          </w:tcPr>
          <w:p>
            <w:r>
              <w:rPr>
                <w:rFonts w:ascii="Calibri" w:hAnsi="Calibri"/>
                <w:b w:val="0"/>
                <w:i w:val="0"/>
                <w:color w:val="0B2545"/>
                <w:sz w:val="21"/>
              </w:rPr>
              <w:t>Execution</w:t>
            </w:r>
          </w:p>
        </w:tc>
        <w:tc>
          <w:tcPr>
            <w:tcW w:type="dxa" w:w="7560"/>
          </w:tcPr>
          <w:p>
            <w:r>
              <w:rPr>
                <w:rFonts w:ascii="Calibri" w:hAnsi="Calibri"/>
                <w:b w:val="0"/>
                <w:i w:val="0"/>
                <w:color w:val="0B2545"/>
                <w:sz w:val="21"/>
              </w:rPr>
              <w:t>Paper-only state transitions; no Coinbase order is created by this specification.</w:t>
            </w:r>
          </w:p>
        </w:tc>
      </w:tr>
      <w:tr>
        <w:tc>
          <w:tcPr>
            <w:tcW w:type="dxa" w:w="1800"/>
          </w:tcPr>
          <w:p>
            <w:r>
              <w:rPr>
                <w:rFonts w:ascii="Calibri" w:hAnsi="Calibri"/>
                <w:b w:val="0"/>
                <w:i w:val="0"/>
                <w:color w:val="0B2545"/>
                <w:sz w:val="21"/>
              </w:rPr>
              <w:t>Time</w:t>
            </w:r>
          </w:p>
        </w:tc>
        <w:tc>
          <w:tcPr>
            <w:tcW w:type="dxa" w:w="7560"/>
          </w:tcPr>
          <w:p>
            <w:r>
              <w:rPr>
                <w:rFonts w:ascii="Calibri" w:hAnsi="Calibri"/>
                <w:b w:val="0"/>
                <w:i w:val="0"/>
                <w:color w:val="0B2545"/>
                <w:sz w:val="21"/>
              </w:rPr>
              <w:t>America/New_York display; epoch/ISO timestamps remain canonical internally.</w:t>
            </w:r>
          </w:p>
        </w:tc>
      </w:tr>
      <w:tr>
        <w:tc>
          <w:tcPr>
            <w:tcW w:type="dxa" w:w="1800"/>
          </w:tcPr>
          <w:p>
            <w:r>
              <w:rPr>
                <w:rFonts w:ascii="Calibri" w:hAnsi="Calibri"/>
                <w:b w:val="0"/>
                <w:i w:val="0"/>
                <w:color w:val="0B2545"/>
                <w:sz w:val="21"/>
              </w:rPr>
              <w:t>Candle</w:t>
            </w:r>
          </w:p>
        </w:tc>
        <w:tc>
          <w:tcPr>
            <w:tcW w:type="dxa" w:w="7560"/>
          </w:tcPr>
          <w:p>
            <w:r>
              <w:rPr>
                <w:rFonts w:ascii="Calibri" w:hAnsi="Calibri"/>
                <w:b w:val="0"/>
                <w:i w:val="0"/>
                <w:color w:val="0B2545"/>
                <w:sz w:val="21"/>
              </w:rPr>
              <w:t>Five-minute OHLC observation; twelve five-minute observations form one hour.</w:t>
            </w:r>
          </w:p>
        </w:tc>
      </w:tr>
      <w:tr>
        <w:tc>
          <w:tcPr>
            <w:tcW w:type="dxa" w:w="1800"/>
          </w:tcPr>
          <w:p>
            <w:r>
              <w:rPr>
                <w:rFonts w:ascii="Calibri" w:hAnsi="Calibri"/>
                <w:b w:val="0"/>
                <w:i w:val="0"/>
                <w:color w:val="0B2545"/>
                <w:sz w:val="21"/>
              </w:rPr>
              <w:t>Truth</w:t>
            </w:r>
          </w:p>
        </w:tc>
        <w:tc>
          <w:tcPr>
            <w:tcW w:type="dxa" w:w="7560"/>
          </w:tcPr>
          <w:p>
            <w:r>
              <w:rPr>
                <w:rFonts w:ascii="Calibri" w:hAnsi="Calibri"/>
                <w:b w:val="0"/>
                <w:i w:val="0"/>
                <w:color w:val="0B2545"/>
                <w:sz w:val="21"/>
              </w:rPr>
              <w:t>Resolved rows are immutable after actual candle direction is frozen.</w:t>
            </w:r>
          </w:p>
        </w:tc>
      </w:tr>
      <w:tr>
        <w:tc>
          <w:tcPr>
            <w:tcW w:type="dxa" w:w="1800"/>
          </w:tcPr>
          <w:p>
            <w:r>
              <w:rPr>
                <w:rFonts w:ascii="Calibri" w:hAnsi="Calibri"/>
                <w:b w:val="0"/>
                <w:i w:val="0"/>
                <w:color w:val="0B2545"/>
                <w:sz w:val="21"/>
              </w:rPr>
              <w:t>Minimum trade</w:t>
            </w:r>
          </w:p>
        </w:tc>
        <w:tc>
          <w:tcPr>
            <w:tcW w:type="dxa" w:w="7560"/>
          </w:tcPr>
          <w:p>
            <w:r>
              <w:rPr>
                <w:rFonts w:ascii="Calibri" w:hAnsi="Calibri"/>
                <w:b w:val="0"/>
                <w:i w:val="0"/>
                <w:color w:val="0B2545"/>
                <w:sz w:val="21"/>
              </w:rPr>
              <w:t>$2.00 for BUY and SELL.</w:t>
            </w:r>
          </w:p>
        </w:tc>
      </w:tr>
      <w:tr>
        <w:tc>
          <w:tcPr>
            <w:tcW w:type="dxa" w:w="1800"/>
          </w:tcPr>
          <w:p>
            <w:r>
              <w:rPr>
                <w:rFonts w:ascii="Calibri" w:hAnsi="Calibri"/>
                <w:b w:val="0"/>
                <w:i w:val="0"/>
                <w:color w:val="0B2545"/>
                <w:sz w:val="21"/>
              </w:rPr>
              <w:t>Sell protection</w:t>
            </w:r>
          </w:p>
        </w:tc>
        <w:tc>
          <w:tcPr>
            <w:tcW w:type="dxa" w:w="7560"/>
          </w:tcPr>
          <w:p>
            <w:r>
              <w:rPr>
                <w:rFonts w:ascii="Calibri" w:hAnsi="Calibri"/>
                <w:b w:val="0"/>
                <w:i w:val="0"/>
                <w:color w:val="0B2545"/>
                <w:sz w:val="21"/>
              </w:rPr>
              <w:t>Current price must exceed average cost by 0.50%.</w:t>
            </w:r>
          </w:p>
        </w:tc>
      </w:tr>
      <w:tr>
        <w:tc>
          <w:tcPr>
            <w:tcW w:type="dxa" w:w="1800"/>
          </w:tcPr>
          <w:p>
            <w:r>
              <w:rPr>
                <w:rFonts w:ascii="Calibri" w:hAnsi="Calibri"/>
                <w:b w:val="0"/>
                <w:i w:val="0"/>
                <w:color w:val="0B2545"/>
                <w:sz w:val="21"/>
              </w:rPr>
              <w:t>Regime horizon</w:t>
            </w:r>
          </w:p>
        </w:tc>
        <w:tc>
          <w:tcPr>
            <w:tcW w:type="dxa" w:w="7560"/>
          </w:tcPr>
          <w:p>
            <w:r>
              <w:rPr>
                <w:rFonts w:ascii="Calibri" w:hAnsi="Calibri"/>
                <w:b w:val="0"/>
                <w:i w:val="0"/>
                <w:color w:val="0B2545"/>
                <w:sz w:val="21"/>
              </w:rPr>
              <w:t>One through twelve hourly steps.</w:t>
            </w:r>
          </w:p>
        </w:tc>
      </w:tr>
    </w:tbl>
    <w:p/>
    <w:p>
      <w:pPr>
        <w:pStyle w:val="Heading1"/>
      </w:pPr>
      <w:r>
        <w:t>2. Notation and data model</w:t>
      </w:r>
    </w:p>
    <w:p>
      <w:r>
        <w:rPr>
          <w:rFonts w:ascii="Calibri" w:hAnsi="Calibri"/>
          <w:b w:val="0"/>
          <w:i w:val="0"/>
          <w:color w:val="0B2545"/>
          <w:sz w:val="21"/>
        </w:rPr>
        <w:t>Let t index five-minute boundaries. The observed candle is C_t = (O_t, H_t, L_t, P_t), where P_t is close. The forecast pair is Q_t = (q^L_t, q^R_t), each sign in {+,-}. A saved guess may contain direction d_t, change magnitude m_t, and action.</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tcMar>
              <w:top w:w="80" w:type="dxa"/>
              <w:start w:w="120" w:type="dxa"/>
              <w:bottom w:w="80" w:type="dxa"/>
              <w:end w:w="120" w:type="dxa"/>
            </w:tcMar>
            <w:vAlign w:val="center"/>
            <w:tcW w:w="1800" w:type="dxa"/>
            <w:shd w:fill="E8EEF5"/>
          </w:tcPr>
          <w:p>
            <w:r>
              <w:rPr>
                <w:rFonts w:ascii="Calibri" w:hAnsi="Calibri"/>
                <w:b/>
                <w:i w:val="0"/>
                <w:color w:val="1F4D78"/>
                <w:sz w:val="21"/>
              </w:rPr>
              <w:t>Symbol</w:t>
            </w:r>
          </w:p>
        </w:tc>
        <w:tc>
          <w:tcPr>
            <w:tcW w:type="dxa" w:w="7560"/>
            <w:tcMar>
              <w:top w:w="80" w:type="dxa"/>
              <w:start w:w="120" w:type="dxa"/>
              <w:bottom w:w="80" w:type="dxa"/>
              <w:end w:w="120" w:type="dxa"/>
            </w:tcMar>
            <w:vAlign w:val="center"/>
            <w:tcW w:w="7560" w:type="dxa"/>
            <w:shd w:fill="E8EEF5"/>
          </w:tcPr>
          <w:p>
            <w:r>
              <w:rPr>
                <w:rFonts w:ascii="Calibri" w:hAnsi="Calibri"/>
                <w:b/>
                <w:i w:val="0"/>
                <w:color w:val="1F4D78"/>
                <w:sz w:val="21"/>
              </w:rPr>
              <w:t>Meaning</w:t>
            </w:r>
          </w:p>
        </w:tc>
      </w:tr>
      <w:tr>
        <w:tc>
          <w:tcPr>
            <w:tcW w:type="dxa" w:w="1800"/>
          </w:tcPr>
          <w:p>
            <w:r>
              <w:rPr>
                <w:rFonts w:ascii="Calibri" w:hAnsi="Calibri"/>
                <w:b w:val="0"/>
                <w:i w:val="0"/>
                <w:color w:val="0B2545"/>
                <w:sz w:val="21"/>
              </w:rPr>
              <w:t>C_t</w:t>
            </w:r>
          </w:p>
        </w:tc>
        <w:tc>
          <w:tcPr>
            <w:tcW w:type="dxa" w:w="7560"/>
          </w:tcPr>
          <w:p>
            <w:r>
              <w:rPr>
                <w:rFonts w:ascii="Calibri" w:hAnsi="Calibri"/>
                <w:b w:val="0"/>
                <w:i w:val="0"/>
                <w:color w:val="0B2545"/>
                <w:sz w:val="21"/>
              </w:rPr>
              <w:t>Observed five-minute OHLC candle.</w:t>
            </w:r>
          </w:p>
        </w:tc>
      </w:tr>
      <w:tr>
        <w:tc>
          <w:tcPr>
            <w:tcW w:type="dxa" w:w="1800"/>
          </w:tcPr>
          <w:p>
            <w:r>
              <w:rPr>
                <w:rFonts w:ascii="Calibri" w:hAnsi="Calibri"/>
                <w:b w:val="0"/>
                <w:i w:val="0"/>
                <w:color w:val="0B2545"/>
                <w:sz w:val="21"/>
              </w:rPr>
              <w:t>D_t</w:t>
            </w:r>
          </w:p>
        </w:tc>
        <w:tc>
          <w:tcPr>
            <w:tcW w:type="dxa" w:w="7560"/>
          </w:tcPr>
          <w:p>
            <w:r>
              <w:rPr>
                <w:rFonts w:ascii="Calibri" w:hAnsi="Calibri"/>
                <w:b w:val="0"/>
                <w:i w:val="0"/>
                <w:color w:val="0B2545"/>
                <w:sz w:val="21"/>
              </w:rPr>
              <w:t>Observed direction: +, -, or 0.</w:t>
            </w:r>
          </w:p>
        </w:tc>
      </w:tr>
      <w:tr>
        <w:tc>
          <w:tcPr>
            <w:tcW w:type="dxa" w:w="1800"/>
          </w:tcPr>
          <w:p>
            <w:r>
              <w:rPr>
                <w:rFonts w:ascii="Calibri" w:hAnsi="Calibri"/>
                <w:b w:val="0"/>
                <w:i w:val="0"/>
                <w:color w:val="0B2545"/>
                <w:sz w:val="21"/>
              </w:rPr>
              <w:t>Q_t</w:t>
            </w:r>
          </w:p>
        </w:tc>
        <w:tc>
          <w:tcPr>
            <w:tcW w:type="dxa" w:w="7560"/>
          </w:tcPr>
          <w:p>
            <w:r>
              <w:rPr>
                <w:rFonts w:ascii="Calibri" w:hAnsi="Calibri"/>
                <w:b w:val="0"/>
                <w:i w:val="0"/>
                <w:color w:val="0B2545"/>
                <w:sz w:val="21"/>
              </w:rPr>
              <w:t>Two-sign CNGN pair.</w:t>
            </w:r>
          </w:p>
        </w:tc>
      </w:tr>
      <w:tr>
        <w:tc>
          <w:tcPr>
            <w:tcW w:type="dxa" w:w="1800"/>
          </w:tcPr>
          <w:p>
            <w:r>
              <w:rPr>
                <w:rFonts w:ascii="Calibri" w:hAnsi="Calibri"/>
                <w:b w:val="0"/>
                <w:i w:val="0"/>
                <w:color w:val="0B2545"/>
                <w:sz w:val="21"/>
              </w:rPr>
              <w:t>d_t</w:t>
            </w:r>
          </w:p>
        </w:tc>
        <w:tc>
          <w:tcPr>
            <w:tcW w:type="dxa" w:w="7560"/>
          </w:tcPr>
          <w:p>
            <w:r>
              <w:rPr>
                <w:rFonts w:ascii="Calibri" w:hAnsi="Calibri"/>
                <w:b w:val="0"/>
                <w:i w:val="0"/>
                <w:color w:val="0B2545"/>
                <w:sz w:val="21"/>
              </w:rPr>
              <w:t>Saved predicted direction; authoritative for history.</w:t>
            </w:r>
          </w:p>
        </w:tc>
      </w:tr>
      <w:tr>
        <w:tc>
          <w:tcPr>
            <w:tcW w:type="dxa" w:w="1800"/>
          </w:tcPr>
          <w:p>
            <w:r>
              <w:rPr>
                <w:rFonts w:ascii="Calibri" w:hAnsi="Calibri"/>
                <w:b w:val="0"/>
                <w:i w:val="0"/>
                <w:color w:val="0B2545"/>
                <w:sz w:val="21"/>
              </w:rPr>
              <w:t>a_t</w:t>
            </w:r>
          </w:p>
        </w:tc>
        <w:tc>
          <w:tcPr>
            <w:tcW w:type="dxa" w:w="7560"/>
          </w:tcPr>
          <w:p>
            <w:r>
              <w:rPr>
                <w:rFonts w:ascii="Calibri" w:hAnsi="Calibri"/>
                <w:b w:val="0"/>
                <w:i w:val="0"/>
                <w:color w:val="0B2545"/>
                <w:sz w:val="21"/>
              </w:rPr>
              <w:t>Effective action: BUY, SELL, or HOLD.</w:t>
            </w:r>
          </w:p>
        </w:tc>
      </w:tr>
      <w:tr>
        <w:tc>
          <w:tcPr>
            <w:tcW w:type="dxa" w:w="1800"/>
          </w:tcPr>
          <w:p>
            <w:r>
              <w:rPr>
                <w:rFonts w:ascii="Calibri" w:hAnsi="Calibri"/>
                <w:b w:val="0"/>
                <w:i w:val="0"/>
                <w:color w:val="0B2545"/>
                <w:sz w:val="21"/>
              </w:rPr>
              <w:t>R_j</w:t>
            </w:r>
          </w:p>
        </w:tc>
        <w:tc>
          <w:tcPr>
            <w:tcW w:type="dxa" w:w="7560"/>
          </w:tcPr>
          <w:p>
            <w:r>
              <w:rPr>
                <w:rFonts w:ascii="Calibri" w:hAnsi="Calibri"/>
                <w:b w:val="0"/>
                <w:i w:val="0"/>
                <w:color w:val="0B2545"/>
                <w:sz w:val="21"/>
              </w:rPr>
              <w:t>j-th contiguous BUY or SELL regime.</w:t>
            </w:r>
          </w:p>
        </w:tc>
      </w:tr>
      <w:tr>
        <w:tc>
          <w:tcPr>
            <w:tcW w:type="dxa" w:w="1800"/>
          </w:tcPr>
          <w:p>
            <w:r>
              <w:rPr>
                <w:rFonts w:ascii="Calibri" w:hAnsi="Calibri"/>
                <w:b w:val="0"/>
                <w:i w:val="0"/>
                <w:color w:val="0B2545"/>
                <w:sz w:val="21"/>
              </w:rPr>
              <w:t>n_j</w:t>
            </w:r>
          </w:p>
        </w:tc>
        <w:tc>
          <w:tcPr>
            <w:tcW w:type="dxa" w:w="7560"/>
          </w:tcPr>
          <w:p>
            <w:r>
              <w:rPr>
                <w:rFonts w:ascii="Calibri" w:hAnsi="Calibri"/>
                <w:b w:val="0"/>
                <w:i w:val="0"/>
                <w:color w:val="0B2545"/>
                <w:sz w:val="21"/>
              </w:rPr>
              <w:t>Hourly steps in regime R_j, capped at 12.</w:t>
            </w:r>
          </w:p>
        </w:tc>
      </w:tr>
      <w:tr>
        <w:tc>
          <w:tcPr>
            <w:tcW w:type="dxa" w:w="1800"/>
          </w:tcPr>
          <w:p>
            <w:r>
              <w:rPr>
                <w:rFonts w:ascii="Calibri" w:hAnsi="Calibri"/>
                <w:b w:val="0"/>
                <w:i w:val="0"/>
                <w:color w:val="0B2545"/>
                <w:sz w:val="21"/>
              </w:rPr>
              <w:t>m_bar</w:t>
            </w:r>
          </w:p>
        </w:tc>
        <w:tc>
          <w:tcPr>
            <w:tcW w:type="dxa" w:w="7560"/>
          </w:tcPr>
          <w:p>
            <w:r>
              <w:rPr>
                <w:rFonts w:ascii="Calibri" w:hAnsi="Calibri"/>
                <w:b w:val="0"/>
                <w:i w:val="0"/>
                <w:color w:val="0B2545"/>
                <w:sz w:val="21"/>
              </w:rPr>
              <w:t>Average commitment base.</w:t>
            </w:r>
          </w:p>
        </w:tc>
      </w:tr>
      <w:tr>
        <w:tc>
          <w:tcPr>
            <w:tcW w:type="dxa" w:w="1800"/>
          </w:tcPr>
          <w:p>
            <w:r>
              <w:rPr>
                <w:rFonts w:ascii="Calibri" w:hAnsi="Calibri"/>
                <w:b w:val="0"/>
                <w:i w:val="0"/>
                <w:color w:val="0B2545"/>
                <w:sz w:val="21"/>
              </w:rPr>
              <w:t>k_B, k_S</w:t>
            </w:r>
          </w:p>
        </w:tc>
        <w:tc>
          <w:tcPr>
            <w:tcW w:type="dxa" w:w="7560"/>
          </w:tcPr>
          <w:p>
            <w:r>
              <w:rPr>
                <w:rFonts w:ascii="Calibri" w:hAnsi="Calibri"/>
                <w:b w:val="0"/>
                <w:i w:val="0"/>
                <w:color w:val="0B2545"/>
                <w:sz w:val="21"/>
              </w:rPr>
              <w:t>BUY and SELL multipliers.</w:t>
            </w:r>
          </w:p>
        </w:tc>
      </w:tr>
      <w:tr>
        <w:tc>
          <w:tcPr>
            <w:tcW w:type="dxa" w:w="1800"/>
          </w:tcPr>
          <w:p>
            <w:r>
              <w:rPr>
                <w:rFonts w:ascii="Calibri" w:hAnsi="Calibri"/>
                <w:b w:val="0"/>
                <w:i w:val="0"/>
                <w:color w:val="0B2545"/>
                <w:sz w:val="21"/>
              </w:rPr>
              <w:t>g_t</w:t>
            </w:r>
          </w:p>
        </w:tc>
        <w:tc>
          <w:tcPr>
            <w:tcW w:type="dxa" w:w="7560"/>
          </w:tcPr>
          <w:p>
            <w:r>
              <w:rPr>
                <w:rFonts w:ascii="Calibri" w:hAnsi="Calibri"/>
                <w:b w:val="0"/>
                <w:i w:val="0"/>
                <w:color w:val="0B2545"/>
                <w:sz w:val="21"/>
              </w:rPr>
              <w:t>Bounded aggressive confidence factor.</w:t>
            </w:r>
          </w:p>
        </w:tc>
      </w:tr>
    </w:tbl>
    <w:p/>
    <w:p>
      <w:pPr>
        <w:pStyle w:val="Heading1"/>
      </w:pPr>
      <w:r>
        <w:t>2A. CNGN::bitcoin() mathematical recurrence</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tcMar>
              <w:top w:w="80" w:type="dxa"/>
              <w:start w:w="120" w:type="dxa"/>
              <w:bottom w:w="80" w:type="dxa"/>
              <w:end w:w="120" w:type="dxa"/>
            </w:tcMar>
            <w:vAlign w:val="center"/>
            <w:tcW w:w="9360" w:type="dxa"/>
            <w:shd w:fill="F4F6F9"/>
          </w:tcPr>
          <w:p>
            <w:r>
              <w:rPr>
                <w:rFonts w:ascii="Calibri" w:hAnsi="Calibri"/>
                <w:b/>
                <w:i w:val="0"/>
                <w:color w:val="0B2545"/>
                <w:sz w:val="21"/>
              </w:rPr>
              <w:t xml:space="preserve">Authoritative formula. </w:t>
            </w:r>
            <w:r>
              <w:rPr>
                <w:rFonts w:ascii="Calibri" w:hAnsi="Calibri"/>
                <w:b w:val="0"/>
                <w:i w:val="0"/>
                <w:color w:val="0B2545"/>
                <w:sz w:val="21"/>
              </w:rPr>
              <w:t>The following is the formula implemented by CNGN::bitcoin() in E:\coinbase\index.php. It is separate from the later confidence, inversion, and wallet layers. Those layers consume the signs and metrics produced here.</w:t>
            </w:r>
          </w:p>
        </w:tc>
      </w:tr>
    </w:tbl>
    <w:p/>
    <w:p>
      <w:r>
        <w:rPr>
          <w:rFonts w:ascii="Calibri" w:hAnsi="Calibri"/>
          <w:b w:val="0"/>
          <w:i w:val="0"/>
          <w:color w:val="0B2545"/>
          <w:sz w:val="21"/>
        </w:rPr>
        <w:t>For each input row, the sequence key is K_t = (s_t, y_t, h_t, τ_t). In the current builder, s_t is the evolving counter, y_t and h_t are the prior close used as the low/high seed, and τ_t is the timestamp. The first CSV row initializes the prior close; subsequent rows create keys with s_{t+1} = s_t + day_cnt (day_cnt defaults to 15).</w:t>
      </w:r>
    </w:p>
    <w:p>
      <w:pPr>
        <w:pStyle w:val="Equation"/>
      </w:pPr>
      <w:r>
        <w:rPr>
          <w:rFonts w:ascii="Consolas" w:hAnsi="Consolas"/>
          <w:b w:val="0"/>
          <w:i w:val="0"/>
          <w:color w:val="0B2545"/>
          <w:sz w:val="19"/>
        </w:rPr>
        <w:t>i_t = | trunc(h_t) - trunc(y_t) |</w:t>
      </w:r>
    </w:p>
    <w:p>
      <w:pPr>
        <w:pStyle w:val="Equation"/>
      </w:pPr>
      <w:r>
        <w:rPr>
          <w:rFonts w:ascii="Consolas" w:hAnsi="Consolas"/>
          <w:b w:val="0"/>
          <w:i w:val="0"/>
          <w:color w:val="0B2545"/>
          <w:sz w:val="19"/>
        </w:rPr>
        <w:t>m_t = s_t / 2</w:t>
      </w:r>
    </w:p>
    <w:p>
      <w:pPr>
        <w:pStyle w:val="Equation"/>
      </w:pPr>
      <w:r>
        <w:rPr>
          <w:rFonts w:ascii="Consolas" w:hAnsi="Consolas"/>
          <w:b w:val="0"/>
          <w:i w:val="0"/>
          <w:color w:val="0B2545"/>
          <w:sz w:val="19"/>
        </w:rPr>
        <w:t>p_t = 2m_t + 2i_t;   l_t = p_t/2 + i_t/2 - 1 = s_t/2 + 3i_t/2 - 1</w:t>
      </w:r>
    </w:p>
    <w:p>
      <w:pPr>
        <w:pStyle w:val="Equation"/>
      </w:pPr>
      <w:r>
        <w:rPr>
          <w:rFonts w:ascii="Consolas" w:hAnsi="Consolas"/>
          <w:b w:val="0"/>
          <w:i w:val="0"/>
          <w:color w:val="0B2545"/>
          <w:sz w:val="19"/>
        </w:rPr>
        <w:t>g_t = integrand(K_t) = l_t</w:t>
      </w:r>
    </w:p>
    <w:p>
      <w:r>
        <w:rPr>
          <w:rFonts w:ascii="Calibri" w:hAnsi="Calibri"/>
          <w:b w:val="0"/>
          <w:i w:val="0"/>
          <w:color w:val="0B2545"/>
          <w:sz w:val="21"/>
        </w:rPr>
        <w:t>The integral helper is called with [s_t, g_t, g_t]. For any vector v, integral(v) = (sum v) * (sum v / length(v)); therefore:</w:t>
      </w:r>
    </w:p>
    <w:p>
      <w:pPr>
        <w:pStyle w:val="Equation"/>
      </w:pPr>
      <w:r>
        <w:rPr>
          <w:rFonts w:ascii="Consolas" w:hAnsi="Consolas"/>
          <w:b w:val="0"/>
          <w:i w:val="0"/>
          <w:color w:val="0B2545"/>
          <w:sz w:val="19"/>
        </w:rPr>
        <w:t>I_t = integral([s_t,g_t,g_t]) = (s_t + 2g_t)^2 / 3</w:t>
      </w:r>
    </w:p>
    <w:p>
      <w:pPr>
        <w:pStyle w:val="Equation"/>
      </w:pPr>
      <w:r>
        <w:rPr>
          <w:rFonts w:ascii="Consolas" w:hAnsi="Consolas"/>
          <w:b w:val="0"/>
          <w:i w:val="0"/>
          <w:color w:val="0B2545"/>
          <w:sz w:val="19"/>
        </w:rPr>
        <w:t>W_t = sqrt(max(0, 3I_t));   wallPercent_t = g_t / W_t  (0 when W_t = 0)</w:t>
      </w:r>
    </w:p>
    <w:p>
      <w:pPr>
        <w:pStyle w:val="Equation"/>
      </w:pPr>
      <w:r>
        <w:rPr>
          <w:rFonts w:ascii="Consolas" w:hAnsi="Consolas"/>
          <w:b w:val="0"/>
          <w:i w:val="0"/>
          <w:color w:val="0B2545"/>
          <w:sz w:val="19"/>
        </w:rPr>
        <w:t>wallBias_t = wallPercent_t - 0.25</w:t>
      </w:r>
    </w:p>
    <w:p>
      <w:r>
        <w:rPr>
          <w:rFonts w:ascii="Calibri" w:hAnsi="Calibri"/>
          <w:b w:val="0"/>
          <w:i w:val="0"/>
          <w:color w:val="0B2545"/>
          <w:sz w:val="21"/>
        </w:rPr>
        <w:t>The differential and derive helpers are evaluated from the same key, with integer truncation applied only where the PHP implementation explicitly casts values:</w:t>
      </w:r>
    </w:p>
    <w:p>
      <w:pPr>
        <w:pStyle w:val="Equation"/>
      </w:pPr>
      <w:r>
        <w:rPr>
          <w:rFonts w:ascii="Consolas" w:hAnsi="Consolas"/>
          <w:b w:val="0"/>
          <w:i w:val="0"/>
          <w:color w:val="0B2545"/>
          <w:sz w:val="19"/>
        </w:rPr>
        <w:t>c_t = differential(K_t) = sqrt(max(0,3I_t)) - 2g_t  over  (g_t + 1) = s_t/(g_t+1), when g_t+1 != 0</w:t>
      </w:r>
    </w:p>
    <w:p>
      <w:pPr>
        <w:pStyle w:val="Equation"/>
      </w:pPr>
      <w:r>
        <w:rPr>
          <w:rFonts w:ascii="Consolas" w:hAnsi="Consolas"/>
          <w:b w:val="0"/>
          <w:i w:val="0"/>
          <w:color w:val="0B2545"/>
          <w:sz w:val="19"/>
        </w:rPr>
        <w:t>r_t = derive([s_t,y_t,h_t,g_t]) = g_t / (s_t/(2g_t) + 3i_t/2)</w:t>
      </w:r>
    </w:p>
    <w:p>
      <w:r>
        <w:rPr>
          <w:rFonts w:ascii="Calibri" w:hAnsi="Calibri"/>
          <w:b w:val="0"/>
          <w:i w:val="0"/>
          <w:color w:val="0B2545"/>
          <w:sz w:val="21"/>
        </w:rPr>
        <w:t>The low projection is then normalized, repeatedly lifted while it is below 0.999, and finally transformed by the mutable base/out/exp state:</w:t>
      </w:r>
    </w:p>
    <w:p>
      <w:pPr>
        <w:pStyle w:val="Equation"/>
      </w:pPr>
      <w:r>
        <w:rPr>
          <w:rFonts w:ascii="Consolas" w:hAnsi="Consolas"/>
          <w:b w:val="0"/>
          <w:i w:val="0"/>
          <w:color w:val="0B2545"/>
          <w:sz w:val="19"/>
        </w:rPr>
        <w:t>u_t^(0) = (r_t / g_t) / c_t</w:t>
      </w:r>
    </w:p>
    <w:p>
      <w:pPr>
        <w:pStyle w:val="Equation"/>
      </w:pPr>
      <w:r>
        <w:rPr>
          <w:rFonts w:ascii="Consolas" w:hAnsi="Consolas"/>
          <w:b w:val="0"/>
          <w:i w:val="0"/>
          <w:color w:val="0B2545"/>
          <w:sz w:val="19"/>
        </w:rPr>
        <w:t>u_t = u_t^(0) * (r_t / 2)</w:t>
      </w:r>
    </w:p>
    <w:p>
      <w:pPr>
        <w:pStyle w:val="Equation"/>
      </w:pPr>
      <w:r>
        <w:rPr>
          <w:rFonts w:ascii="Consolas" w:hAnsi="Consolas"/>
          <w:b w:val="0"/>
          <w:i w:val="0"/>
          <w:color w:val="0B2545"/>
          <w:sz w:val="19"/>
        </w:rPr>
        <w:t>while u_t &lt;= 0.999:  u_t &lt;- 1.01u_t</w:t>
      </w:r>
    </w:p>
    <w:p>
      <w:pPr>
        <w:pStyle w:val="Equation"/>
      </w:pPr>
      <w:r>
        <w:rPr>
          <w:rFonts w:ascii="Consolas" w:hAnsi="Consolas"/>
          <w:b w:val="0"/>
          <w:i w:val="0"/>
          <w:color w:val="0B2545"/>
          <w:sz w:val="19"/>
        </w:rPr>
        <w:t>shortLow_t = (base_t + 2*round((u_t*trunc(h_t)/10 - trunc(g_t))/out_t, 2)) - exp_t</w:t>
      </w:r>
    </w:p>
    <w:p>
      <w:pPr>
        <w:pStyle w:val="Equation"/>
      </w:pPr>
      <w:r>
        <w:rPr>
          <w:rFonts w:ascii="Consolas" w:hAnsi="Consolas"/>
          <w:b w:val="0"/>
          <w:i w:val="0"/>
          <w:color w:val="0B2545"/>
          <w:sz w:val="19"/>
        </w:rPr>
        <w:t>while shortLow_t &gt; 10^exp_t and exp_t &lt; 3:  out_t &lt;- 10^exp_t; exp_t &lt;- exp_t+1</w:t>
      </w:r>
    </w:p>
    <w:p>
      <w:r>
        <w:rPr>
          <w:rFonts w:ascii="Calibri" w:hAnsi="Calibri"/>
          <w:b w:val="0"/>
          <w:i w:val="0"/>
          <w:color w:val="0B2545"/>
          <w:sz w:val="21"/>
        </w:rPr>
        <w:t>The displayed and traded signs are generated from successive metric changes. The left sign compares shortLow; the right sign compares wallBias:</w:t>
      </w:r>
    </w:p>
    <w:p>
      <w:pPr>
        <w:pStyle w:val="Equation"/>
      </w:pPr>
      <w:r>
        <w:rPr>
          <w:rFonts w:ascii="Consolas" w:hAnsi="Consolas"/>
          <w:b w:val="0"/>
          <w:i w:val="0"/>
          <w:color w:val="0B2545"/>
          <w:sz w:val="19"/>
        </w:rPr>
        <w:t>L_t = - if shortLow_t &lt; shortLow_{t-1}, else +</w:t>
      </w:r>
    </w:p>
    <w:p>
      <w:pPr>
        <w:pStyle w:val="Equation"/>
      </w:pPr>
      <w:r>
        <w:rPr>
          <w:rFonts w:ascii="Consolas" w:hAnsi="Consolas"/>
          <w:b w:val="0"/>
          <w:i w:val="0"/>
          <w:color w:val="0B2545"/>
          <w:sz w:val="19"/>
        </w:rPr>
        <w:t>R_t = - if wallBias_t &lt; wallBias_{t-1}, else +</w:t>
      </w:r>
    </w:p>
    <w:p>
      <w:pPr>
        <w:pStyle w:val="Equation"/>
      </w:pPr>
      <w:r>
        <w:rPr>
          <w:rFonts w:ascii="Consolas" w:hAnsi="Consolas"/>
          <w:b w:val="0"/>
          <w:i w:val="0"/>
          <w:color w:val="0B2545"/>
          <w:sz w:val="19"/>
        </w:rPr>
        <w:t>guess_t = (L_t,R_t);   same_t = 1[L_t = R_t]</w:t>
      </w:r>
    </w:p>
    <w:p>
      <w:r>
        <w:rPr>
          <w:rFonts w:ascii="Calibri" w:hAnsi="Calibri"/>
          <w:b w:val="0"/>
          <w:i w:val="0"/>
          <w:color w:val="0B2545"/>
          <w:sz w:val="21"/>
        </w:rPr>
        <w:t>At the first projected step, L_t and R_t are seeded from the final historical signs. For each later projected step, the previous shortLow and wallBias become the comparison state. The projection loop runs x = 48,...,0 and assigns timestamp τ_t = floor(now/300)*300 + (x+1)*300, producing 49 future rows. After each step:</w:t>
      </w:r>
    </w:p>
    <w:p>
      <w:pPr>
        <w:pStyle w:val="Equation"/>
      </w:pPr>
      <w:r>
        <w:rPr>
          <w:rFonts w:ascii="Consolas" w:hAnsi="Consolas"/>
          <w:b w:val="0"/>
          <w:i w:val="0"/>
          <w:color w:val="0B2545"/>
          <w:sz w:val="19"/>
        </w:rPr>
        <w:t>saved_t = (incImaginary_t - shortLow_t, incReal_t)</w:t>
      </w:r>
    </w:p>
    <w:p>
      <w:pPr>
        <w:pStyle w:val="Equation"/>
      </w:pPr>
      <w:r>
        <w:rPr>
          <w:rFonts w:ascii="Consolas" w:hAnsi="Consolas"/>
          <w:b w:val="0"/>
          <w:i w:val="0"/>
          <w:color w:val="0B2545"/>
          <w:sz w:val="19"/>
        </w:rPr>
        <w:t>incImaginary_{t+1}=shortLow_t;  incLast_{t+1}=incReal_t;  K_{t+1}=(s_t+day_cnt, incReal_t, shortLow_t, τ_{t+1})</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tcMar>
              <w:top w:w="80" w:type="dxa"/>
              <w:start w:w="120" w:type="dxa"/>
              <w:bottom w:w="80" w:type="dxa"/>
              <w:end w:w="120" w:type="dxa"/>
            </w:tcMar>
            <w:vAlign w:val="center"/>
            <w:tcW w:w="9360" w:type="dxa"/>
            <w:shd w:fill="FFF4E5"/>
          </w:tcPr>
          <w:p>
            <w:r>
              <w:rPr>
                <w:rFonts w:ascii="Calibri" w:hAnsi="Calibri"/>
                <w:b/>
                <w:i w:val="0"/>
                <w:color w:val="0B2545"/>
                <w:sz w:val="21"/>
              </w:rPr>
              <w:t xml:space="preserve">Fidelity requirements. </w:t>
            </w:r>
            <w:r>
              <w:rPr>
                <w:rFonts w:ascii="Calibri" w:hAnsi="Calibri"/>
                <w:b w:val="0"/>
                <w:i w:val="0"/>
                <w:color w:val="0B2545"/>
                <w:sz w:val="21"/>
              </w:rPr>
              <w:t>A faithful reimplementation must preserve PHP numeric coercion, truncation points, mutable base/out/exp state, 300-second boundary alignment, reverse projection order, historical seed values, and the distinction between the two signs. Replacing these with floating-point rounding, a different seed, or a newly invented price model would be a different algorithm.</w:t>
            </w:r>
          </w:p>
        </w:tc>
      </w:tr>
    </w:tbl>
    <w:p/>
    <w:p>
      <w:pPr>
        <w:pStyle w:val="Heading1"/>
      </w:pPr>
      <w:r>
        <w:t>3. Candle recurrence and scoring</w:t>
      </w:r>
    </w:p>
    <w:p>
      <w:r>
        <w:rPr>
          <w:rFonts w:ascii="Calibri" w:hAnsi="Calibri"/>
          <w:b w:val="0"/>
          <w:i w:val="0"/>
          <w:color w:val="0B2545"/>
          <w:sz w:val="21"/>
        </w:rPr>
        <w:t>The same strict direction function is used by the audit, chart, and historical resolver.</w:t>
      </w:r>
    </w:p>
    <w:p>
      <w:pPr>
        <w:pStyle w:val="Equation"/>
      </w:pPr>
      <w:r>
        <w:rPr>
          <w:rFonts w:ascii="Consolas" w:hAnsi="Consolas"/>
          <w:b w:val="0"/>
          <w:i w:val="0"/>
          <w:color w:val="0B2545"/>
          <w:sz w:val="19"/>
        </w:rPr>
        <w:t>D_t = sign(P_t - O_t) = + if P_t &gt; O_t; - if P_t &lt; O_t; 0 if P_t = O_t</w:t>
      </w:r>
    </w:p>
    <w:p>
      <w:pPr>
        <w:pStyle w:val="Equation"/>
      </w:pPr>
      <w:r>
        <w:rPr>
          <w:rFonts w:ascii="Consolas" w:hAnsi="Consolas"/>
          <w:b w:val="0"/>
          <w:i w:val="0"/>
          <w:color w:val="0B2545"/>
          <w:sz w:val="19"/>
        </w:rPr>
        <w:t>RIGHT_t = 1[(d_t = + and D_t = +) or (d_t = - and D_t = -)]</w:t>
      </w:r>
    </w:p>
    <w:p>
      <w:pPr>
        <w:pStyle w:val="Equation"/>
      </w:pPr>
      <w:r>
        <w:rPr>
          <w:rFonts w:ascii="Consolas" w:hAnsi="Consolas"/>
          <w:b w:val="0"/>
          <w:i w:val="0"/>
          <w:color w:val="0B2545"/>
          <w:sz w:val="19"/>
        </w:rPr>
        <w:t>WRONG_t = 1 - RIGHT_t, for resolved non-neutral predictions</w:t>
      </w:r>
    </w:p>
    <w:p>
      <w:r>
        <w:rPr>
          <w:rFonts w:ascii="Calibri" w:hAnsi="Calibri"/>
          <w:b w:val="0"/>
          <w:i w:val="0"/>
          <w:color w:val="0B2545"/>
          <w:sz w:val="21"/>
        </w:rPr>
        <w:t>A BUY paired with DOWN is always WRONG; a SELL paired with UP is always WRONG. A flat candle is not a win.</w:t>
      </w:r>
    </w:p>
    <w:p>
      <w:pPr>
        <w:pStyle w:val="Heading1"/>
      </w:pPr>
      <w:r>
        <w:t>4. Timestamp locking and no-lookahead</w:t>
      </w:r>
    </w:p>
    <w:p>
      <w:r>
        <w:rPr>
          <w:rFonts w:ascii="Calibri" w:hAnsi="Calibri"/>
          <w:b w:val="0"/>
          <w:i w:val="0"/>
          <w:color w:val="0B2545"/>
          <w:sz w:val="21"/>
        </w:rPr>
        <w:t>The system stores one guess per boundary. The first guess associated with a boundary is retained. When the candle completes, the resolver writes the frozen row:</w:t>
      </w:r>
    </w:p>
    <w:p>
      <w:pPr>
        <w:pStyle w:val="Equation"/>
      </w:pPr>
      <w:r>
        <w:rPr>
          <w:rFonts w:ascii="Consolas" w:hAnsi="Consolas"/>
          <w:b w:val="0"/>
          <w:i w:val="0"/>
          <w:color w:val="0B2545"/>
          <w:sz w:val="19"/>
        </w:rPr>
        <w:t>Z_t = (time_t, pair_t, predicted_t, actual_t, right_t)</w:t>
      </w:r>
    </w:p>
    <w:p>
      <w:pPr>
        <w:pStyle w:val="Equation"/>
      </w:pPr>
      <w:r>
        <w:rPr>
          <w:rFonts w:ascii="Consolas" w:hAnsi="Consolas"/>
          <w:b w:val="0"/>
          <w:i w:val="0"/>
          <w:color w:val="0B2545"/>
          <w:sz w:val="19"/>
        </w:rPr>
        <w:t>predicted_t = saved direction d_t, when present; otherwise baseline pair-map direction</w:t>
      </w:r>
    </w:p>
    <w:p>
      <w:pPr>
        <w:pStyle w:val="Equation"/>
      </w:pPr>
      <w:r>
        <w:rPr>
          <w:rFonts w:ascii="Consolas" w:hAnsi="Consolas"/>
          <w:b w:val="0"/>
          <w:i w:val="0"/>
          <w:color w:val="0B2545"/>
          <w:sz w:val="19"/>
        </w:rPr>
        <w:t>actual_t = D_t, only after candle t completes</w:t>
      </w:r>
    </w:p>
    <w:p>
      <w:pPr>
        <w:pStyle w:val="Equation"/>
      </w:pPr>
      <w:r>
        <w:rPr>
          <w:rFonts w:ascii="Consolas" w:hAnsi="Consolas"/>
          <w:b w:val="0"/>
          <w:i w:val="0"/>
          <w:color w:val="0B2545"/>
          <w:sz w:val="19"/>
        </w:rPr>
        <w:t>right_t = 1[predicted_t = actual_t]</w:t>
      </w:r>
    </w:p>
    <w:p>
      <w:r>
        <w:rPr>
          <w:rFonts w:ascii="Calibri" w:hAnsi="Calibri"/>
          <w:b w:val="0"/>
          <w:i w:val="0"/>
          <w:color w:val="0B2545"/>
          <w:sz w:val="21"/>
        </w:rPr>
        <w:t>The settled-results file is event-sourced historical truth. A later branch flip may affect future signals, but cannot change Z_t.</w:t>
      </w:r>
    </w:p>
    <w:p>
      <w:pPr>
        <w:pStyle w:val="Heading1"/>
      </w:pPr>
      <w:r>
        <w:t>5. Confidence, family branches, and inversion</w:t>
      </w:r>
    </w:p>
    <w:p>
      <w:r>
        <w:rPr>
          <w:rFonts w:ascii="Calibri" w:hAnsi="Calibri"/>
          <w:b w:val="0"/>
          <w:i w:val="0"/>
          <w:color w:val="0B2545"/>
          <w:sz w:val="21"/>
        </w:rPr>
        <w:t>For any group G of resolved rows:</w:t>
      </w:r>
    </w:p>
    <w:p>
      <w:pPr>
        <w:pStyle w:val="Equation"/>
      </w:pPr>
      <w:r>
        <w:rPr>
          <w:rFonts w:ascii="Consolas" w:hAnsi="Consolas"/>
          <w:b w:val="0"/>
          <w:i w:val="0"/>
          <w:color w:val="0B2545"/>
          <w:sz w:val="19"/>
        </w:rPr>
        <w:t>Conf_raw(G) = 100 * sum_{t in G}(RIGHT_t) / |G|</w:t>
      </w:r>
    </w:p>
    <w:p>
      <w:r>
        <w:rPr>
          <w:rFonts w:ascii="Calibri" w:hAnsi="Calibri"/>
          <w:b w:val="0"/>
          <w:i w:val="0"/>
          <w:color w:val="0B2545"/>
          <w:sz w:val="21"/>
        </w:rPr>
        <w:t>The family key is F|A, where F is stable baseline BUY or SELL and A is AGREE when recent internal accuracy is at least 50%, otherwise DISAGREE.</w:t>
      </w:r>
    </w:p>
    <w:tbl>
      <w:tblPr>
        <w:tblStyle w:val="TableGrid"/>
        <w:tblW w:type="auto" w:w="0"/>
        <w:jc w:val="left"/>
        <w:tblLayout w:type="fixed"/>
        <w:tblLook w:firstColumn="1" w:firstRow="1" w:lastColumn="0" w:lastRow="0" w:noHBand="0" w:noVBand="1" w:val="04A0"/>
        <w:tblW w:w="9360" w:type="dxa"/>
        <w:tblInd w:w="120" w:type="dxa"/>
      </w:tblPr>
      <w:tblGrid>
        <w:gridCol w:w="2700"/>
        <w:gridCol w:w="3600"/>
        <w:gridCol w:w="3060"/>
      </w:tblGrid>
      <w:tr>
        <w:trPr>
          <w:tblHeader w:val="true"/>
        </w:trPr>
        <w:tc>
          <w:tcPr>
            <w:tcW w:type="dxa" w:w="2700"/>
            <w:tcMar>
              <w:top w:w="80" w:type="dxa"/>
              <w:start w:w="120" w:type="dxa"/>
              <w:bottom w:w="80" w:type="dxa"/>
              <w:end w:w="120" w:type="dxa"/>
            </w:tcMar>
            <w:vAlign w:val="center"/>
            <w:tcW w:w="2700" w:type="dxa"/>
            <w:shd w:fill="E8EEF5"/>
          </w:tcPr>
          <w:p>
            <w:r>
              <w:rPr>
                <w:rFonts w:ascii="Calibri" w:hAnsi="Calibri"/>
                <w:b/>
                <w:i w:val="0"/>
                <w:color w:val="1F4D78"/>
                <w:sz w:val="21"/>
              </w:rPr>
              <w:t>Condition</w:t>
            </w:r>
          </w:p>
        </w:tc>
        <w:tc>
          <w:tcPr>
            <w:tcW w:type="dxa" w:w="3600"/>
            <w:tcMar>
              <w:top w:w="80" w:type="dxa"/>
              <w:start w:w="120" w:type="dxa"/>
              <w:bottom w:w="80" w:type="dxa"/>
              <w:end w:w="120" w:type="dxa"/>
            </w:tcMar>
            <w:vAlign w:val="center"/>
            <w:tcW w:w="3600" w:type="dxa"/>
            <w:shd w:fill="E8EEF5"/>
          </w:tcPr>
          <w:p>
            <w:r>
              <w:rPr>
                <w:rFonts w:ascii="Calibri" w:hAnsi="Calibri"/>
                <w:b/>
                <w:i w:val="0"/>
                <w:color w:val="1F4D78"/>
                <w:sz w:val="21"/>
              </w:rPr>
              <w:t>Future behavior</w:t>
            </w:r>
          </w:p>
        </w:tc>
        <w:tc>
          <w:tcPr>
            <w:tcW w:type="dxa" w:w="3060"/>
            <w:tcMar>
              <w:top w:w="80" w:type="dxa"/>
              <w:start w:w="120" w:type="dxa"/>
              <w:bottom w:w="80" w:type="dxa"/>
              <w:end w:w="120" w:type="dxa"/>
            </w:tcMar>
            <w:vAlign w:val="center"/>
            <w:tcW w:w="3060" w:type="dxa"/>
            <w:shd w:fill="E8EEF5"/>
          </w:tcPr>
          <w:p>
            <w:r>
              <w:rPr>
                <w:rFonts w:ascii="Calibri" w:hAnsi="Calibri"/>
                <w:b/>
                <w:i w:val="0"/>
                <w:color w:val="1F4D78"/>
                <w:sz w:val="21"/>
              </w:rPr>
              <w:t>Displayed behavior</w:t>
            </w:r>
          </w:p>
        </w:tc>
      </w:tr>
      <w:tr>
        <w:tc>
          <w:tcPr>
            <w:tcW w:type="dxa" w:w="2700"/>
          </w:tcPr>
          <w:p>
            <w:r>
              <w:rPr>
                <w:rFonts w:ascii="Calibri" w:hAnsi="Calibri"/>
                <w:b w:val="0"/>
                <w:i w:val="0"/>
                <w:color w:val="0B2545"/>
                <w:sz w:val="21"/>
              </w:rPr>
              <w:t>N &gt;= 3 and raw confidence &lt; 45%</w:t>
            </w:r>
          </w:p>
        </w:tc>
        <w:tc>
          <w:tcPr>
            <w:tcW w:type="dxa" w:w="3600"/>
          </w:tcPr>
          <w:p>
            <w:r>
              <w:rPr>
                <w:rFonts w:ascii="Calibri" w:hAnsi="Calibri"/>
                <w:b w:val="0"/>
                <w:i w:val="0"/>
                <w:color w:val="0B2545"/>
                <w:sz w:val="21"/>
              </w:rPr>
              <w:t>Invert the affected future branch/action.</w:t>
            </w:r>
          </w:p>
        </w:tc>
        <w:tc>
          <w:tcPr>
            <w:tcW w:type="dxa" w:w="3060"/>
          </w:tcPr>
          <w:p>
            <w:r>
              <w:rPr>
                <w:rFonts w:ascii="Calibri" w:hAnsi="Calibri"/>
                <w:b w:val="0"/>
                <w:i w:val="0"/>
                <w:color w:val="0B2545"/>
                <w:sz w:val="21"/>
              </w:rPr>
              <w:t>Show raw and effective values.</w:t>
            </w:r>
          </w:p>
        </w:tc>
      </w:tr>
      <w:tr>
        <w:tc>
          <w:tcPr>
            <w:tcW w:type="dxa" w:w="2700"/>
          </w:tcPr>
          <w:p>
            <w:r>
              <w:rPr>
                <w:rFonts w:ascii="Calibri" w:hAnsi="Calibri"/>
                <w:b w:val="0"/>
                <w:i w:val="0"/>
                <w:color w:val="0B2545"/>
                <w:sz w:val="21"/>
              </w:rPr>
              <w:t>N &gt;= 20 and overall raw confidence &lt; 45%</w:t>
            </w:r>
          </w:p>
        </w:tc>
        <w:tc>
          <w:tcPr>
            <w:tcW w:type="dxa" w:w="3600"/>
          </w:tcPr>
          <w:p>
            <w:r>
              <w:rPr>
                <w:rFonts w:ascii="Calibri" w:hAnsi="Calibri"/>
                <w:b w:val="0"/>
                <w:i w:val="0"/>
                <w:color w:val="0B2545"/>
                <w:sz w:val="21"/>
              </w:rPr>
              <w:t>Activate complete future-map inversion.</w:t>
            </w:r>
          </w:p>
        </w:tc>
        <w:tc>
          <w:tcPr>
            <w:tcW w:type="dxa" w:w="3060"/>
          </w:tcPr>
          <w:p>
            <w:r>
              <w:rPr>
                <w:rFonts w:ascii="Calibri" w:hAnsi="Calibri"/>
                <w:b w:val="0"/>
                <w:i w:val="0"/>
                <w:color w:val="0B2545"/>
                <w:sz w:val="21"/>
              </w:rPr>
              <w:t>Show COMPLETE FLIP ACTIVE.</w:t>
            </w:r>
          </w:p>
        </w:tc>
      </w:tr>
      <w:tr>
        <w:tc>
          <w:tcPr>
            <w:tcW w:type="dxa" w:w="2700"/>
          </w:tcPr>
          <w:p>
            <w:r>
              <w:rPr>
                <w:rFonts w:ascii="Calibri" w:hAnsi="Calibri"/>
                <w:b w:val="0"/>
                <w:i w:val="0"/>
                <w:color w:val="0B2545"/>
                <w:sz w:val="21"/>
              </w:rPr>
              <w:t>Effective confidence &gt;= 85%</w:t>
            </w:r>
          </w:p>
        </w:tc>
        <w:tc>
          <w:tcPr>
            <w:tcW w:type="dxa" w:w="3600"/>
          </w:tcPr>
          <w:p>
            <w:r>
              <w:rPr>
                <w:rFonts w:ascii="Calibri" w:hAnsi="Calibri"/>
                <w:b w:val="0"/>
                <w:i w:val="0"/>
                <w:color w:val="0B2545"/>
                <w:sz w:val="21"/>
              </w:rPr>
              <w:t>Permit trusted/aggressive action in selected direction.</w:t>
            </w:r>
          </w:p>
        </w:tc>
        <w:tc>
          <w:tcPr>
            <w:tcW w:type="dxa" w:w="3060"/>
          </w:tcPr>
          <w:p>
            <w:r>
              <w:rPr>
                <w:rFonts w:ascii="Calibri" w:hAnsi="Calibri"/>
                <w:b w:val="0"/>
                <w:i w:val="0"/>
                <w:color w:val="0B2545"/>
                <w:sz w:val="21"/>
              </w:rPr>
              <w:t>Show effective confidence and factor.</w:t>
            </w:r>
          </w:p>
        </w:tc>
      </w:tr>
      <w:tr>
        <w:tc>
          <w:tcPr>
            <w:tcW w:type="dxa" w:w="2700"/>
          </w:tcPr>
          <w:p>
            <w:r>
              <w:rPr>
                <w:rFonts w:ascii="Calibri" w:hAnsi="Calibri"/>
                <w:b w:val="0"/>
                <w:i w:val="0"/>
                <w:color w:val="0B2545"/>
                <w:sz w:val="21"/>
              </w:rPr>
              <w:t>Insufficient evidence</w:t>
            </w:r>
          </w:p>
        </w:tc>
        <w:tc>
          <w:tcPr>
            <w:tcW w:type="dxa" w:w="3600"/>
          </w:tcPr>
          <w:p>
            <w:r>
              <w:rPr>
                <w:rFonts w:ascii="Calibri" w:hAnsi="Calibri"/>
                <w:b w:val="0"/>
                <w:i w:val="0"/>
                <w:color w:val="0B2545"/>
                <w:sz w:val="21"/>
              </w:rPr>
              <w:t>HOLD unless another explicit gate permits action.</w:t>
            </w:r>
          </w:p>
        </w:tc>
        <w:tc>
          <w:tcPr>
            <w:tcW w:type="dxa" w:w="3060"/>
          </w:tcPr>
          <w:p>
            <w:r>
              <w:rPr>
                <w:rFonts w:ascii="Calibri" w:hAnsi="Calibri"/>
                <w:b w:val="0"/>
                <w:i w:val="0"/>
                <w:color w:val="0B2545"/>
                <w:sz w:val="21"/>
              </w:rPr>
              <w:t>Show unresolved or blocked state.</w:t>
            </w:r>
          </w:p>
        </w:tc>
      </w:tr>
    </w:tbl>
    <w:p/>
    <w:p>
      <w:pPr>
        <w:pStyle w:val="Equation"/>
      </w:pPr>
      <w:r>
        <w:rPr>
          <w:rFonts w:ascii="Consolas" w:hAnsi="Consolas"/>
          <w:b w:val="0"/>
          <w:i w:val="0"/>
          <w:color w:val="0B2545"/>
          <w:sz w:val="19"/>
        </w:rPr>
        <w:t>Conf_eff(G) = Conf_raw(G), if no inversion; 100 - Conf_raw(G), if inverted</w:t>
      </w:r>
    </w:p>
    <w:p>
      <w:r>
        <w:rPr>
          <w:rFonts w:ascii="Calibri" w:hAnsi="Calibri"/>
          <w:b w:val="0"/>
          <w:i w:val="0"/>
          <w:color w:val="0B2545"/>
          <w:sz w:val="21"/>
        </w:rPr>
        <w:t>Thus 3.8% raw confidence may produce 96.2% effective inverse confidence, while the audit continues to report 3 RIGHT / 76 WRONG / 79 TOTAL as historical truth.</w:t>
      </w:r>
    </w:p>
    <w:p>
      <w:pPr>
        <w:pStyle w:val="Heading1"/>
      </w:pPr>
      <w:r>
        <w:t>6. Internal agreement and compression</w:t>
      </w:r>
    </w:p>
    <w:p>
      <w:r>
        <w:rPr>
          <w:rFonts w:ascii="Calibri" w:hAnsi="Calibri"/>
          <w:b w:val="0"/>
          <w:i w:val="0"/>
          <w:color w:val="0B2545"/>
          <w:sz w:val="21"/>
        </w:rPr>
        <w:t>Internal agreement uses resolved RIGHT/WRONG outcomes over the most recent twelve rows and all resolved rows.</w:t>
      </w:r>
    </w:p>
    <w:p>
      <w:pPr>
        <w:pStyle w:val="Equation"/>
      </w:pPr>
      <w:r>
        <w:rPr>
          <w:rFonts w:ascii="Consolas" w:hAnsi="Consolas"/>
          <w:b w:val="0"/>
          <w:i w:val="0"/>
          <w:color w:val="0B2545"/>
          <w:sz w:val="19"/>
        </w:rPr>
        <w:t>A_recent = 100 * recent_right / recent_total</w:t>
      </w:r>
    </w:p>
    <w:p>
      <w:pPr>
        <w:pStyle w:val="Equation"/>
      </w:pPr>
      <w:r>
        <w:rPr>
          <w:rFonts w:ascii="Consolas" w:hAnsi="Consolas"/>
          <w:b w:val="0"/>
          <w:i w:val="0"/>
          <w:color w:val="0B2545"/>
          <w:sz w:val="19"/>
        </w:rPr>
        <w:t>A_all = 100 * all_right / all_total</w:t>
      </w:r>
    </w:p>
    <w:p>
      <w:pPr>
        <w:pStyle w:val="Equation"/>
      </w:pPr>
      <w:r>
        <w:rPr>
          <w:rFonts w:ascii="Consolas" w:hAnsi="Consolas"/>
          <w:b w:val="0"/>
          <w:i w:val="0"/>
          <w:color w:val="0B2545"/>
          <w:sz w:val="19"/>
        </w:rPr>
        <w:t>Agreement_t = AGREE if A_recent &gt;= 50%; otherwise DISAGREE</w:t>
      </w:r>
    </w:p>
    <w:p>
      <w:r>
        <w:rPr>
          <w:rFonts w:ascii="Calibri" w:hAnsi="Calibri"/>
          <w:b w:val="0"/>
          <w:i w:val="0"/>
          <w:color w:val="0B2545"/>
          <w:sz w:val="21"/>
        </w:rPr>
        <w:t>Directional compression is run-length encoding. A phase ends when adjacent effective directions differ.</w:t>
      </w:r>
    </w:p>
    <w:p>
      <w:pPr>
        <w:pStyle w:val="Equation"/>
      </w:pPr>
      <w:r>
        <w:rPr>
          <w:rFonts w:ascii="Consolas" w:hAnsi="Consolas"/>
          <w:b w:val="0"/>
          <w:i w:val="0"/>
          <w:color w:val="0B2545"/>
          <w:sz w:val="19"/>
        </w:rPr>
        <w:t>H(p) = -sum_i p_i log2(p_i)</w:t>
      </w:r>
    </w:p>
    <w:p>
      <w:pPr>
        <w:pStyle w:val="Equation"/>
      </w:pPr>
      <w:r>
        <w:rPr>
          <w:rFonts w:ascii="Consolas" w:hAnsi="Consolas"/>
          <w:b w:val="0"/>
          <w:i w:val="0"/>
          <w:color w:val="0B2545"/>
          <w:sz w:val="19"/>
        </w:rPr>
        <w:t>Primary = 0.50 * resolved-table compression + 0.50 * first-loop compression</w:t>
      </w:r>
    </w:p>
    <w:p>
      <w:pPr>
        <w:pStyle w:val="Equation"/>
      </w:pPr>
      <w:r>
        <w:rPr>
          <w:rFonts w:ascii="Consolas" w:hAnsi="Consolas"/>
          <w:b w:val="0"/>
          <w:i w:val="0"/>
          <w:color w:val="0B2545"/>
          <w:sz w:val="19"/>
        </w:rPr>
        <w:t>Secondary = max(A_recent, 100 - A_recent)</w:t>
      </w:r>
    </w:p>
    <w:p>
      <w:pPr>
        <w:pStyle w:val="Equation"/>
      </w:pPr>
      <w:r>
        <w:rPr>
          <w:rFonts w:ascii="Consolas" w:hAnsi="Consolas"/>
          <w:b w:val="0"/>
          <w:i w:val="0"/>
          <w:color w:val="0B2545"/>
          <w:sz w:val="19"/>
        </w:rPr>
        <w:t>Combined = 0.70 * Primary + 0.30 * Secondary</w:t>
      </w:r>
    </w:p>
    <w:p>
      <w:r>
        <w:rPr>
          <w:rFonts w:ascii="Calibri" w:hAnsi="Calibri"/>
          <w:b w:val="0"/>
          <w:i w:val="0"/>
          <w:color w:val="0B2545"/>
          <w:sz w:val="21"/>
        </w:rPr>
        <w:t>The UI reports phase count, phase changes, tail streak, entropy, shortest and longest 100% runs, secondary state, and combined score. Compression supports diagnosis; family confidence controls future mapping.</w:t>
      </w:r>
    </w:p>
    <w:p>
      <w:pPr>
        <w:pStyle w:val="Heading1"/>
      </w:pPr>
      <w:r>
        <w:t>7. Dynamic live action resolution</w:t>
      </w:r>
    </w:p>
    <w:p>
      <w:r>
        <w:rPr>
          <w:rFonts w:ascii="Calibri" w:hAnsi="Calibri"/>
          <w:b w:val="0"/>
          <w:i w:val="0"/>
          <w:color w:val="0B2545"/>
          <w:sz w:val="21"/>
        </w:rPr>
        <w:t>Historical action resolution and live action resolution are separate. Historical rows use saved direction. New or unresolved guesses use the baseline map plus active inversion. The live action recomputes from current formula direction, regime, family confidence, internal agreement, inversion state, current candle gate, and phase timing.</w:t>
      </w:r>
    </w:p>
    <w:p>
      <w:pPr>
        <w:pStyle w:val="ListNumber"/>
        <w:spacing w:after="60"/>
      </w:pPr>
      <w:r>
        <w:rPr>
          <w:rFonts w:ascii="Calibri" w:hAnsi="Calibri"/>
          <w:b w:val="0"/>
          <w:i w:val="0"/>
          <w:color w:val="0B2545"/>
          <w:sz w:val="21"/>
        </w:rPr>
        <w:t>Read the current timestamp-locked or unresolved guess.</w:t>
      </w:r>
    </w:p>
    <w:p>
      <w:pPr>
        <w:pStyle w:val="ListNumber"/>
        <w:spacing w:after="60"/>
      </w:pPr>
      <w:r>
        <w:rPr>
          <w:rFonts w:ascii="Calibri" w:hAnsi="Calibri"/>
          <w:b w:val="0"/>
          <w:i w:val="0"/>
          <w:color w:val="0B2545"/>
          <w:sz w:val="21"/>
        </w:rPr>
        <w:t>Resolve its baseline family and AGREE/DISAGREE branch.</w:t>
      </w:r>
    </w:p>
    <w:p>
      <w:pPr>
        <w:pStyle w:val="ListNumber"/>
        <w:spacing w:after="60"/>
      </w:pPr>
      <w:r>
        <w:rPr>
          <w:rFonts w:ascii="Calibri" w:hAnsi="Calibri"/>
          <w:b w:val="0"/>
          <w:i w:val="0"/>
          <w:color w:val="0B2545"/>
          <w:sz w:val="21"/>
        </w:rPr>
        <w:t>Apply branch or complete inversion when sample and threshold gates pass.</w:t>
      </w:r>
    </w:p>
    <w:p>
      <w:pPr>
        <w:pStyle w:val="ListNumber"/>
        <w:spacing w:after="60"/>
      </w:pPr>
      <w:r>
        <w:rPr>
          <w:rFonts w:ascii="Calibri" w:hAnsi="Calibri"/>
          <w:b w:val="0"/>
          <w:i w:val="0"/>
          <w:color w:val="0B2545"/>
          <w:sz w:val="21"/>
        </w:rPr>
        <w:t>Apply the quarter/regime BUY filter and candle condition.</w:t>
      </w:r>
    </w:p>
    <w:p>
      <w:pPr>
        <w:pStyle w:val="ListNumber"/>
        <w:spacing w:after="60"/>
      </w:pPr>
      <w:r>
        <w:rPr>
          <w:rFonts w:ascii="Calibri" w:hAnsi="Calibri"/>
          <w:b w:val="0"/>
          <w:i w:val="0"/>
          <w:color w:val="0B2545"/>
          <w:sz w:val="21"/>
        </w:rPr>
        <w:t>Reject four-call alternation and low-edge SELL.</w:t>
      </w:r>
    </w:p>
    <w:p>
      <w:pPr>
        <w:pStyle w:val="ListNumber"/>
        <w:spacing w:after="60"/>
      </w:pPr>
      <w:r>
        <w:rPr>
          <w:rFonts w:ascii="Calibri" w:hAnsi="Calibri"/>
          <w:b w:val="0"/>
          <w:i w:val="0"/>
          <w:color w:val="0B2545"/>
          <w:sz w:val="21"/>
        </w:rPr>
        <w:t>Select BUY or SELL only when effective evidence supports it; otherwise HOLD.</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tcMar>
              <w:top w:w="80" w:type="dxa"/>
              <w:start w:w="120" w:type="dxa"/>
              <w:bottom w:w="80" w:type="dxa"/>
              <w:end w:w="120" w:type="dxa"/>
            </w:tcMar>
            <w:vAlign w:val="center"/>
            <w:tcW w:w="9360" w:type="dxa"/>
            <w:shd w:fill="FFF7E6"/>
          </w:tcPr>
          <w:p>
            <w:r>
              <w:rPr>
                <w:rFonts w:ascii="Calibri" w:hAnsi="Calibri"/>
                <w:b/>
                <w:i w:val="0"/>
                <w:color w:val="0B2545"/>
                <w:sz w:val="21"/>
              </w:rPr>
              <w:t xml:space="preserve">Interpretation limit. </w:t>
            </w:r>
            <w:r>
              <w:rPr>
                <w:rFonts w:ascii="Calibri" w:hAnsi="Calibri"/>
                <w:b w:val="0"/>
                <w:i w:val="0"/>
                <w:color w:val="0B2545"/>
                <w:sz w:val="21"/>
              </w:rPr>
              <w:t>The program predicts the direction it would act on before resolution. It cannot know in advance that the action will be RIGHT. RIGHT/WRONG is created only after the observed candle completes.</w:t>
            </w:r>
          </w:p>
        </w:tc>
      </w:tr>
    </w:tbl>
    <w:p/>
    <w:p>
      <w:pPr>
        <w:pStyle w:val="Heading1"/>
      </w:pPr>
      <w:r>
        <w:t>8. Hourly regime recurrence</w:t>
      </w:r>
    </w:p>
    <w:p>
      <w:r>
        <w:rPr>
          <w:rFonts w:ascii="Calibri" w:hAnsi="Calibri"/>
          <w:b w:val="0"/>
          <w:i w:val="0"/>
          <w:color w:val="0B2545"/>
          <w:sz w:val="21"/>
        </w:rPr>
        <w:t>A regime is a contiguous run of one effective action. Forecasts are five-minute, but execution is hourly.</w:t>
      </w:r>
    </w:p>
    <w:p>
      <w:pPr>
        <w:pStyle w:val="Equation"/>
      </w:pPr>
      <w:r>
        <w:rPr>
          <w:rFonts w:ascii="Consolas" w:hAnsi="Consolas"/>
          <w:b w:val="0"/>
          <w:i w:val="0"/>
          <w:color w:val="0B2545"/>
          <w:sz w:val="19"/>
        </w:rPr>
        <w:t>S_5 = number of sequential five-minute steps in the active run</w:t>
      </w:r>
    </w:p>
    <w:p>
      <w:pPr>
        <w:pStyle w:val="Equation"/>
      </w:pPr>
      <w:r>
        <w:rPr>
          <w:rFonts w:ascii="Consolas" w:hAnsi="Consolas"/>
          <w:b w:val="0"/>
          <w:i w:val="0"/>
          <w:color w:val="0B2545"/>
          <w:sz w:val="19"/>
        </w:rPr>
        <w:t>n_j = min(12, max(1, ceil(S_5 / 12)))</w:t>
      </w:r>
    </w:p>
    <w:p>
      <w:pPr>
        <w:pStyle w:val="Equation"/>
      </w:pPr>
      <w:r>
        <w:rPr>
          <w:rFonts w:ascii="Consolas" w:hAnsi="Consolas"/>
          <w:b w:val="0"/>
          <w:i w:val="0"/>
          <w:color w:val="0B2545"/>
          <w:sz w:val="19"/>
        </w:rPr>
        <w:t>Eligible_j,t = 1 if new regime or hour_key_t != last_regime_trade_hour; else 0</w:t>
      </w:r>
    </w:p>
    <w:p>
      <w:r>
        <w:rPr>
          <w:rFonts w:ascii="Calibri" w:hAnsi="Calibri"/>
          <w:b w:val="0"/>
          <w:i w:val="0"/>
          <w:color w:val="0B2545"/>
          <w:sz w:val="21"/>
        </w:rPr>
        <w:t>The first allocation occurs immediately when a new regime is detected. A second allocation is blocked while the hour key is unchanged and becomes eligible only at the next top-of-hour. Repeated refreshes in the same hour are HOLDs. Four alternating BUY/SELL phase calls suppress execution until direction becomes stable.</w:t>
      </w:r>
    </w:p>
    <w:p>
      <w:pPr>
        <w:pStyle w:val="Heading1"/>
      </w:pPr>
      <w:r>
        <w:t>9. Trade-size recurrence</w:t>
      </w:r>
    </w:p>
    <w:p>
      <w:r>
        <w:rPr>
          <w:rFonts w:ascii="Calibri" w:hAnsi="Calibri"/>
          <w:b w:val="0"/>
          <w:i w:val="0"/>
          <w:color w:val="0B2545"/>
          <w:sz w:val="21"/>
        </w:rPr>
        <w:t>Recent movement supplies the average commitment base.</w:t>
      </w:r>
    </w:p>
    <w:p>
      <w:pPr>
        <w:pStyle w:val="Equation"/>
      </w:pPr>
      <w:r>
        <w:rPr>
          <w:rFonts w:ascii="Consolas" w:hAnsi="Consolas"/>
          <w:b w:val="0"/>
          <w:i w:val="0"/>
          <w:color w:val="0B2545"/>
          <w:sz w:val="19"/>
        </w:rPr>
        <w:t>Delta_i = |P_i - P_(i-1)|</w:t>
      </w:r>
    </w:p>
    <w:p>
      <w:pPr>
        <w:pStyle w:val="Equation"/>
      </w:pPr>
      <w:r>
        <w:rPr>
          <w:rFonts w:ascii="Consolas" w:hAnsi="Consolas"/>
          <w:b w:val="0"/>
          <w:i w:val="0"/>
          <w:color w:val="0B2545"/>
          <w:sz w:val="19"/>
        </w:rPr>
        <w:t>Delta_bar = (1/(N-1)) * sum_(i=2..N)(Delta_i)</w:t>
      </w:r>
    </w:p>
    <w:p>
      <w:pPr>
        <w:pStyle w:val="Equation"/>
      </w:pPr>
      <w:r>
        <w:rPr>
          <w:rFonts w:ascii="Consolas" w:hAnsi="Consolas"/>
          <w:b w:val="0"/>
          <w:i w:val="0"/>
          <w:color w:val="0B2545"/>
          <w:sz w:val="19"/>
        </w:rPr>
        <w:t>m_bar = 0.90 * max(Delta_bar, latent_fallback)</w:t>
      </w:r>
    </w:p>
    <w:p>
      <w:r>
        <w:rPr>
          <w:rFonts w:ascii="Calibri" w:hAnsi="Calibri"/>
          <w:b w:val="0"/>
          <w:i w:val="0"/>
          <w:color w:val="0B2545"/>
          <w:sz w:val="21"/>
        </w:rPr>
        <w:t>For action a, use k_B for BUY or k_S for SELL. The requested regime amount is:</w:t>
      </w:r>
    </w:p>
    <w:p>
      <w:pPr>
        <w:pStyle w:val="Equation"/>
      </w:pPr>
      <w:r>
        <w:rPr>
          <w:rFonts w:ascii="Consolas" w:hAnsi="Consolas"/>
          <w:b w:val="0"/>
          <w:i w:val="0"/>
          <w:color w:val="0B2545"/>
          <w:sz w:val="19"/>
        </w:rPr>
        <w:t>Amount_req = n_j * m_bar * k_a * g_t</w:t>
      </w:r>
    </w:p>
    <w:p>
      <w:pPr>
        <w:pStyle w:val="Equation"/>
      </w:pPr>
      <w:r>
        <w:rPr>
          <w:rFonts w:ascii="Consolas" w:hAnsi="Consolas"/>
          <w:b w:val="0"/>
          <w:i w:val="0"/>
          <w:color w:val="0B2545"/>
          <w:sz w:val="19"/>
        </w:rPr>
        <w:t>g_t = 1, if Conf_eff &lt; 85%; otherwise min(2, 1 + (Conf_eff - 85) / 15)</w:t>
      </w:r>
    </w:p>
    <w:p>
      <w:r>
        <w:rPr>
          <w:rFonts w:ascii="Calibri" w:hAnsi="Calibri"/>
          <w:b w:val="0"/>
          <w:i w:val="0"/>
          <w:color w:val="0B2545"/>
          <w:sz w:val="21"/>
        </w:rPr>
        <w:t>Confidence at 85% gives 1.0x, 92.5% gives 1.5x, and 100% gives 2.0x. This is bounded sizing, not an unlimited Kelly claim.</w:t>
      </w:r>
    </w:p>
    <w:p>
      <w:pPr>
        <w:pStyle w:val="Heading1"/>
      </w:pPr>
      <w:r>
        <w:t>10. Canonical wallet state machine</w:t>
      </w:r>
    </w:p>
    <w:p>
      <w:r>
        <w:rPr>
          <w:rFonts w:ascii="Calibri" w:hAnsi="Calibri"/>
          <w:b w:val="0"/>
          <w:i w:val="0"/>
          <w:color w:val="0B2545"/>
          <w:sz w:val="21"/>
        </w:rPr>
        <w:t>Every decision is reduced to one canonical sizing result:</w:t>
      </w:r>
    </w:p>
    <w:p>
      <w:pPr>
        <w:pStyle w:val="Equation"/>
      </w:pPr>
      <w:r>
        <w:rPr>
          <w:rFonts w:ascii="Consolas" w:hAnsi="Consolas"/>
          <w:b w:val="0"/>
          <w:i w:val="0"/>
          <w:color w:val="0B2545"/>
          <w:sz w:val="19"/>
        </w:rPr>
        <w:t>Sizing(a, requested, available) = (requested, available, executable, shortfall, multiplier, regime_step_count, eligible)</w:t>
      </w:r>
    </w:p>
    <w:p>
      <w:pPr>
        <w:pStyle w:val="Equation"/>
      </w:pPr>
      <w:r>
        <w:rPr>
          <w:rFonts w:ascii="Consolas" w:hAnsi="Consolas"/>
          <w:b w:val="0"/>
          <w:i w:val="0"/>
          <w:color w:val="0B2545"/>
          <w:sz w:val="19"/>
        </w:rPr>
        <w:t>BUY: executable = min(requested, cash_available)</w:t>
      </w:r>
    </w:p>
    <w:p>
      <w:pPr>
        <w:pStyle w:val="Equation"/>
      </w:pPr>
      <w:r>
        <w:rPr>
          <w:rFonts w:ascii="Consolas" w:hAnsi="Consolas"/>
          <w:b w:val="0"/>
          <w:i w:val="0"/>
          <w:color w:val="0B2545"/>
          <w:sz w:val="19"/>
        </w:rPr>
        <w:t>SELL: executable = min(requested, asset_value_available)</w:t>
      </w:r>
    </w:p>
    <w:p>
      <w:pPr>
        <w:pStyle w:val="Equation"/>
      </w:pPr>
      <w:r>
        <w:rPr>
          <w:rFonts w:ascii="Consolas" w:hAnsi="Consolas"/>
          <w:b w:val="0"/>
          <w:i w:val="0"/>
          <w:color w:val="0B2545"/>
          <w:sz w:val="19"/>
        </w:rPr>
        <w:t>shortfall = max(0, requested - executable)</w:t>
      </w:r>
    </w:p>
    <w:p>
      <w:pPr>
        <w:pStyle w:val="Equation"/>
      </w:pPr>
      <w:r>
        <w:rPr>
          <w:rFonts w:ascii="Consolas" w:hAnsi="Consolas"/>
          <w:b w:val="0"/>
          <w:i w:val="0"/>
          <w:color w:val="0B2545"/>
          <w:sz w:val="19"/>
        </w:rPr>
        <w:t>eligible = 1 if executable &gt;= 2.00; otherwise 0</w:t>
      </w:r>
    </w:p>
    <w:tbl>
      <w:tblPr>
        <w:tblStyle w:val="TableGrid"/>
        <w:tblW w:type="auto" w:w="0"/>
        <w:jc w:val="left"/>
        <w:tblLayout w:type="fixed"/>
        <w:tblLook w:firstColumn="1" w:firstRow="1" w:lastColumn="0" w:lastRow="0" w:noHBand="0" w:noVBand="1" w:val="04A0"/>
        <w:tblW w:w="9360" w:type="dxa"/>
        <w:tblInd w:w="120" w:type="dxa"/>
      </w:tblPr>
      <w:tblGrid>
        <w:gridCol w:w="2200"/>
        <w:gridCol w:w="7160"/>
      </w:tblGrid>
      <w:tr>
        <w:trPr>
          <w:tblHeader w:val="true"/>
        </w:trPr>
        <w:tc>
          <w:tcPr>
            <w:tcW w:type="dxa" w:w="2200"/>
            <w:tcMar>
              <w:top w:w="80" w:type="dxa"/>
              <w:start w:w="120" w:type="dxa"/>
              <w:bottom w:w="80" w:type="dxa"/>
              <w:end w:w="120" w:type="dxa"/>
            </w:tcMar>
            <w:vAlign w:val="center"/>
            <w:tcW w:w="2200" w:type="dxa"/>
            <w:shd w:fill="E8EEF5"/>
          </w:tcPr>
          <w:p>
            <w:r>
              <w:rPr>
                <w:rFonts w:ascii="Calibri" w:hAnsi="Calibri"/>
                <w:b/>
                <w:i w:val="0"/>
                <w:color w:val="1F4D78"/>
                <w:sz w:val="21"/>
              </w:rPr>
              <w:t>State</w:t>
            </w:r>
          </w:p>
        </w:tc>
        <w:tc>
          <w:tcPr>
            <w:tcW w:type="dxa" w:w="7160"/>
            <w:tcMar>
              <w:top w:w="80" w:type="dxa"/>
              <w:start w:w="120" w:type="dxa"/>
              <w:bottom w:w="80" w:type="dxa"/>
              <w:end w:w="120" w:type="dxa"/>
            </w:tcMar>
            <w:vAlign w:val="center"/>
            <w:tcW w:w="7160" w:type="dxa"/>
            <w:shd w:fill="E8EEF5"/>
          </w:tcPr>
          <w:p>
            <w:r>
              <w:rPr>
                <w:rFonts w:ascii="Calibri" w:hAnsi="Calibri"/>
                <w:b/>
                <w:i w:val="0"/>
                <w:color w:val="1F4D78"/>
                <w:sz w:val="21"/>
              </w:rPr>
              <w:t>Transition</w:t>
            </w:r>
          </w:p>
        </w:tc>
      </w:tr>
      <w:tr>
        <w:tc>
          <w:tcPr>
            <w:tcW w:type="dxa" w:w="2200"/>
          </w:tcPr>
          <w:p>
            <w:r>
              <w:rPr>
                <w:rFonts w:ascii="Calibri" w:hAnsi="Calibri"/>
                <w:b w:val="0"/>
                <w:i w:val="0"/>
                <w:color w:val="0B2545"/>
                <w:sz w:val="21"/>
              </w:rPr>
              <w:t>cash</w:t>
            </w:r>
          </w:p>
        </w:tc>
        <w:tc>
          <w:tcPr>
            <w:tcW w:type="dxa" w:w="7160"/>
          </w:tcPr>
          <w:p>
            <w:r>
              <w:rPr>
                <w:rFonts w:ascii="Calibri" w:hAnsi="Calibri"/>
                <w:b w:val="0"/>
                <w:i w:val="0"/>
                <w:color w:val="0B2545"/>
                <w:sz w:val="21"/>
              </w:rPr>
              <w:t>BUY subtracts executable amount; SELL adds proceeds.</w:t>
            </w:r>
          </w:p>
        </w:tc>
      </w:tr>
      <w:tr>
        <w:tc>
          <w:tcPr>
            <w:tcW w:type="dxa" w:w="2200"/>
          </w:tcPr>
          <w:p>
            <w:r>
              <w:rPr>
                <w:rFonts w:ascii="Calibri" w:hAnsi="Calibri"/>
                <w:b w:val="0"/>
                <w:i w:val="0"/>
                <w:color w:val="0B2545"/>
                <w:sz w:val="21"/>
              </w:rPr>
              <w:t>asset_units</w:t>
            </w:r>
          </w:p>
        </w:tc>
        <w:tc>
          <w:tcPr>
            <w:tcW w:type="dxa" w:w="7160"/>
          </w:tcPr>
          <w:p>
            <w:r>
              <w:rPr>
                <w:rFonts w:ascii="Calibri" w:hAnsi="Calibri"/>
                <w:b w:val="0"/>
                <w:i w:val="0"/>
                <w:color w:val="0B2545"/>
                <w:sz w:val="21"/>
              </w:rPr>
              <w:t>BUY adds amount / price; SELL subtracts sold units.</w:t>
            </w:r>
          </w:p>
        </w:tc>
      </w:tr>
      <w:tr>
        <w:tc>
          <w:tcPr>
            <w:tcW w:type="dxa" w:w="2200"/>
          </w:tcPr>
          <w:p>
            <w:r>
              <w:rPr>
                <w:rFonts w:ascii="Calibri" w:hAnsi="Calibri"/>
                <w:b w:val="0"/>
                <w:i w:val="0"/>
                <w:color w:val="0B2545"/>
                <w:sz w:val="21"/>
              </w:rPr>
              <w:t>cost_basis</w:t>
            </w:r>
          </w:p>
        </w:tc>
        <w:tc>
          <w:tcPr>
            <w:tcW w:type="dxa" w:w="7160"/>
          </w:tcPr>
          <w:p>
            <w:r>
              <w:rPr>
                <w:rFonts w:ascii="Calibri" w:hAnsi="Calibri"/>
                <w:b w:val="0"/>
                <w:i w:val="0"/>
                <w:color w:val="0B2545"/>
                <w:sz w:val="21"/>
              </w:rPr>
              <w:t>BUY adds purchase amount; SELL removes proportional basis.</w:t>
            </w:r>
          </w:p>
        </w:tc>
      </w:tr>
      <w:tr>
        <w:tc>
          <w:tcPr>
            <w:tcW w:type="dxa" w:w="2200"/>
          </w:tcPr>
          <w:p>
            <w:r>
              <w:rPr>
                <w:rFonts w:ascii="Calibri" w:hAnsi="Calibri"/>
                <w:b w:val="0"/>
                <w:i w:val="0"/>
                <w:color w:val="0B2545"/>
                <w:sz w:val="21"/>
              </w:rPr>
              <w:t>realized_pnl</w:t>
            </w:r>
          </w:p>
        </w:tc>
        <w:tc>
          <w:tcPr>
            <w:tcW w:type="dxa" w:w="7160"/>
          </w:tcPr>
          <w:p>
            <w:r>
              <w:rPr>
                <w:rFonts w:ascii="Calibri" w:hAnsi="Calibri"/>
                <w:b w:val="0"/>
                <w:i w:val="0"/>
                <w:color w:val="0B2545"/>
                <w:sz w:val="21"/>
              </w:rPr>
              <w:t>SELL proceeds minus proportional cost basis.</w:t>
            </w:r>
          </w:p>
        </w:tc>
      </w:tr>
      <w:tr>
        <w:tc>
          <w:tcPr>
            <w:tcW w:type="dxa" w:w="2200"/>
          </w:tcPr>
          <w:p>
            <w:r>
              <w:rPr>
                <w:rFonts w:ascii="Calibri" w:hAnsi="Calibri"/>
                <w:b w:val="0"/>
                <w:i w:val="0"/>
                <w:color w:val="0B2545"/>
                <w:sz w:val="21"/>
              </w:rPr>
              <w:t>open_pnl</w:t>
            </w:r>
          </w:p>
        </w:tc>
        <w:tc>
          <w:tcPr>
            <w:tcW w:type="dxa" w:w="7160"/>
          </w:tcPr>
          <w:p>
            <w:r>
              <w:rPr>
                <w:rFonts w:ascii="Calibri" w:hAnsi="Calibri"/>
                <w:b w:val="0"/>
                <w:i w:val="0"/>
                <w:color w:val="0B2545"/>
                <w:sz w:val="21"/>
              </w:rPr>
              <w:t>Asset market value minus remaining cost basis.</w:t>
            </w:r>
          </w:p>
        </w:tc>
      </w:tr>
      <w:tr>
        <w:tc>
          <w:tcPr>
            <w:tcW w:type="dxa" w:w="2200"/>
          </w:tcPr>
          <w:p>
            <w:r>
              <w:rPr>
                <w:rFonts w:ascii="Calibri" w:hAnsi="Calibri"/>
                <w:b w:val="0"/>
                <w:i w:val="0"/>
                <w:color w:val="0B2545"/>
                <w:sz w:val="21"/>
              </w:rPr>
              <w:t>equity</w:t>
            </w:r>
          </w:p>
        </w:tc>
        <w:tc>
          <w:tcPr>
            <w:tcW w:type="dxa" w:w="7160"/>
          </w:tcPr>
          <w:p>
            <w:r>
              <w:rPr>
                <w:rFonts w:ascii="Calibri" w:hAnsi="Calibri"/>
                <w:b w:val="0"/>
                <w:i w:val="0"/>
                <w:color w:val="0B2545"/>
                <w:sz w:val="21"/>
              </w:rPr>
              <w:t>cash + asset market value.</w:t>
            </w:r>
          </w:p>
        </w:tc>
      </w:tr>
      <w:tr>
        <w:tc>
          <w:tcPr>
            <w:tcW w:type="dxa" w:w="2200"/>
          </w:tcPr>
          <w:p>
            <w:r>
              <w:rPr>
                <w:rFonts w:ascii="Calibri" w:hAnsi="Calibri"/>
                <w:b w:val="0"/>
                <w:i w:val="0"/>
                <w:color w:val="0B2545"/>
                <w:sz w:val="21"/>
              </w:rPr>
              <w:t>net_pnl</w:t>
            </w:r>
          </w:p>
        </w:tc>
        <w:tc>
          <w:tcPr>
            <w:tcW w:type="dxa" w:w="7160"/>
          </w:tcPr>
          <w:p>
            <w:r>
              <w:rPr>
                <w:rFonts w:ascii="Calibri" w:hAnsi="Calibri"/>
                <w:b w:val="0"/>
                <w:i w:val="0"/>
                <w:color w:val="0B2545"/>
                <w:sz w:val="21"/>
              </w:rPr>
              <w:t>equity - starting pot.</w:t>
            </w:r>
          </w:p>
        </w:tc>
      </w:tr>
      <w:tr>
        <w:tc>
          <w:tcPr>
            <w:tcW w:type="dxa" w:w="2200"/>
          </w:tcPr>
          <w:p>
            <w:r>
              <w:rPr>
                <w:rFonts w:ascii="Calibri" w:hAnsi="Calibri"/>
                <w:b w:val="0"/>
                <w:i w:val="0"/>
                <w:color w:val="0B2545"/>
                <w:sz w:val="21"/>
              </w:rPr>
              <w:t>rebuy_pending</w:t>
            </w:r>
          </w:p>
        </w:tc>
        <w:tc>
          <w:tcPr>
            <w:tcW w:type="dxa" w:w="7160"/>
          </w:tcPr>
          <w:p>
            <w:r>
              <w:rPr>
                <w:rFonts w:ascii="Calibri" w:hAnsi="Calibri"/>
                <w:b w:val="0"/>
                <w:i w:val="0"/>
                <w:color w:val="0B2545"/>
                <w:sz w:val="21"/>
              </w:rPr>
              <w:t>True after full drain; up to $5,000 at next boundary.</w:t>
            </w:r>
          </w:p>
        </w:tc>
      </w:tr>
    </w:tbl>
    <w:p/>
    <w:p>
      <w:r>
        <w:rPr>
          <w:rFonts w:ascii="Calibri" w:hAnsi="Calibri"/>
          <w:b w:val="0"/>
          <w:i w:val="0"/>
          <w:color w:val="0B2545"/>
          <w:sz w:val="21"/>
        </w:rPr>
        <w:t>When requested SELL exceeds held value, the entire available position is sold and the shortfall is reported. A BUY is cash-capped. A SELL is blocked below average cost plus the edge buffer.</w:t>
      </w:r>
    </w:p>
    <w:p>
      <w:pPr>
        <w:pStyle w:val="Heading1"/>
      </w:pPr>
      <w:r>
        <w:t>11. Chart and dashboard fidelity</w:t>
      </w:r>
    </w:p>
    <w:p>
      <w:r>
        <w:rPr>
          <w:rFonts w:ascii="Calibri" w:hAnsi="Calibri"/>
          <w:b w:val="0"/>
          <w:i w:val="0"/>
          <w:color w:val="0B2545"/>
          <w:sz w:val="21"/>
        </w:rPr>
        <w:t>The chart draws real market candles separately from synthetic guess candles. Guess candles use stored direction and stored change for locked guesses; the active map is only a fallback for unresolved guesses. Completed chart results compare the displayed guess direction with the displayed actual candle direction, so candle color, action label, and RIGHT/WRONG marker share one direction.</w:t>
      </w:r>
    </w:p>
    <w:p>
      <w:r>
        <w:rPr>
          <w:rFonts w:ascii="Calibri" w:hAnsi="Calibri"/>
          <w:b w:val="0"/>
          <w:i w:val="0"/>
          <w:color w:val="0B2545"/>
          <w:sz w:val="21"/>
        </w:rPr>
        <w:t>The page includes tracked-asset cards, a five-across snap carousel on desktop/tablets, one full-width card on mobile, red/green asset prices, a floating total paper-portfolio P&amp;L card, phase sizing, confidence cards, compression diagnostics, audit tables, and a complete Refresh button. Fast metrics may patch every 30 seconds; the full page reloads at least every 60 seconds and at five-minute boundaries.</w:t>
      </w:r>
    </w:p>
    <w:p>
      <w:pPr>
        <w:pStyle w:val="Heading1"/>
      </w:pPr>
      <w:r>
        <w:t>12. Audit and event contract</w:t>
      </w:r>
    </w:p>
    <w:tbl>
      <w:tblPr>
        <w:tblStyle w:val="TableGrid"/>
        <w:tblW w:type="auto" w:w="0"/>
        <w:jc w:val="left"/>
        <w:tblLayout w:type="fixed"/>
        <w:tblLook w:firstColumn="1" w:firstRow="1" w:lastColumn="0" w:lastRow="0" w:noHBand="0" w:noVBand="1" w:val="04A0"/>
        <w:tblW w:w="9360" w:type="dxa"/>
        <w:tblInd w:w="120" w:type="dxa"/>
      </w:tblPr>
      <w:tblGrid>
        <w:gridCol w:w="2100"/>
        <w:gridCol w:w="7260"/>
      </w:tblGrid>
      <w:tr>
        <w:trPr>
          <w:tblHeader w:val="true"/>
        </w:trPr>
        <w:tc>
          <w:tcPr>
            <w:tcW w:type="dxa" w:w="2100"/>
            <w:tcMar>
              <w:top w:w="80" w:type="dxa"/>
              <w:start w:w="120" w:type="dxa"/>
              <w:bottom w:w="80" w:type="dxa"/>
              <w:end w:w="120" w:type="dxa"/>
            </w:tcMar>
            <w:vAlign w:val="center"/>
            <w:tcW w:w="2100" w:type="dxa"/>
            <w:shd w:fill="E8EEF5"/>
          </w:tcPr>
          <w:p>
            <w:r>
              <w:rPr>
                <w:rFonts w:ascii="Calibri" w:hAnsi="Calibri"/>
                <w:b/>
                <w:i w:val="0"/>
                <w:color w:val="1F4D78"/>
                <w:sz w:val="21"/>
              </w:rPr>
              <w:t>Field</w:t>
            </w:r>
          </w:p>
        </w:tc>
        <w:tc>
          <w:tcPr>
            <w:tcW w:type="dxa" w:w="7260"/>
            <w:tcMar>
              <w:top w:w="80" w:type="dxa"/>
              <w:start w:w="120" w:type="dxa"/>
              <w:bottom w:w="80" w:type="dxa"/>
              <w:end w:w="120" w:type="dxa"/>
            </w:tcMar>
            <w:vAlign w:val="center"/>
            <w:tcW w:w="7260" w:type="dxa"/>
            <w:shd w:fill="E8EEF5"/>
          </w:tcPr>
          <w:p>
            <w:r>
              <w:rPr>
                <w:rFonts w:ascii="Calibri" w:hAnsi="Calibri"/>
                <w:b/>
                <w:i w:val="0"/>
                <w:color w:val="1F4D78"/>
                <w:sz w:val="21"/>
              </w:rPr>
              <w:t>Required content</w:t>
            </w:r>
          </w:p>
        </w:tc>
      </w:tr>
      <w:tr>
        <w:tc>
          <w:tcPr>
            <w:tcW w:type="dxa" w:w="2100"/>
          </w:tcPr>
          <w:p>
            <w:r>
              <w:rPr>
                <w:rFonts w:ascii="Calibri" w:hAnsi="Calibri"/>
                <w:b w:val="0"/>
                <w:i w:val="0"/>
                <w:color w:val="0B2545"/>
                <w:sz w:val="21"/>
              </w:rPr>
              <w:t>Predicted candle</w:t>
            </w:r>
          </w:p>
        </w:tc>
        <w:tc>
          <w:tcPr>
            <w:tcW w:type="dxa" w:w="7260"/>
          </w:tcPr>
          <w:p>
            <w:r>
              <w:rPr>
                <w:rFonts w:ascii="Calibri" w:hAnsi="Calibri"/>
                <w:b w:val="0"/>
                <w:i w:val="0"/>
                <w:color w:val="0B2545"/>
                <w:sz w:val="21"/>
              </w:rPr>
              <w:t>UP/green BUY or DOWN/red SELL from locked direction.</w:t>
            </w:r>
          </w:p>
        </w:tc>
      </w:tr>
      <w:tr>
        <w:tc>
          <w:tcPr>
            <w:tcW w:type="dxa" w:w="2100"/>
          </w:tcPr>
          <w:p>
            <w:r>
              <w:rPr>
                <w:rFonts w:ascii="Calibri" w:hAnsi="Calibri"/>
                <w:b w:val="0"/>
                <w:i w:val="0"/>
                <w:color w:val="0B2545"/>
                <w:sz w:val="21"/>
              </w:rPr>
              <w:t>What candle did</w:t>
            </w:r>
          </w:p>
        </w:tc>
        <w:tc>
          <w:tcPr>
            <w:tcW w:type="dxa" w:w="7260"/>
          </w:tcPr>
          <w:p>
            <w:r>
              <w:rPr>
                <w:rFonts w:ascii="Calibri" w:hAnsi="Calibri"/>
                <w:b w:val="0"/>
                <w:i w:val="0"/>
                <w:color w:val="0B2545"/>
                <w:sz w:val="21"/>
              </w:rPr>
              <w:t>Observed UP, DOWN, or FLAT from completed OHLC.</w:t>
            </w:r>
          </w:p>
        </w:tc>
      </w:tr>
      <w:tr>
        <w:tc>
          <w:tcPr>
            <w:tcW w:type="dxa" w:w="2100"/>
          </w:tcPr>
          <w:p>
            <w:r>
              <w:rPr>
                <w:rFonts w:ascii="Calibri" w:hAnsi="Calibri"/>
                <w:b w:val="0"/>
                <w:i w:val="0"/>
                <w:color w:val="0B2545"/>
                <w:sz w:val="21"/>
              </w:rPr>
              <w:t>Result</w:t>
            </w:r>
          </w:p>
        </w:tc>
        <w:tc>
          <w:tcPr>
            <w:tcW w:type="dxa" w:w="7260"/>
          </w:tcPr>
          <w:p>
            <w:r>
              <w:rPr>
                <w:rFonts w:ascii="Calibri" w:hAnsi="Calibri"/>
                <w:b w:val="0"/>
                <w:i w:val="0"/>
                <w:color w:val="0B2545"/>
                <w:sz w:val="21"/>
              </w:rPr>
              <w:t>RIGHT, WRONG, or UNRESOLVED.</w:t>
            </w:r>
          </w:p>
        </w:tc>
      </w:tr>
      <w:tr>
        <w:tc>
          <w:tcPr>
            <w:tcW w:type="dxa" w:w="2100"/>
          </w:tcPr>
          <w:p>
            <w:r>
              <w:rPr>
                <w:rFonts w:ascii="Calibri" w:hAnsi="Calibri"/>
                <w:b w:val="0"/>
                <w:i w:val="0"/>
                <w:color w:val="0B2545"/>
                <w:sz w:val="21"/>
              </w:rPr>
              <w:t>What happened</w:t>
            </w:r>
          </w:p>
        </w:tc>
        <w:tc>
          <w:tcPr>
            <w:tcW w:type="dxa" w:w="7260"/>
          </w:tcPr>
          <w:p>
            <w:r>
              <w:rPr>
                <w:rFonts w:ascii="Calibri" w:hAnsi="Calibri"/>
                <w:b w:val="0"/>
                <w:i w:val="0"/>
                <w:color w:val="0B2545"/>
                <w:sz w:val="21"/>
              </w:rPr>
              <w:t>Executed BUY/SELL, HELD, or NO TRADE with move and P&amp;L.</w:t>
            </w:r>
          </w:p>
        </w:tc>
      </w:tr>
      <w:tr>
        <w:tc>
          <w:tcPr>
            <w:tcW w:type="dxa" w:w="2100"/>
          </w:tcPr>
          <w:p>
            <w:r>
              <w:rPr>
                <w:rFonts w:ascii="Calibri" w:hAnsi="Calibri"/>
                <w:b w:val="0"/>
                <w:i w:val="0"/>
                <w:color w:val="0B2545"/>
                <w:sz w:val="21"/>
              </w:rPr>
              <w:t>Sizing</w:t>
            </w:r>
          </w:p>
        </w:tc>
        <w:tc>
          <w:tcPr>
            <w:tcW w:type="dxa" w:w="7260"/>
          </w:tcPr>
          <w:p>
            <w:r>
              <w:rPr>
                <w:rFonts w:ascii="Calibri" w:hAnsi="Calibri"/>
                <w:b w:val="0"/>
                <w:i w:val="0"/>
                <w:color w:val="0B2545"/>
                <w:sz w:val="21"/>
              </w:rPr>
              <w:t>Requested, available, executable, and shortfall separately.</w:t>
            </w:r>
          </w:p>
        </w:tc>
      </w:tr>
      <w:tr>
        <w:tc>
          <w:tcPr>
            <w:tcW w:type="dxa" w:w="2100"/>
          </w:tcPr>
          <w:p>
            <w:r>
              <w:rPr>
                <w:rFonts w:ascii="Calibri" w:hAnsi="Calibri"/>
                <w:b w:val="0"/>
                <w:i w:val="0"/>
                <w:color w:val="0B2545"/>
                <w:sz w:val="21"/>
              </w:rPr>
              <w:t>Time</w:t>
            </w:r>
          </w:p>
        </w:tc>
        <w:tc>
          <w:tcPr>
            <w:tcW w:type="dxa" w:w="7260"/>
          </w:tcPr>
          <w:p>
            <w:r>
              <w:rPr>
                <w:rFonts w:ascii="Calibri" w:hAnsi="Calibri"/>
                <w:b w:val="0"/>
                <w:i w:val="0"/>
                <w:color w:val="0B2545"/>
                <w:sz w:val="21"/>
              </w:rPr>
              <w:t>America/New_York rendering of stored timestamp.</w:t>
            </w:r>
          </w:p>
        </w:tc>
      </w:tr>
    </w:tbl>
    <w:p/>
    <w:p>
      <w:r>
        <w:rPr>
          <w:rFonts w:ascii="Calibri" w:hAnsi="Calibri"/>
          <w:b w:val="0"/>
          <w:i w:val="0"/>
          <w:color w:val="0B2545"/>
          <w:sz w:val="21"/>
        </w:rPr>
        <w:t>Audit move and per-unit P&amp;L use eight decimal places and a percentage move. Sale proceeds are never labeled as profit.</w:t>
      </w:r>
    </w:p>
    <w:p>
      <w:pPr>
        <w:pStyle w:val="Heading1"/>
      </w:pPr>
      <w:r>
        <w:t>13. Reproducibility protocol</w:t>
      </w:r>
    </w:p>
    <w:p>
      <w:pPr>
        <w:pStyle w:val="ListNumber"/>
        <w:spacing w:after="60"/>
      </w:pPr>
      <w:r>
        <w:rPr>
          <w:rFonts w:ascii="Calibri" w:hAnsi="Calibri"/>
          <w:b w:val="0"/>
          <w:i w:val="0"/>
          <w:color w:val="0B2545"/>
          <w:sz w:val="21"/>
        </w:rPr>
        <w:t>Freeze market inputs and retrieval timestamps.</w:t>
      </w:r>
    </w:p>
    <w:p>
      <w:pPr>
        <w:pStyle w:val="ListNumber"/>
        <w:spacing w:after="60"/>
      </w:pPr>
      <w:r>
        <w:rPr>
          <w:rFonts w:ascii="Calibri" w:hAnsi="Calibri"/>
          <w:b w:val="0"/>
          <w:i w:val="0"/>
          <w:color w:val="0B2545"/>
          <w:sz w:val="21"/>
        </w:rPr>
        <w:t>Freeze the guess ledger before outcome evaluation.</w:t>
      </w:r>
    </w:p>
    <w:p>
      <w:pPr>
        <w:pStyle w:val="ListNumber"/>
        <w:spacing w:after="60"/>
      </w:pPr>
      <w:r>
        <w:rPr>
          <w:rFonts w:ascii="Calibri" w:hAnsi="Calibri"/>
          <w:b w:val="0"/>
          <w:i w:val="0"/>
          <w:color w:val="0B2545"/>
          <w:sz w:val="21"/>
        </w:rPr>
        <w:t>Run with identical configuration, timezone, and state files.</w:t>
      </w:r>
    </w:p>
    <w:p>
      <w:pPr>
        <w:pStyle w:val="ListNumber"/>
        <w:spacing w:after="60"/>
      </w:pPr>
      <w:r>
        <w:rPr>
          <w:rFonts w:ascii="Calibri" w:hAnsi="Calibri"/>
          <w:b w:val="0"/>
          <w:i w:val="0"/>
          <w:color w:val="0B2545"/>
          <w:sz w:val="21"/>
        </w:rPr>
        <w:t>Export live JSON, resolved ledger, audit HTML, and wallet state.</w:t>
      </w:r>
    </w:p>
    <w:p>
      <w:pPr>
        <w:pStyle w:val="ListNumber"/>
        <w:spacing w:after="60"/>
      </w:pPr>
      <w:r>
        <w:rPr>
          <w:rFonts w:ascii="Calibri" w:hAnsi="Calibri"/>
          <w:b w:val="0"/>
          <w:i w:val="0"/>
          <w:color w:val="0B2545"/>
          <w:sz w:val="21"/>
        </w:rPr>
        <w:t>Independently recompute candle directions, RIGHT/WRONG, confidence, RLE, inversion, regime count, and sizing.</w:t>
      </w:r>
    </w:p>
    <w:p>
      <w:pPr>
        <w:pStyle w:val="ListNumber"/>
        <w:spacing w:after="60"/>
      </w:pPr>
      <w:r>
        <w:rPr>
          <w:rFonts w:ascii="Calibri" w:hAnsi="Calibri"/>
          <w:b w:val="0"/>
          <w:i w:val="0"/>
          <w:color w:val="0B2545"/>
          <w:sz w:val="21"/>
        </w:rPr>
        <w:t>Compare independent output with dashboard and event fields.</w:t>
      </w:r>
    </w:p>
    <w:p>
      <w:pPr>
        <w:pStyle w:val="ListNumber"/>
        <w:spacing w:after="60"/>
      </w:pPr>
      <w:r>
        <w:rPr>
          <w:rFonts w:ascii="Calibri" w:hAnsi="Calibri"/>
          <w:b w:val="0"/>
          <w:i w:val="0"/>
          <w:color w:val="0B2545"/>
          <w:sz w:val="21"/>
        </w:rPr>
        <w:t>Repeat on untouched out-of-sample data.</w:t>
      </w:r>
    </w:p>
    <w:p>
      <w:pPr>
        <w:pStyle w:val="Heading1"/>
      </w:pPr>
      <w:r>
        <w:t>14. Required validation and limitations</w:t>
      </w:r>
    </w:p>
    <w:p>
      <w:pPr>
        <w:pStyle w:val="ListBullet"/>
        <w:spacing w:after="60"/>
      </w:pPr>
      <w:r>
        <w:rPr>
          <w:rFonts w:ascii="Calibri" w:hAnsi="Calibri"/>
          <w:b w:val="0"/>
          <w:i w:val="0"/>
          <w:color w:val="0B2545"/>
          <w:sz w:val="21"/>
        </w:rPr>
        <w:t>php -l E:\coinbase\index.php passes.</w:t>
      </w:r>
    </w:p>
    <w:p>
      <w:pPr>
        <w:pStyle w:val="ListBullet"/>
        <w:spacing w:after="60"/>
      </w:pPr>
      <w:r>
        <w:rPr>
          <w:rFonts w:ascii="Calibri" w:hAnsi="Calibri"/>
          <w:b w:val="0"/>
          <w:i w:val="0"/>
          <w:color w:val="0B2545"/>
          <w:sz w:val="21"/>
        </w:rPr>
        <w:t>E:\coinbase\strategy-spec.json parses as valid JSON.</w:t>
      </w:r>
    </w:p>
    <w:p>
      <w:pPr>
        <w:pStyle w:val="ListBullet"/>
        <w:spacing w:after="60"/>
      </w:pPr>
      <w:r>
        <w:rPr>
          <w:rFonts w:ascii="Calibri" w:hAnsi="Calibri"/>
          <w:b w:val="0"/>
          <w:i w:val="0"/>
          <w:color w:val="0B2545"/>
          <w:sz w:val="21"/>
        </w:rPr>
        <w:t>A 3.8% branch displays 96.2% effective confidence while retaining raw 3 RIGHT / 76 WRONG / 79 TOTAL.</w:t>
      </w:r>
    </w:p>
    <w:p>
      <w:pPr>
        <w:pStyle w:val="ListBullet"/>
        <w:spacing w:after="60"/>
      </w:pPr>
      <w:r>
        <w:rPr>
          <w:rFonts w:ascii="Calibri" w:hAnsi="Calibri"/>
          <w:b w:val="0"/>
          <w:i w:val="0"/>
          <w:color w:val="0B2545"/>
          <w:sz w:val="21"/>
        </w:rPr>
        <w:t>Chart action and RIGHT/WRONG use the same displayed directions.</w:t>
      </w:r>
    </w:p>
    <w:p>
      <w:pPr>
        <w:pStyle w:val="ListBullet"/>
        <w:spacing w:after="60"/>
      </w:pPr>
      <w:r>
        <w:rPr>
          <w:rFonts w:ascii="Calibri" w:hAnsi="Calibri"/>
          <w:b w:val="0"/>
          <w:i w:val="0"/>
          <w:color w:val="0B2545"/>
          <w:sz w:val="21"/>
        </w:rPr>
        <w:t>New regime executes immediately; a second allocation waits for the next top-of-hour.</w:t>
      </w:r>
    </w:p>
    <w:p>
      <w:pPr>
        <w:pStyle w:val="ListBullet"/>
        <w:spacing w:after="60"/>
      </w:pPr>
      <w:r>
        <w:rPr>
          <w:rFonts w:ascii="Calibri" w:hAnsi="Calibri"/>
          <w:b w:val="0"/>
          <w:i w:val="0"/>
          <w:color w:val="0B2545"/>
          <w:sz w:val="21"/>
        </w:rPr>
        <w:t>A twelve-hour regime uses X12 and never exceeds the cap.</w:t>
      </w:r>
    </w:p>
    <w:p>
      <w:pPr>
        <w:pStyle w:val="ListBullet"/>
        <w:spacing w:after="60"/>
      </w:pPr>
      <w:r>
        <w:rPr>
          <w:rFonts w:ascii="Calibri" w:hAnsi="Calibri"/>
          <w:b w:val="0"/>
          <w:i w:val="0"/>
          <w:color w:val="0B2545"/>
          <w:sz w:val="21"/>
        </w:rPr>
        <w:t>BUY is cash-capped; SELL over holdings reports shortfall and sells all available holdings.</w:t>
      </w:r>
    </w:p>
    <w:p>
      <w:pPr>
        <w:pStyle w:val="ListBullet"/>
        <w:spacing w:after="60"/>
      </w:pPr>
      <w:r>
        <w:rPr>
          <w:rFonts w:ascii="Calibri" w:hAnsi="Calibri"/>
          <w:b w:val="0"/>
          <w:i w:val="0"/>
          <w:color w:val="0B2545"/>
          <w:sz w:val="21"/>
        </w:rPr>
        <w:t>Four alternating calls HOLD; low-edge SELL remains blocked; drained recovery waits for the next boundary.</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tcMar>
              <w:top w:w="80" w:type="dxa"/>
              <w:start w:w="120" w:type="dxa"/>
              <w:bottom w:w="80" w:type="dxa"/>
              <w:end w:w="120" w:type="dxa"/>
            </w:tcMar>
            <w:vAlign w:val="center"/>
            <w:tcW w:w="9360" w:type="dxa"/>
            <w:shd w:fill="FDECEC"/>
          </w:tcPr>
          <w:p>
            <w:r>
              <w:rPr>
                <w:rFonts w:ascii="Calibri" w:hAnsi="Calibri"/>
                <w:b/>
                <w:i w:val="0"/>
                <w:color w:val="0B2545"/>
                <w:sz w:val="21"/>
              </w:rPr>
              <w:t xml:space="preserve">Academic limitation. </w:t>
            </w:r>
            <w:r>
              <w:rPr>
                <w:rFonts w:ascii="Calibri" w:hAnsi="Calibri"/>
                <w:b w:val="0"/>
                <w:i w:val="0"/>
                <w:color w:val="0B2545"/>
                <w:sz w:val="21"/>
              </w:rPr>
              <w:t>The recurrence specification is precise enough to reproduce the current program, but precision is not evidence of predictive validity. A serious study must address selection bias, look-ahead bias, non-stationarity, multiple testing, fees, spread, slippage, liquidity, latency, market impact, survivorship bias, calibration, confidence intervals, and preregistered out-of-sample evaluation.</w:t>
            </w:r>
          </w:p>
        </w:tc>
      </w:tr>
    </w:tbl>
    <w:p/>
    <w:p>
      <w:pPr>
        <w:pStyle w:val="Heading1"/>
      </w:pPr>
      <w:r>
        <w:t>15. Source-of-implementation checklist</w:t>
      </w:r>
    </w:p>
    <w:tbl>
      <w:tblPr>
        <w:tblStyle w:val="TableGrid"/>
        <w:tblW w:type="auto" w:w="0"/>
        <w:jc w:val="left"/>
        <w:tblLayout w:type="fixed"/>
        <w:tblLook w:firstColumn="1" w:firstRow="1" w:lastColumn="0" w:lastRow="0" w:noHBand="0" w:noVBand="1" w:val="04A0"/>
        <w:tblW w:w="9360" w:type="dxa"/>
        <w:tblInd w:w="120" w:type="dxa"/>
      </w:tblPr>
      <w:tblGrid>
        <w:gridCol w:w="3600"/>
        <w:gridCol w:w="5760"/>
      </w:tblGrid>
      <w:tr>
        <w:trPr>
          <w:tblHeader w:val="true"/>
        </w:trPr>
        <w:tc>
          <w:tcPr>
            <w:tcW w:type="dxa" w:w="3600"/>
            <w:tcMar>
              <w:top w:w="80" w:type="dxa"/>
              <w:start w:w="120" w:type="dxa"/>
              <w:bottom w:w="80" w:type="dxa"/>
              <w:end w:w="120" w:type="dxa"/>
            </w:tcMar>
            <w:vAlign w:val="center"/>
            <w:tcW w:w="3600" w:type="dxa"/>
            <w:shd w:fill="E8EEF5"/>
          </w:tcPr>
          <w:p>
            <w:r>
              <w:rPr>
                <w:rFonts w:ascii="Calibri" w:hAnsi="Calibri"/>
                <w:b/>
                <w:i w:val="0"/>
                <w:color w:val="1F4D78"/>
                <w:sz w:val="21"/>
              </w:rPr>
              <w:t>Artifact</w:t>
            </w:r>
          </w:p>
        </w:tc>
        <w:tc>
          <w:tcPr>
            <w:tcW w:type="dxa" w:w="5760"/>
            <w:tcMar>
              <w:top w:w="80" w:type="dxa"/>
              <w:start w:w="120" w:type="dxa"/>
              <w:bottom w:w="80" w:type="dxa"/>
              <w:end w:w="120" w:type="dxa"/>
            </w:tcMar>
            <w:vAlign w:val="center"/>
            <w:tcW w:w="5760" w:type="dxa"/>
            <w:shd w:fill="E8EEF5"/>
          </w:tcPr>
          <w:p>
            <w:r>
              <w:rPr>
                <w:rFonts w:ascii="Calibri" w:hAnsi="Calibri"/>
                <w:b/>
                <w:i w:val="0"/>
                <w:color w:val="1F4D78"/>
                <w:sz w:val="21"/>
              </w:rPr>
              <w:t>Role</w:t>
            </w:r>
          </w:p>
        </w:tc>
      </w:tr>
      <w:tr>
        <w:tc>
          <w:tcPr>
            <w:tcW w:type="dxa" w:w="3600"/>
          </w:tcPr>
          <w:p>
            <w:r>
              <w:rPr>
                <w:rFonts w:ascii="Calibri" w:hAnsi="Calibri"/>
                <w:b w:val="0"/>
                <w:i w:val="0"/>
                <w:color w:val="0B2545"/>
                <w:sz w:val="21"/>
              </w:rPr>
              <w:t>E:\coinbase\index.php</w:t>
            </w:r>
          </w:p>
        </w:tc>
        <w:tc>
          <w:tcPr>
            <w:tcW w:type="dxa" w:w="5760"/>
          </w:tcPr>
          <w:p>
            <w:r>
              <w:rPr>
                <w:rFonts w:ascii="Calibri" w:hAnsi="Calibri"/>
                <w:b w:val="0"/>
                <w:i w:val="0"/>
                <w:color w:val="0B2545"/>
                <w:sz w:val="21"/>
              </w:rPr>
              <w:t>Executable page, recurrences, state transitions, UI, paper wallet, and JSON endpoint.</w:t>
            </w:r>
          </w:p>
        </w:tc>
      </w:tr>
      <w:tr>
        <w:tc>
          <w:tcPr>
            <w:tcW w:type="dxa" w:w="3600"/>
          </w:tcPr>
          <w:p>
            <w:r>
              <w:rPr>
                <w:rFonts w:ascii="Calibri" w:hAnsi="Calibri"/>
                <w:b w:val="0"/>
                <w:i w:val="0"/>
                <w:color w:val="0B2545"/>
                <w:sz w:val="21"/>
              </w:rPr>
              <w:t>E:\coinbase\strategy-spec.json</w:t>
            </w:r>
          </w:p>
        </w:tc>
        <w:tc>
          <w:tcPr>
            <w:tcW w:type="dxa" w:w="5760"/>
          </w:tcPr>
          <w:p>
            <w:r>
              <w:rPr>
                <w:rFonts w:ascii="Calibri" w:hAnsi="Calibri"/>
                <w:b w:val="0"/>
                <w:i w:val="0"/>
                <w:color w:val="0B2545"/>
                <w:sz w:val="21"/>
              </w:rPr>
              <w:t>Living mathematical and implementation contract.</w:t>
            </w:r>
          </w:p>
        </w:tc>
      </w:tr>
      <w:tr>
        <w:tc>
          <w:tcPr>
            <w:tcW w:type="dxa" w:w="3600"/>
          </w:tcPr>
          <w:p>
            <w:r>
              <w:rPr>
                <w:rFonts w:ascii="Calibri" w:hAnsi="Calibri"/>
                <w:b w:val="0"/>
                <w:i w:val="0"/>
                <w:color w:val="0B2545"/>
                <w:sz w:val="21"/>
              </w:rPr>
              <w:t>tickers\&lt;SYMBOL&gt;-settled-results.json</w:t>
            </w:r>
          </w:p>
        </w:tc>
        <w:tc>
          <w:tcPr>
            <w:tcW w:type="dxa" w:w="5760"/>
          </w:tcPr>
          <w:p>
            <w:r>
              <w:rPr>
                <w:rFonts w:ascii="Calibri" w:hAnsi="Calibri"/>
                <w:b w:val="0"/>
                <w:i w:val="0"/>
                <w:color w:val="0B2545"/>
                <w:sz w:val="21"/>
              </w:rPr>
              <w:t>Frozen resolved historical truth per ticker.</w:t>
            </w:r>
          </w:p>
        </w:tc>
      </w:tr>
      <w:tr>
        <w:tc>
          <w:tcPr>
            <w:tcW w:type="dxa" w:w="3600"/>
          </w:tcPr>
          <w:p>
            <w:r>
              <w:rPr>
                <w:rFonts w:ascii="Calibri" w:hAnsi="Calibri"/>
                <w:b w:val="0"/>
                <w:i w:val="0"/>
                <w:color w:val="0B2545"/>
                <w:sz w:val="21"/>
              </w:rPr>
              <w:t>tickers\&lt;SYMBOL&gt;-neutral-guesses.json</w:t>
            </w:r>
          </w:p>
        </w:tc>
        <w:tc>
          <w:tcPr>
            <w:tcW w:type="dxa" w:w="5760"/>
          </w:tcPr>
          <w:p>
            <w:r>
              <w:rPr>
                <w:rFonts w:ascii="Calibri" w:hAnsi="Calibri"/>
                <w:b w:val="0"/>
                <w:i w:val="0"/>
                <w:color w:val="0B2545"/>
                <w:sz w:val="21"/>
              </w:rPr>
              <w:t>Timestamp-locked forecast history.</w:t>
            </w:r>
          </w:p>
        </w:tc>
      </w:tr>
      <w:tr>
        <w:tc>
          <w:tcPr>
            <w:tcW w:type="dxa" w:w="3600"/>
          </w:tcPr>
          <w:p>
            <w:r>
              <w:rPr>
                <w:rFonts w:ascii="Calibri" w:hAnsi="Calibri"/>
                <w:b w:val="0"/>
                <w:i w:val="0"/>
                <w:color w:val="0B2545"/>
                <w:sz w:val="21"/>
              </w:rPr>
              <w:t>tickers\&lt;SYMBOL&gt;-model-wallet-state.json</w:t>
            </w:r>
          </w:p>
        </w:tc>
        <w:tc>
          <w:tcPr>
            <w:tcW w:type="dxa" w:w="5760"/>
          </w:tcPr>
          <w:p>
            <w:r>
              <w:rPr>
                <w:rFonts w:ascii="Calibri" w:hAnsi="Calibri"/>
                <w:b w:val="0"/>
                <w:i w:val="0"/>
                <w:color w:val="0B2545"/>
                <w:sz w:val="21"/>
              </w:rPr>
              <w:t>Persisted paper-wallet execution state.</w:t>
            </w:r>
          </w:p>
        </w:tc>
      </w:tr>
      <w:tr>
        <w:tc>
          <w:tcPr>
            <w:tcW w:type="dxa" w:w="3600"/>
          </w:tcPr>
          <w:p>
            <w:r>
              <w:rPr>
                <w:rFonts w:ascii="Calibri" w:hAnsi="Calibri"/>
                <w:b w:val="0"/>
                <w:i w:val="0"/>
                <w:color w:val="0B2545"/>
                <w:sz w:val="21"/>
              </w:rPr>
              <w:t>tickers\&lt;SYMBOL&gt;-live-output.json</w:t>
            </w:r>
          </w:p>
        </w:tc>
        <w:tc>
          <w:tcPr>
            <w:tcW w:type="dxa" w:w="5760"/>
          </w:tcPr>
          <w:p>
            <w:r>
              <w:rPr>
                <w:rFonts w:ascii="Calibri" w:hAnsi="Calibri"/>
                <w:b w:val="0"/>
                <w:i w:val="0"/>
                <w:color w:val="0B2545"/>
                <w:sz w:val="21"/>
              </w:rPr>
              <w:t>Scheduler/live JSON snapshot consumed by cards.</w:t>
            </w:r>
          </w:p>
        </w:tc>
      </w:tr>
    </w:tbl>
    <w:p/>
    <w:p>
      <w:pPr>
        <w:pStyle w:val="Heading1"/>
      </w:pPr>
      <w:r>
        <w:t>Conclusion</w:t>
      </w:r>
    </w:p>
    <w:p>
      <w:r>
        <w:rPr>
          <w:rFonts w:ascii="Calibri" w:hAnsi="Calibri"/>
          <w:b w:val="0"/>
          <w:i w:val="0"/>
          <w:color w:val="0B2545"/>
          <w:sz w:val="21"/>
        </w:rPr>
        <w:t>The implemented console is a dynamic paper-only forecasting system with immutable historical scoring, evidence-driven future inversion, hourly directional regimes, bounded confidence-aware sizing, and a UI that exposes the same state used by the backend. Fidelity depends on one locked historical direction for scoring, one effective future direction for action, one canonical sizing record for wallet and display, and one timestamp basis for chart, audit, and execution.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Implementation reference: E:\coinbase\index.php  |  28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55555"/>
        <w:sz w:val="16"/>
      </w:rPr>
      <w:t>CNGN COINBASE PAPER CONSOLE  |  MATHEMATICAL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20"/>
      <w:ind w:left="360"/>
    </w:pPr>
    <w:rPr>
      <w:rFonts w:ascii="Consolas" w:hAnsi="Consolas"/>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CNGN Coinbase Paper Console - Mathematical and Computational Specification</dc:title>
  <dc:subject>Reproducible specification of the CNGN Coinbase paper console</dc:subject>
  <dc:creator>Codex</dc:creator>
  <cp:keywords>CNGN, recurrence, RLE, paper trading, inversion, confidence</cp:keywords>
  <dc:description>generated by python-docx</dc:description>
  <cp:lastModifiedBy/>
  <cp:revision>1</cp:revision>
  <dcterms:created xsi:type="dcterms:W3CDTF">2013-12-23T23:15:00Z</dcterms:created>
  <dcterms:modified xsi:type="dcterms:W3CDTF">2013-12-23T23:15:00Z</dcterms:modified>
  <cp:category/>
</cp:coreProperties>
</file>