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000000"/>
          <w:sz w:val="22"/>
          <w:szCs w:val="22"/>
        </w:rPr>
        <w:t xml:space="preserve"> </w:t>
      </w:r>
    </w:p>
    <w:p>
      <w:pPr>
        <w:spacing w:after="120" w:before="0"/>
        <w:jc w:val="center"/>
      </w:pPr>
      <w:r>
        <w:rPr>
          <w:rFonts w:ascii="Arial" w:cs="Arial" w:eastAsia="Arial" w:hAnsi="Arial"/>
          <w:b/>
          <w:bCs/>
          <w:color w:val="000000"/>
          <w:sz w:val="72"/>
          <w:szCs w:val="72"/>
        </w:rPr>
        <w:t xml:space="preserve">MILEFORUM</w:t>
      </w:r>
    </w:p>
    <w:p>
      <w:pPr>
        <w:spacing w:after="480" w:before="0"/>
        <w:jc w:val="center"/>
      </w:pPr>
      <w:r>
        <w:rPr>
          <w:rFonts w:ascii="Arial" w:cs="Arial" w:eastAsia="Arial" w:hAnsi="Arial"/>
          <w:color w:val="333333"/>
          <w:sz w:val="28"/>
          <w:szCs w:val="28"/>
        </w:rPr>
        <w:t xml:space="preserve">Aprendiz Mileforum</w:t>
      </w:r>
    </w:p>
    <w:p>
      <w:pPr>
        <w:spacing w:after="160" w:before="0"/>
        <w:jc w:val="center"/>
      </w:pPr>
      <w:r>
        <w:rPr>
          <w:rFonts w:ascii="Arial" w:cs="Arial" w:eastAsia="Arial" w:hAnsi="Arial"/>
          <w:b/>
          <w:bCs/>
          <w:color w:val="000000"/>
          <w:sz w:val="36"/>
          <w:szCs w:val="36"/>
        </w:rPr>
        <w:t xml:space="preserve">DOCUMENTACIÓN TÉCNICA COMPLETA</w:t>
      </w:r>
    </w:p>
    <w:p>
      <w:pPr>
        <w:spacing w:after="800" w:before="0"/>
        <w:jc w:val="center"/>
      </w:pPr>
      <w:r>
        <w:rPr>
          <w:rFonts w:ascii="Arial" w:cs="Arial" w:eastAsia="Arial" w:hAnsi="Arial"/>
          <w:color w:val="333333"/>
          <w:sz w:val="22"/>
          <w:szCs w:val="22"/>
        </w:rPr>
        <w:t xml:space="preserve">Estado actual al cierre de F-02 · Semanas 1 a 4</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Versión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1.0.0</w:t>
            </w:r>
          </w:p>
        </w:tc>
      </w:tr>
      <w:tr>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Fecha</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Abril de 2026</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Estado del proyecto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F-01 y F-02 completadas</w:t>
            </w:r>
          </w:p>
        </w:tc>
      </w:tr>
      <w:tr>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Próxima fase</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F-03 — Validación con datos reales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Clasificación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Confidencial</w:t>
            </w:r>
          </w:p>
        </w:tc>
      </w:tr>
    </w:tbl>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1. Resumen Ejecutivo</w:t>
      </w:r>
    </w:p>
    <w:p>
      <w:pPr>
        <w:spacing w:after="160" w:before="0"/>
      </w:pPr>
      <w:r>
        <w:rPr>
          <w:rFonts w:ascii="Arial" w:cs="Arial" w:eastAsia="Arial" w:hAnsi="Arial"/>
          <w:color w:val="000000"/>
          <w:sz w:val="22"/>
          <w:szCs w:val="22"/>
        </w:rPr>
        <w:t xml:space="preserve">Mileforum es un sistema de inteligencia artificial operativa que actúa como interfaz entre profesionales y empresas con modelos especializados de aprendizaje micro-operacional. El sistema observa, aprende y sugiere — no reemplaza al profesional, aprende de sus decisiones.</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1.1 Filosofía del sistema</w:t>
      </w:r>
    </w:p>
    <w:p>
      <w:pPr>
        <w:spacing w:after="160" w:before="0"/>
      </w:pPr>
      <w:r>
        <w:rPr>
          <w:rFonts w:ascii="Arial" w:cs="Arial" w:eastAsia="Arial" w:hAnsi="Arial"/>
          <w:color w:val="000000"/>
          <w:sz w:val="22"/>
          <w:szCs w:val="22"/>
        </w:rPr>
        <w:t xml:space="preserve">El sistema opera bajo el concepto de </w:t>
      </w:r>
      <w:r>
        <w:rPr>
          <w:rFonts w:ascii="Arial" w:cs="Arial" w:eastAsia="Arial" w:hAnsi="Arial"/>
          <w:b/>
          <w:bCs/>
          <w:color w:val="000000"/>
          <w:sz w:val="22"/>
          <w:szCs w:val="22"/>
        </w:rPr>
        <w:t xml:space="preserve">Portal Episódico</w:t>
      </w:r>
      <w:r>
        <w:rPr>
          <w:rFonts w:ascii="Arial" w:cs="Arial" w:eastAsia="Arial" w:hAnsi="Arial"/>
          <w:color w:val="000000"/>
          <w:sz w:val="22"/>
          <w:szCs w:val="22"/>
        </w:rPr>
        <w:t xml:space="preserve"> — cada vez que un profesional abre un caso o expediente, el sistema registra ese momento, lo analiza con IA y devuelve una sugerencia. El profesional confirma, corrige o se abstiene, y esa decisión alimenta el aprendizaje continuo del modelo.</w:t>
      </w:r>
    </w:p>
    <w:p>
      <w:pPr>
        <w:spacing w:after="80" w:before="0"/>
      </w:pPr>
      <w:r>
        <w:rPr>
          <w:rFonts w:ascii="Arial" w:cs="Arial" w:eastAsia="Arial" w:hAnsi="Arial"/>
          <w:color w:val="000000"/>
          <w:sz w:val="22"/>
          <w:szCs w:val="22"/>
        </w:rPr>
        <w:t xml:space="preserve"> </w:t>
      </w:r>
    </w:p>
    <w:p>
      <w:pPr>
        <w:spacing w:after="160" w:before="0"/>
      </w:pPr>
      <w:r>
        <w:rPr>
          <w:rFonts w:ascii="Arial" w:cs="Arial" w:eastAsia="Arial" w:hAnsi="Arial"/>
          <w:color w:val="000000"/>
          <w:sz w:val="22"/>
          <w:szCs w:val="22"/>
        </w:rPr>
        <w:t xml:space="preserve">La </w:t>
      </w:r>
      <w:r>
        <w:rPr>
          <w:rFonts w:ascii="Arial" w:cs="Arial" w:eastAsia="Arial" w:hAnsi="Arial"/>
          <w:b/>
          <w:bCs/>
          <w:color w:val="000000"/>
          <w:sz w:val="22"/>
          <w:szCs w:val="22"/>
        </w:rPr>
        <w:t xml:space="preserve">Doble Hélice</w:t>
      </w:r>
      <w:r>
        <w:rPr>
          <w:rFonts w:ascii="Arial" w:cs="Arial" w:eastAsia="Arial" w:hAnsi="Arial"/>
          <w:color w:val="000000"/>
          <w:sz w:val="22"/>
          <w:szCs w:val="22"/>
        </w:rPr>
        <w:t xml:space="preserve"> es la metáfora central: dos hebras de información corren en paralelo. La primera es lo que el modelo predice. La segunda es lo que el profesional dice que realmente está pasando. Cuando las dos coinciden, el modelo está bien calibrado. Cuando divergen, el sistema aprende de esa diferencia.</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1.2 Estado actual del sistema</w:t>
      </w:r>
    </w:p>
    <w:p>
      <w:pPr>
        <w:shd w:fill="EEEEEE" w:val="clear"/>
        <w:spacing w:after="80" w:before="60"/>
        <w:ind w:left="320" w:right="320"/>
      </w:pPr>
      <w:r>
        <w:rPr>
          <w:rFonts w:ascii="Arial" w:cs="Arial" w:eastAsia="Arial" w:hAnsi="Arial"/>
          <w:b/>
          <w:bCs/>
          <w:color w:val="000000"/>
          <w:sz w:val="20"/>
          <w:szCs w:val="20"/>
        </w:rPr>
        <w:t xml:space="preserve">Fases completadas: </w:t>
      </w:r>
      <w:r>
        <w:rPr>
          <w:rFonts w:ascii="Arial" w:cs="Arial" w:eastAsia="Arial" w:hAnsi="Arial"/>
          <w:color w:val="000000"/>
          <w:sz w:val="20"/>
          <w:szCs w:val="20"/>
        </w:rPr>
        <w:t xml:space="preserve">F-01 Auditoría y F-02 Motor. El backend FastAPI está operativo, los motores de IA están conectados a los modelos reales, y el sistema procesa expedientes en modo local y cloud.</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1.3 Modos de operación</w:t>
      </w:r>
    </w:p>
    <w:p>
      <w:pPr>
        <w:pStyle w:val="ListParagraph"/>
        <w:numPr>
          <w:ilvl w:val="0"/>
          <w:numId w:val="2"/>
        </w:numPr>
        <w:spacing w:after="100" w:before="0"/>
      </w:pPr>
      <w:r>
        <w:rPr>
          <w:rFonts w:ascii="Arial" w:cs="Arial" w:eastAsia="Arial" w:hAnsi="Arial"/>
          <w:color w:val="000000"/>
          <w:sz w:val="22"/>
          <w:szCs w:val="22"/>
        </w:rPr>
        <w:t xml:space="preserve">Modo Cloud — la app se conecta a api.mileforum.ia. Sin instalación de Python. Descarga ligera.</w:t>
      </w:r>
    </w:p>
    <w:p>
      <w:pPr>
        <w:pStyle w:val="ListParagraph"/>
        <w:numPr>
          <w:ilvl w:val="0"/>
          <w:numId w:val="2"/>
        </w:numPr>
        <w:spacing w:after="100" w:before="0"/>
      </w:pPr>
      <w:r>
        <w:rPr>
          <w:rFonts w:ascii="Arial" w:cs="Arial" w:eastAsia="Arial" w:hAnsi="Arial"/>
          <w:color w:val="000000"/>
          <w:sz w:val="22"/>
          <w:szCs w:val="22"/>
        </w:rPr>
        <w:t xml:space="preserve">Modo Local — Python corre en la computadora del usuario. Sin internet. Privacidad total. Este es el modo del piloto hotel.</w:t>
      </w:r>
    </w:p>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2. Arquitectura del Sistema</w:t>
      </w:r>
    </w:p>
    <w:p>
      <w:pPr>
        <w:spacing w:after="160" w:before="0"/>
      </w:pPr>
      <w:r>
        <w:rPr>
          <w:rFonts w:ascii="Arial" w:cs="Arial" w:eastAsia="Arial" w:hAnsi="Arial"/>
          <w:color w:val="000000"/>
          <w:sz w:val="22"/>
          <w:szCs w:val="22"/>
        </w:rPr>
        <w:t xml:space="preserve">El sistema tiene cuatro capas independientes que se comunican por HTTP. Cada capa puede operar de forma independiente siempre que reciba las peticiones en el formato correcto.</w:t>
      </w:r>
    </w:p>
    <w:p>
      <w:pPr>
        <w:spacing w:after="80" w:before="0"/>
      </w:pPr>
      <w:r>
        <w:rPr>
          <w:rFonts w:ascii="Arial" w:cs="Arial" w:eastAsia="Arial" w:hAnsi="Arial"/>
          <w:color w:val="000000"/>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Capa</w:t>
            </w:r>
          </w:p>
        </w:tc>
        <w:tc>
          <w:tcPr>
            <w:tcW w:type="dxa" w:w="25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Componente</w:t>
            </w:r>
          </w:p>
        </w:tc>
        <w:tc>
          <w:tcPr>
            <w:tcW w:type="dxa" w:w="50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Descripción</w:t>
            </w:r>
          </w:p>
        </w:tc>
      </w:tr>
      <w:tr>
        <w:tc>
          <w:tcPr>
            <w:tcW w:type="dxa" w:w="1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1 — Presentación</w:t>
            </w:r>
          </w:p>
        </w:tc>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App Flutter (pendiente F-04)</w:t>
            </w:r>
          </w:p>
        </w:tc>
        <w:tc>
          <w:tcPr>
            <w:tcW w:type="dxa" w:w="5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Interfaz que el usuario ve y toca. Cinco pantallas que se construirán en F-04.</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2 — Backend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FastAPI — puerto 8001</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Servidor Python que recibe peticiones, coordina los motores y maneja la base de datos. Ya operativo.</w:t>
            </w:r>
          </w:p>
        </w:tc>
      </w:tr>
      <w:tr>
        <w:tc>
          <w:tcPr>
            <w:tcW w:type="dxa" w:w="1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3 — Motores IA</w:t>
            </w:r>
          </w:p>
        </w:tc>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Aprendiz + RAG</w:t>
            </w:r>
          </w:p>
        </w:tc>
        <w:tc>
          <w:tcPr>
            <w:tcW w:type="dxa" w:w="5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Motor Aprendiz para dominios unipersonales. Motor RAG para dominios empresariales. Ambos operativos.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4 — Datos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MongoDB / SQLite</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MongoDB en modo cloud. SQLite en modo local — base de datos en la computadora del usuario.</w:t>
            </w:r>
          </w:p>
        </w:tc>
      </w:tr>
    </w:tbl>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2.1 Componentes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Archivo / Carpeta</w:t>
            </w:r>
          </w:p>
        </w:tc>
        <w:tc>
          <w:tcPr>
            <w:tcW w:type="dxa" w:w="60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Qué es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Backend/server.py</w:t>
            </w:r>
          </w:p>
        </w:tc>
        <w:tc>
          <w:tcPr>
            <w:tcW w:type="dxa" w:w="6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Backend FastAPI completo — 12 endpoints, conexión MongoDB, lógica dual cloud/local. No se modifica.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Backend/aprendiz_motor/notebook_engine.py</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Motor Aprendiz real — carga bundles, ejecuta GRU, infiere fase, activa cabezas.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Backend/aprendiz_motor/bundle_loader.py</w:t>
            </w:r>
          </w:p>
        </w:tc>
        <w:tc>
          <w:tcPr>
            <w:tcW w:type="dxa" w:w="6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Conector entre backend y bundles .zip — abre el zip, carga PyTorch, ejecuta inferencia.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Backend/aprendiz_motor/rag_agents/processor.py</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Motor RAG real — pipeline de agentes, lee cucurucho, calcula Doble Hélice, genera TCL.</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app/modo_dual.py</w:t>
            </w:r>
          </w:p>
        </w:tc>
        <w:tc>
          <w:tcPr>
            <w:tcW w:type="dxa" w:w="6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Gestor de modo dual — enruta entre API cloud y motor local con fallback automático.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app/db/sqlite_db.py</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Base de datos local — cuatro tablas: expedientes, documentos, sincronizaciones, decisiones.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app/config_arranque.json</w:t>
            </w:r>
          </w:p>
        </w:tc>
        <w:tc>
          <w:tcPr>
            <w:tcW w:type="dxa" w:w="6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Configuración del modo: local o api. Una línea controla todo el comportamiento.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cucurucho_*.json (×9)</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Configuración sectorial de los nueve dominios empresariales.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*_bundle_v1.zip (×6)</w:t>
            </w:r>
          </w:p>
        </w:tc>
        <w:tc>
          <w:tcPr>
            <w:tcW w:type="dxa" w:w="6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Modelos GRU entrenados — uno por cada dominio unipersonal.</w:t>
            </w:r>
          </w:p>
        </w:tc>
      </w:tr>
    </w:tbl>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3. Dominios Disponibles</w:t>
      </w:r>
    </w:p>
    <w:p>
      <w:pPr>
        <w:spacing w:after="160" w:before="0"/>
      </w:pPr>
      <w:r>
        <w:rPr>
          <w:rFonts w:ascii="Arial" w:cs="Arial" w:eastAsia="Arial" w:hAnsi="Arial"/>
          <w:color w:val="000000"/>
          <w:sz w:val="22"/>
          <w:szCs w:val="22"/>
        </w:rPr>
        <w:t xml:space="preserve">El sistema maneja doce dominios en total: seis unipersonales que usan el Motor Aprendiz y seis empresariales que usan el Motor RAG.</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3.1 Dominios unipersonales — Motor Aprendiz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Dominio</w:t>
            </w:r>
          </w:p>
        </w:tc>
        <w:tc>
          <w:tcPr>
            <w:tcW w:type="dxa" w:w="40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Descripción</w:t>
            </w:r>
          </w:p>
        </w:tc>
        <w:tc>
          <w:tcPr>
            <w:tcW w:type="dxa" w:w="3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Bundle</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Abogado</w:t>
            </w:r>
          </w:p>
        </w:tc>
        <w:tc>
          <w:tcPr>
            <w:tcW w:type="dxa" w:w="4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Gestión de casos legales, expedientes judiciales, dictámenes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abogado_unipersonal_multiceph_bundle_v1.zip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Arquitecto</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Proyectos de diseño, planos, gestión de obra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arquitectura_unipersonal_multiceph_bundle_v1.zip</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Contador</w:t>
            </w:r>
          </w:p>
        </w:tc>
        <w:tc>
          <w:tcPr>
            <w:tcW w:type="dxa" w:w="4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Gestión fiscal, contabilidad, declaraciones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contador_multiceph_bundle_v1.zip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Consultor PyME</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Asesoría empresarial, diagnóstico organizacional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consultor_pyme_multiceph_bundle_v1.zip</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Diseño Producto</w:t>
            </w:r>
          </w:p>
        </w:tc>
        <w:tc>
          <w:tcPr>
            <w:tcW w:type="dxa" w:w="4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Desarrollo de producto, iteraciones de diseño</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diseno_produccion_unipersonal_multiceph_bundle_v1.zip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Operaciones</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Logística, cadena de suministro, operaciones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logistica_multiceph_bundle_v1.zip</w:t>
            </w:r>
          </w:p>
        </w:tc>
      </w:tr>
    </w:tbl>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3.2 Dominios empresariales — Motor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Dominio</w:t>
            </w:r>
          </w:p>
        </w:tc>
        <w:tc>
          <w:tcPr>
            <w:tcW w:type="dxa" w:w="40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Descripción</w:t>
            </w:r>
          </w:p>
        </w:tc>
        <w:tc>
          <w:tcPr>
            <w:tcW w:type="dxa" w:w="3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Cucurucho</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Hotel ★ PILOTO</w:t>
            </w:r>
          </w:p>
        </w:tc>
        <w:tc>
          <w:tcPr>
            <w:tcW w:type="dxa" w:w="4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Gestión hotelera — ocupación, ADR, RevPAR, quejas, NPS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cucurucho_hotel_v1.json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Clínica</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Gestión médica — pacientes, tiempos, incidentes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cucurucho_clinica_v1.json</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Restaurante</w:t>
            </w:r>
          </w:p>
        </w:tc>
        <w:tc>
          <w:tcPr>
            <w:tcW w:type="dxa" w:w="4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Operación gastronómica — rotación, mermas, servicio</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cucurucho_restaurante_v1.json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Retail</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Comercio al por menor — inventario, ventas, devoluciones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cucurucho_retail_v1.json</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Fábrica</w:t>
            </w:r>
          </w:p>
        </w:tc>
        <w:tc>
          <w:tcPr>
            <w:tcW w:type="dxa" w:w="4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Producción industrial — eficiencia, defectos, tiempos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cucurucho_fabrica_v1.json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Logística</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Cadena de suministro — entregas, rutas, inventario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cucurucho_logistica_v1.json</w:t>
            </w:r>
          </w:p>
        </w:tc>
      </w:tr>
    </w:tbl>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4. Referencia de la API</w:t>
      </w:r>
    </w:p>
    <w:p>
      <w:pPr>
        <w:spacing w:after="160" w:before="0"/>
      </w:pPr>
      <w:r>
        <w:rPr>
          <w:rFonts w:ascii="Arial" w:cs="Arial" w:eastAsia="Arial" w:hAnsi="Arial"/>
          <w:color w:val="000000"/>
          <w:sz w:val="22"/>
          <w:szCs w:val="22"/>
        </w:rPr>
        <w:t xml:space="preserve">El backend FastAPI corre en el puerto 8001. La documentación interactiva completa está disponible en </w:t>
      </w:r>
      <w:r>
        <w:rPr>
          <w:rFonts w:ascii="Courier New" w:cs="Courier New" w:eastAsia="Courier New" w:hAnsi="Courier New"/>
          <w:color w:val="000000"/>
          <w:sz w:val="18"/>
          <w:szCs w:val="18"/>
        </w:rPr>
        <w:t xml:space="preserve">http://localhost:8001/docs</w:t>
      </w:r>
      <w:r>
        <w:rPr>
          <w:rFonts w:ascii="Arial" w:cs="Arial" w:eastAsia="Arial" w:hAnsi="Arial"/>
          <w:color w:val="000000"/>
          <w:sz w:val="22"/>
          <w:szCs w:val="22"/>
        </w:rPr>
        <w:t xml:space="preserve"> cuando el servidor está corriendo.</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4.1 Endpoints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826"/>
      </w:tblGrid>
      <w:tr>
        <w:tc>
          <w:tcPr>
            <w:tcW w:type="dxa" w:w="7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Método</w:t>
            </w:r>
          </w:p>
        </w:tc>
        <w:tc>
          <w:tcPr>
            <w:tcW w:type="dxa" w:w="35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48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Descripción</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/api/</w:t>
            </w:r>
          </w:p>
        </w:tc>
        <w:tc>
          <w:tcPr>
            <w:tcW w:type="dxa" w:w="48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Estado general del sistema — confirma que el servidor está corriendo</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GET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/api/motor/estado</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Estado del motor — muestra si el bundle está cargado y en qué modo opera</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/api/dominios</w:t>
            </w:r>
          </w:p>
        </w:tc>
        <w:tc>
          <w:tcPr>
            <w:tcW w:type="dxa" w:w="48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Lista completa de los doce dominios disponibles con su tipo de motor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/api/config/inicializar</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Inicializa el sistema con el dominio y modo seleccionado</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/api/expedientes</w:t>
            </w:r>
          </w:p>
        </w:tc>
        <w:tc>
          <w:tcPr>
            <w:tcW w:type="dxa" w:w="48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Lista todos los expedientes del dominio activo</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/api/expedientes</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Crea un nuevo expediente</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POST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/api/expedientes/{id}/documentos</w:t>
            </w:r>
          </w:p>
        </w:tc>
        <w:tc>
          <w:tcPr>
            <w:tcW w:type="dxa" w:w="48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Sube un documento al expediente — PDF, CSV o texto</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/api/expedientes/{id}/procesar</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Procesa el expediente con el Motor IA correspondiente al dominio</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/api/sincronizaciones</w:t>
            </w:r>
          </w:p>
        </w:tc>
        <w:tc>
          <w:tcPr>
            <w:tcW w:type="dxa" w:w="48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Lista las sincronizaciones — resultados del procesamiento</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/api/sincronizaciones/{id}/decision</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Registra la decisión del profesional: confirmar, corregir o abstenerse</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GET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/docs</w:t>
            </w:r>
          </w:p>
        </w:tc>
        <w:tc>
          <w:tcPr>
            <w:tcW w:type="dxa" w:w="48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Documentación Swagger interactiva — prueba cualquier endpoint desde el navegador</w:t>
            </w:r>
          </w:p>
        </w:tc>
      </w:tr>
    </w:tbl>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4.2 Formato de respuesta del Motor Aprendiz</w:t>
      </w:r>
    </w:p>
    <w:p>
      <w:pPr>
        <w:shd w:fill="F5F5F5" w:val="clear"/>
        <w:spacing w:after="0" w:before="0"/>
        <w:ind w:left="360"/>
      </w:pPr>
      <w:r>
        <w:rPr>
          <w:rFonts w:ascii="Courier New" w:cs="Courier New" w:eastAsia="Courier New" w:hAnsi="Courier New"/>
          <w:color w:val="000000"/>
          <w:sz w:val="18"/>
          <w:szCs w:val="18"/>
        </w:rPr>
        <w:t xml:space="preserve">{"resumen": "Fase 2 — Tensión acumulada detectada",</w:t>
      </w:r>
    </w:p>
    <w:p>
      <w:pPr>
        <w:shd w:fill="F5F5F5" w:val="clear"/>
        <w:spacing w:after="0" w:before="0"/>
        <w:ind w:left="360"/>
      </w:pPr>
      <w:r>
        <w:rPr>
          <w:rFonts w:ascii="Courier New" w:cs="Courier New" w:eastAsia="Courier New" w:hAnsi="Courier New"/>
          <w:color w:val="000000"/>
          <w:sz w:val="18"/>
          <w:szCs w:val="18"/>
        </w:rPr>
        <w:t xml:space="preserve"> "fase": 2,</w:t>
      </w:r>
    </w:p>
    <w:p>
      <w:pPr>
        <w:shd w:fill="F5F5F5" w:val="clear"/>
        <w:spacing w:after="0" w:before="0"/>
        <w:ind w:left="360"/>
      </w:pPr>
      <w:r>
        <w:rPr>
          <w:rFonts w:ascii="Courier New" w:cs="Courier New" w:eastAsia="Courier New" w:hAnsi="Courier New"/>
          <w:color w:val="000000"/>
          <w:sz w:val="18"/>
          <w:szCs w:val="18"/>
        </w:rPr>
        <w:t xml:space="preserve"> "heads": { "trigo": 0.81, "cobre": 0.64, "petroleo": 0.72 },</w:t>
      </w:r>
    </w:p>
    <w:p>
      <w:pPr>
        <w:shd w:fill="F5F5F5" w:val="clear"/>
        <w:spacing w:after="0" w:before="0"/>
        <w:ind w:left="360"/>
      </w:pPr>
      <w:r>
        <w:rPr>
          <w:rFonts w:ascii="Courier New" w:cs="Courier New" w:eastAsia="Courier New" w:hAnsi="Courier New"/>
          <w:color w:val="000000"/>
          <w:sz w:val="18"/>
          <w:szCs w:val="18"/>
        </w:rPr>
        <w:t xml:space="preserve"> "accion_sugerida": "revisar_agenda_casos",</w:t>
      </w:r>
    </w:p>
    <w:p>
      <w:pPr>
        <w:shd w:fill="F5F5F5" w:val="clear"/>
        <w:spacing w:after="0" w:before="0"/>
        <w:ind w:left="360"/>
      </w:pPr>
      <w:r>
        <w:rPr>
          <w:rFonts w:ascii="Courier New" w:cs="Courier New" w:eastAsia="Courier New" w:hAnsi="Courier New"/>
          <w:color w:val="000000"/>
          <w:sz w:val="18"/>
          <w:szCs w:val="18"/>
        </w:rPr>
        <w:t xml:space="preserve"> "sugerencia_tcl": "Tensión operativa elevada. Se recomienda revisar los casos prioritarios.",</w:t>
      </w:r>
    </w:p>
    <w:p>
      <w:pPr>
        <w:shd w:fill="F5F5F5" w:val="clear"/>
        <w:spacing w:after="80" w:before="0"/>
        <w:ind w:left="360"/>
      </w:pPr>
      <w:r>
        <w:rPr>
          <w:rFonts w:ascii="Courier New" w:cs="Courier New" w:eastAsia="Courier New" w:hAnsi="Courier New"/>
          <w:color w:val="000000"/>
          <w:sz w:val="18"/>
          <w:szCs w:val="18"/>
        </w:rPr>
        <w:t xml:space="preserve"> "modo_motor": "bundle_pytorch"}</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4.3 Formato de respuesta del Motor RAG</w:t>
      </w:r>
    </w:p>
    <w:p>
      <w:pPr>
        <w:shd w:fill="F5F5F5" w:val="clear"/>
        <w:spacing w:after="0" w:before="0"/>
        <w:ind w:left="360"/>
      </w:pPr>
      <w:r>
        <w:rPr>
          <w:rFonts w:ascii="Courier New" w:cs="Courier New" w:eastAsia="Courier New" w:hAnsi="Courier New"/>
          <w:color w:val="000000"/>
          <w:sz w:val="18"/>
          <w:szCs w:val="18"/>
        </w:rPr>
        <w:t xml:space="preserve">{"resumen": "Tensión operativa detectada en hotel",</w:t>
      </w:r>
    </w:p>
    <w:p>
      <w:pPr>
        <w:shd w:fill="F5F5F5" w:val="clear"/>
        <w:spacing w:after="0" w:before="0"/>
        <w:ind w:left="360"/>
      </w:pPr>
      <w:r>
        <w:rPr>
          <w:rFonts w:ascii="Courier New" w:cs="Courier New" w:eastAsia="Courier New" w:hAnsi="Courier New"/>
          <w:color w:val="000000"/>
          <w:sz w:val="18"/>
          <w:szCs w:val="18"/>
        </w:rPr>
        <w:t xml:space="preserve"> "doble_helice": { "tension": 0.71, "resiliencia": 0.58, "coherencia": 0.45, "telos": 0.62 },</w:t>
      </w:r>
    </w:p>
    <w:p>
      <w:pPr>
        <w:shd w:fill="F5F5F5" w:val="clear"/>
        <w:spacing w:after="0" w:before="0"/>
        <w:ind w:left="360"/>
      </w:pPr>
      <w:r>
        <w:rPr>
          <w:rFonts w:ascii="Courier New" w:cs="Courier New" w:eastAsia="Courier New" w:hAnsi="Courier New"/>
          <w:color w:val="000000"/>
          <w:sz w:val="18"/>
          <w:szCs w:val="18"/>
        </w:rPr>
        <w:t xml:space="preserve"> "kpis": { "ocupacion": 0.68, "quejas": 8, "nps": 72 },</w:t>
      </w:r>
    </w:p>
    <w:p>
      <w:pPr>
        <w:shd w:fill="F5F5F5" w:val="clear"/>
        <w:spacing w:after="0" w:before="0"/>
        <w:ind w:left="360"/>
      </w:pPr>
      <w:r>
        <w:rPr>
          <w:rFonts w:ascii="Courier New" w:cs="Courier New" w:eastAsia="Courier New" w:hAnsi="Courier New"/>
          <w:color w:val="000000"/>
          <w:sz w:val="18"/>
          <w:szCs w:val="18"/>
        </w:rPr>
        <w:t xml:space="preserve"> "geodesica": "GM2 — Resiliencia",</w:t>
      </w:r>
    </w:p>
    <w:p>
      <w:pPr>
        <w:shd w:fill="F5F5F5" w:val="clear"/>
        <w:spacing w:after="80" w:before="0"/>
        <w:ind w:left="360"/>
      </w:pPr>
      <w:r>
        <w:rPr>
          <w:rFonts w:ascii="Courier New" w:cs="Courier New" w:eastAsia="Courier New" w:hAnsi="Courier New"/>
          <w:color w:val="000000"/>
          <w:sz w:val="18"/>
          <w:szCs w:val="18"/>
        </w:rPr>
        <w:t xml:space="preserve"> "narrativa_tcl": "Tensión T=0.71 supera umbral suave (0.66). 8 quejas esta semana. Activar protocolo de atención al huésped."}</w:t>
      </w:r>
    </w:p>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5. Instalación y Puesta en Marcha</w:t>
      </w:r>
    </w:p>
    <w:p>
      <w:pPr>
        <w:pStyle w:val="Heading2"/>
        <w:spacing w:after="140" w:before="280"/>
      </w:pPr>
      <w:r>
        <w:rPr>
          <w:rFonts w:ascii="Arial" w:cs="Arial" w:eastAsia="Arial" w:hAnsi="Arial"/>
          <w:b/>
          <w:bCs/>
          <w:color w:val="000000"/>
          <w:sz w:val="26"/>
          <w:szCs w:val="26"/>
        </w:rPr>
        <w:t xml:space="preserve">5.1 Requisitos</w:t>
      </w:r>
    </w:p>
    <w:p>
      <w:pPr>
        <w:pStyle w:val="ListParagraph"/>
        <w:numPr>
          <w:ilvl w:val="0"/>
          <w:numId w:val="2"/>
        </w:numPr>
        <w:spacing w:after="100" w:before="0"/>
      </w:pPr>
      <w:r>
        <w:rPr>
          <w:rFonts w:ascii="Arial" w:cs="Arial" w:eastAsia="Arial" w:hAnsi="Arial"/>
          <w:color w:val="000000"/>
          <w:sz w:val="22"/>
          <w:szCs w:val="22"/>
        </w:rPr>
        <w:t xml:space="preserve">Python 3.10 o superior</w:t>
      </w:r>
    </w:p>
    <w:p>
      <w:pPr>
        <w:pStyle w:val="ListParagraph"/>
        <w:numPr>
          <w:ilvl w:val="0"/>
          <w:numId w:val="2"/>
        </w:numPr>
        <w:spacing w:after="100" w:before="0"/>
      </w:pPr>
      <w:r>
        <w:rPr>
          <w:rFonts w:ascii="Arial" w:cs="Arial" w:eastAsia="Arial" w:hAnsi="Arial"/>
          <w:color w:val="000000"/>
          <w:sz w:val="22"/>
          <w:szCs w:val="22"/>
        </w:rPr>
        <w:t xml:space="preserve">pip — gestor de paquetes de Python</w:t>
      </w:r>
    </w:p>
    <w:p>
      <w:pPr>
        <w:pStyle w:val="ListParagraph"/>
        <w:numPr>
          <w:ilvl w:val="0"/>
          <w:numId w:val="2"/>
        </w:numPr>
        <w:spacing w:after="100" w:before="0"/>
      </w:pPr>
      <w:r>
        <w:rPr>
          <w:rFonts w:ascii="Arial" w:cs="Arial" w:eastAsia="Arial" w:hAnsi="Arial"/>
          <w:color w:val="000000"/>
          <w:sz w:val="22"/>
          <w:szCs w:val="22"/>
        </w:rPr>
        <w:t xml:space="preserve">Los bundles .zip en Backend/aprendiz_motor/modelos/</w:t>
      </w:r>
    </w:p>
    <w:p>
      <w:pPr>
        <w:pStyle w:val="ListParagraph"/>
        <w:numPr>
          <w:ilvl w:val="0"/>
          <w:numId w:val="2"/>
        </w:numPr>
        <w:spacing w:after="100" w:before="0"/>
      </w:pPr>
      <w:r>
        <w:rPr>
          <w:rFonts w:ascii="Arial" w:cs="Arial" w:eastAsia="Arial" w:hAnsi="Arial"/>
          <w:color w:val="000000"/>
          <w:sz w:val="22"/>
          <w:szCs w:val="22"/>
        </w:rPr>
        <w:t xml:space="preserve">Los cucuruchos .json en la raíz del repositorio</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5.2 Instalación</w:t>
      </w:r>
    </w:p>
    <w:p>
      <w:pPr>
        <w:shd w:fill="F5F5F5" w:val="clear"/>
        <w:spacing w:after="0" w:before="0"/>
        <w:ind w:left="360"/>
      </w:pPr>
      <w:r>
        <w:rPr>
          <w:rFonts w:ascii="Courier New" w:cs="Courier New" w:eastAsia="Courier New" w:hAnsi="Courier New"/>
          <w:color w:val="000000"/>
          <w:sz w:val="18"/>
          <w:szCs w:val="18"/>
        </w:rPr>
        <w:t xml:space="preserve">cd Backend</w:t>
      </w:r>
    </w:p>
    <w:p>
      <w:pPr>
        <w:shd w:fill="F5F5F5" w:val="clear"/>
        <w:spacing w:after="80" w:before="0"/>
        <w:ind w:left="360"/>
      </w:pPr>
      <w:r>
        <w:rPr>
          <w:rFonts w:ascii="Courier New" w:cs="Courier New" w:eastAsia="Courier New" w:hAnsi="Courier New"/>
          <w:color w:val="000000"/>
          <w:sz w:val="18"/>
          <w:szCs w:val="18"/>
        </w:rPr>
        <w:t xml:space="preserve">pip install -r requirements.txt</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5.3 Levantar el servidor</w:t>
      </w:r>
    </w:p>
    <w:p>
      <w:pPr>
        <w:shd w:fill="F5F5F5" w:val="clear"/>
        <w:spacing w:after="80" w:before="0"/>
        <w:ind w:left="360"/>
      </w:pPr>
      <w:r>
        <w:rPr>
          <w:rFonts w:ascii="Courier New" w:cs="Courier New" w:eastAsia="Courier New" w:hAnsi="Courier New"/>
          <w:color w:val="000000"/>
          <w:sz w:val="18"/>
          <w:szCs w:val="18"/>
        </w:rPr>
        <w:t xml:space="preserve">uvicorn server:app --host 0.0.0.0 --port 8001 --reload</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5.4 Verificar que funciona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626"/>
        <w:gridCol w:w="3000"/>
      </w:tblGrid>
      <w:tr>
        <w:tc>
          <w:tcPr>
            <w:tcW w:type="dxa" w:w="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Paso</w:t>
            </w:r>
          </w:p>
        </w:tc>
        <w:tc>
          <w:tcPr>
            <w:tcW w:type="dxa" w:w="3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c>
          <w:tcPr>
            <w:tcW w:type="dxa" w:w="26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Resultado esperado</w:t>
            </w:r>
          </w:p>
        </w:tc>
      </w:tr>
      <w:tr>
        <w:tc>
          <w:tcPr>
            <w:tcW w:type="dxa" w:w="4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1</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Verificamos el estado del motor</w:t>
            </w:r>
          </w:p>
        </w:tc>
        <w:tc>
          <w:tcPr>
            <w:tcW w:type="dxa" w:w="2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GET /api/motor/estado</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bundle_cargado: true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Inicializamos hotel en modo local</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POST /api/config/inicializar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configurado: true · tipo_dominio: empresa</w:t>
            </w:r>
          </w:p>
        </w:tc>
      </w:tr>
      <w:tr>
        <w:tc>
          <w:tcPr>
            <w:tcW w:type="dxa" w:w="4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3</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Creamos un expediente</w:t>
            </w:r>
          </w:p>
        </w:tc>
        <w:tc>
          <w:tcPr>
            <w:tcW w:type="dxa" w:w="2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POST /api/expedientes</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expediente con ID único</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Subimos un documento</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POST .../documentos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documento registrado · features extraídos</w:t>
            </w:r>
          </w:p>
        </w:tc>
      </w:tr>
      <w:tr>
        <w:tc>
          <w:tcPr>
            <w:tcW w:type="dxa" w:w="4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5</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Procesamos con Motor RAG</w:t>
            </w:r>
          </w:p>
        </w:tc>
        <w:tc>
          <w:tcPr>
            <w:tcW w:type="dxa" w:w="2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000000"/>
                <w:sz w:val="18"/>
                <w:szCs w:val="18"/>
              </w:rPr>
              <w:t xml:space="preserve">POST .../procesar</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resumen + Doble Hélice + narrativa TCL</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6</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Revisamos Swagger</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GET /docs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Documentación interactiva disponible</w:t>
            </w:r>
          </w:p>
        </w:tc>
      </w:tr>
    </w:tbl>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6. Sistema Aprendiz y Ciclo de Aprendizaje</w:t>
      </w:r>
    </w:p>
    <w:p>
      <w:pPr>
        <w:spacing w:after="160" w:before="0"/>
      </w:pPr>
      <w:r>
        <w:rPr>
          <w:rFonts w:ascii="Arial" w:cs="Arial" w:eastAsia="Arial" w:hAnsi="Arial"/>
          <w:color w:val="000000"/>
          <w:sz w:val="22"/>
          <w:szCs w:val="22"/>
        </w:rPr>
        <w:t xml:space="preserve">El Sistema Aprendiz es el mecanismo que permite que el modelo mejore con el tiempo. No es un chatbot — es un observador que registra las decisiones del profesional y las usa para calibrar el modelo.</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6.1 Ciclo de aprendizaje</w:t>
      </w:r>
    </w:p>
    <w:p>
      <w:pPr>
        <w:pStyle w:val="ListParagraph"/>
        <w:numPr>
          <w:ilvl w:val="0"/>
          <w:numId w:val="2"/>
        </w:numPr>
        <w:spacing w:after="100" w:before="0"/>
      </w:pPr>
      <w:r>
        <w:rPr>
          <w:rFonts w:ascii="Arial" w:cs="Arial" w:eastAsia="Arial" w:hAnsi="Arial"/>
          <w:color w:val="000000"/>
          <w:sz w:val="22"/>
          <w:szCs w:val="22"/>
        </w:rPr>
        <w:t xml:space="preserve">El profesional procesa un expediente y recibe una sugerencia del modelo</w:t>
      </w:r>
    </w:p>
    <w:p>
      <w:pPr>
        <w:pStyle w:val="ListParagraph"/>
        <w:numPr>
          <w:ilvl w:val="0"/>
          <w:numId w:val="2"/>
        </w:numPr>
        <w:spacing w:after="100" w:before="0"/>
      </w:pPr>
      <w:r>
        <w:rPr>
          <w:rFonts w:ascii="Arial" w:cs="Arial" w:eastAsia="Arial" w:hAnsi="Arial"/>
          <w:color w:val="000000"/>
          <w:sz w:val="22"/>
          <w:szCs w:val="22"/>
        </w:rPr>
        <w:t xml:space="preserve">El profesional toma una decisión: confirmar si el modelo acertó, corregir si se equivocó, o abstenerse si no tiene información suficiente</w:t>
      </w:r>
    </w:p>
    <w:p>
      <w:pPr>
        <w:pStyle w:val="ListParagraph"/>
        <w:numPr>
          <w:ilvl w:val="0"/>
          <w:numId w:val="2"/>
        </w:numPr>
        <w:spacing w:after="100" w:before="0"/>
      </w:pPr>
      <w:r>
        <w:rPr>
          <w:rFonts w:ascii="Arial" w:cs="Arial" w:eastAsia="Arial" w:hAnsi="Arial"/>
          <w:color w:val="000000"/>
          <w:sz w:val="22"/>
          <w:szCs w:val="22"/>
        </w:rPr>
        <w:t xml:space="preserve">Esa decisión queda registrada en la base de datos (SQLite en modo local, MongoDB en cloud)</w:t>
      </w:r>
    </w:p>
    <w:p>
      <w:pPr>
        <w:pStyle w:val="ListParagraph"/>
        <w:numPr>
          <w:ilvl w:val="0"/>
          <w:numId w:val="2"/>
        </w:numPr>
        <w:spacing w:after="100" w:before="0"/>
      </w:pPr>
      <w:r>
        <w:rPr>
          <w:rFonts w:ascii="Arial" w:cs="Arial" w:eastAsia="Arial" w:hAnsi="Arial"/>
          <w:color w:val="000000"/>
          <w:sz w:val="22"/>
          <w:szCs w:val="22"/>
        </w:rPr>
        <w:t xml:space="preserve">Cada dos meses el Notebook de Ajuste Bimestral lee todas las decisiones acumuladas y reentrana el modelo</w:t>
      </w:r>
    </w:p>
    <w:p>
      <w:pPr>
        <w:pStyle w:val="ListParagraph"/>
        <w:numPr>
          <w:ilvl w:val="0"/>
          <w:numId w:val="2"/>
        </w:numPr>
        <w:spacing w:after="100" w:before="0"/>
      </w:pPr>
      <w:r>
        <w:rPr>
          <w:rFonts w:ascii="Arial" w:cs="Arial" w:eastAsia="Arial" w:hAnsi="Arial"/>
          <w:color w:val="000000"/>
          <w:sz w:val="22"/>
          <w:szCs w:val="22"/>
        </w:rPr>
        <w:t xml:space="preserve">El modelo actualizado se empaqueta en un nuevo bundle .zip y reemplaza al anterior</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6.2 Tipos de decisión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Decisión</w:t>
            </w:r>
          </w:p>
        </w:tc>
        <w:tc>
          <w:tcPr>
            <w:tcW w:type="dxa" w:w="70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Significado</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Confirmar</w:t>
            </w:r>
          </w:p>
        </w:tc>
        <w:tc>
          <w:tcPr>
            <w:tcW w:type="dxa" w:w="7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El profesional valida que la sugerencia del modelo fue correcta. Refuerza el comportamiento del modelo.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Corregir</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El profesional dice qué debería haber recomendado el modelo. El modelo aprende de la diferencia.</w:t>
            </w:r>
          </w:p>
        </w:tc>
      </w:tr>
      <w:tr>
        <w:tc>
          <w:tcPr>
            <w:tcW w:type="dxa" w:w="2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Abstenerse</w:t>
            </w:r>
          </w:p>
        </w:tc>
        <w:tc>
          <w:tcPr>
            <w:tcW w:type="dxa" w:w="70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El profesional no tiene información suficiente para validar. No penaliza ni refuerza al modelo.</w:t>
            </w:r>
          </w:p>
        </w:tc>
      </w:tr>
    </w:tbl>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6.3 Notebooks disponibles</w:t>
      </w:r>
    </w:p>
    <w:p>
      <w:pPr>
        <w:pStyle w:val="ListParagraph"/>
        <w:numPr>
          <w:ilvl w:val="0"/>
          <w:numId w:val="2"/>
        </w:numPr>
        <w:spacing w:after="100" w:before="0"/>
      </w:pPr>
      <w:r>
        <w:rPr>
          <w:rFonts w:ascii="Arial" w:cs="Arial" w:eastAsia="Arial" w:hAnsi="Arial"/>
          <w:color w:val="000000"/>
          <w:sz w:val="22"/>
          <w:szCs w:val="22"/>
        </w:rPr>
        <w:t xml:space="preserve">Mileforum_Aprendiz_ejecucion.ipynb — ejecuta el modelo manualmente para pruebas</w:t>
      </w:r>
    </w:p>
    <w:p>
      <w:pPr>
        <w:pStyle w:val="ListParagraph"/>
        <w:numPr>
          <w:ilvl w:val="0"/>
          <w:numId w:val="2"/>
        </w:numPr>
        <w:spacing w:after="100" w:before="0"/>
      </w:pPr>
      <w:r>
        <w:rPr>
          <w:rFonts w:ascii="Arial" w:cs="Arial" w:eastAsia="Arial" w:hAnsi="Arial"/>
          <w:color w:val="000000"/>
          <w:sz w:val="22"/>
          <w:szCs w:val="22"/>
        </w:rPr>
        <w:t xml:space="preserve">Mileforum_Aprendiz_Ajuste_Bimestral_v0_1.ipynb — reentrenamiento del modelo con las decisiones acumuladas</w:t>
      </w:r>
    </w:p>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7. Interfaz de Conexión para Modelo Multicefalar</w:t>
      </w:r>
    </w:p>
    <w:p>
      <w:pPr>
        <w:spacing w:after="160" w:before="0"/>
      </w:pPr>
      <w:r>
        <w:rPr>
          <w:rFonts w:ascii="Arial" w:cs="Arial" w:eastAsia="Arial" w:hAnsi="Arial"/>
          <w:color w:val="000000"/>
          <w:sz w:val="22"/>
          <w:szCs w:val="22"/>
        </w:rPr>
        <w:t xml:space="preserve">El sistema está diseñado para que se puedan agregar nuevos modelos entrenados sin modificar el servidor. La interfaz de conexión es el bundle_loader.py.</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7.1 Estructura de un bundle</w:t>
      </w:r>
    </w:p>
    <w:p>
      <w:pPr>
        <w:pStyle w:val="ListParagraph"/>
        <w:numPr>
          <w:ilvl w:val="0"/>
          <w:numId w:val="2"/>
        </w:numPr>
        <w:spacing w:after="100" w:before="0"/>
      </w:pPr>
      <w:r>
        <w:rPr>
          <w:rFonts w:ascii="Arial" w:cs="Arial" w:eastAsia="Arial" w:hAnsi="Arial"/>
          <w:color w:val="000000"/>
          <w:sz w:val="22"/>
          <w:szCs w:val="22"/>
        </w:rPr>
        <w:t xml:space="preserve">manifest.json — versión, dominio y lista de archivos del bundle</w:t>
      </w:r>
    </w:p>
    <w:p>
      <w:pPr>
        <w:pStyle w:val="ListParagraph"/>
        <w:numPr>
          <w:ilvl w:val="0"/>
          <w:numId w:val="2"/>
        </w:numPr>
        <w:spacing w:after="100" w:before="0"/>
      </w:pPr>
      <w:r>
        <w:rPr>
          <w:rFonts w:ascii="Arial" w:cs="Arial" w:eastAsia="Arial" w:hAnsi="Arial"/>
          <w:color w:val="000000"/>
          <w:sz w:val="22"/>
          <w:szCs w:val="22"/>
        </w:rPr>
        <w:t xml:space="preserve">backbone/phase_rnn_state_dict.pt — pesos del modelo GRU entrenado</w:t>
      </w:r>
    </w:p>
    <w:p>
      <w:pPr>
        <w:pStyle w:val="ListParagraph"/>
        <w:numPr>
          <w:ilvl w:val="0"/>
          <w:numId w:val="2"/>
        </w:numPr>
        <w:spacing w:after="100" w:before="0"/>
      </w:pPr>
      <w:r>
        <w:rPr>
          <w:rFonts w:ascii="Arial" w:cs="Arial" w:eastAsia="Arial" w:hAnsi="Arial"/>
          <w:color w:val="000000"/>
          <w:sz w:val="22"/>
          <w:szCs w:val="22"/>
        </w:rPr>
        <w:t xml:space="preserve">backbone/meta.json — configuración del modelo: features, fases, tipo de red</w:t>
      </w:r>
    </w:p>
    <w:p>
      <w:pPr>
        <w:pStyle w:val="ListParagraph"/>
        <w:numPr>
          <w:ilvl w:val="0"/>
          <w:numId w:val="2"/>
        </w:numPr>
        <w:spacing w:after="100" w:before="0"/>
      </w:pPr>
      <w:r>
        <w:rPr>
          <w:rFonts w:ascii="Arial" w:cs="Arial" w:eastAsia="Arial" w:hAnsi="Arial"/>
          <w:color w:val="000000"/>
          <w:sz w:val="22"/>
          <w:szCs w:val="22"/>
        </w:rPr>
        <w:t xml:space="preserve">backbone/mu.npy y sigma.npy — parámetros de normalización de los features</w:t>
      </w:r>
    </w:p>
    <w:p>
      <w:pPr>
        <w:pStyle w:val="ListParagraph"/>
        <w:numPr>
          <w:ilvl w:val="0"/>
          <w:numId w:val="2"/>
        </w:numPr>
        <w:spacing w:after="100" w:before="0"/>
      </w:pPr>
      <w:r>
        <w:rPr>
          <w:rFonts w:ascii="Arial" w:cs="Arial" w:eastAsia="Arial" w:hAnsi="Arial"/>
          <w:color w:val="000000"/>
          <w:sz w:val="22"/>
          <w:szCs w:val="22"/>
        </w:rPr>
        <w:t xml:space="preserve">heads/{accion}_head/head_spec.json — especificación de cada cabeza especializada</w:t>
      </w:r>
    </w:p>
    <w:p>
      <w:pPr>
        <w:spacing w:after="80" w:before="0"/>
      </w:pPr>
      <w:r>
        <w:rPr>
          <w:rFonts w:ascii="Arial" w:cs="Arial" w:eastAsia="Arial" w:hAnsi="Arial"/>
          <w:color w:val="000000"/>
          <w:sz w:val="22"/>
          <w:szCs w:val="22"/>
        </w:rPr>
        <w:t xml:space="preserve"> </w:t>
      </w:r>
    </w:p>
    <w:p>
      <w:pPr>
        <w:pStyle w:val="Heading2"/>
        <w:spacing w:after="140" w:before="280"/>
      </w:pPr>
      <w:r>
        <w:rPr>
          <w:rFonts w:ascii="Arial" w:cs="Arial" w:eastAsia="Arial" w:hAnsi="Arial"/>
          <w:b/>
          <w:bCs/>
          <w:color w:val="000000"/>
          <w:sz w:val="26"/>
          <w:szCs w:val="26"/>
        </w:rPr>
        <w:t xml:space="preserve">7.2 Cómo agregar un nuevo dominio</w:t>
      </w:r>
    </w:p>
    <w:p>
      <w:pPr>
        <w:pStyle w:val="ListParagraph"/>
        <w:numPr>
          <w:ilvl w:val="0"/>
          <w:numId w:val="2"/>
        </w:numPr>
        <w:spacing w:after="100" w:before="0"/>
      </w:pPr>
      <w:r>
        <w:rPr>
          <w:rFonts w:ascii="Arial" w:cs="Arial" w:eastAsia="Arial" w:hAnsi="Arial"/>
          <w:color w:val="000000"/>
          <w:sz w:val="22"/>
          <w:szCs w:val="22"/>
        </w:rPr>
        <w:t xml:space="preserve">Entrenar el modelo GRU con los datos del nuevo dominio</w:t>
      </w:r>
    </w:p>
    <w:p>
      <w:pPr>
        <w:pStyle w:val="ListParagraph"/>
        <w:numPr>
          <w:ilvl w:val="0"/>
          <w:numId w:val="2"/>
        </w:numPr>
        <w:spacing w:after="100" w:before="0"/>
      </w:pPr>
      <w:r>
        <w:rPr>
          <w:rFonts w:ascii="Arial" w:cs="Arial" w:eastAsia="Arial" w:hAnsi="Arial"/>
          <w:color w:val="000000"/>
          <w:sz w:val="22"/>
          <w:szCs w:val="22"/>
        </w:rPr>
        <w:t xml:space="preserve">Empaquetar el modelo en un .zip con la estructura estándar de bundle</w:t>
      </w:r>
    </w:p>
    <w:p>
      <w:pPr>
        <w:pStyle w:val="ListParagraph"/>
        <w:numPr>
          <w:ilvl w:val="0"/>
          <w:numId w:val="2"/>
        </w:numPr>
        <w:spacing w:after="100" w:before="0"/>
      </w:pPr>
      <w:r>
        <w:rPr>
          <w:rFonts w:ascii="Arial" w:cs="Arial" w:eastAsia="Arial" w:hAnsi="Arial"/>
          <w:color w:val="000000"/>
          <w:sz w:val="22"/>
          <w:szCs w:val="22"/>
        </w:rPr>
        <w:t xml:space="preserve">Copiar el .zip a Backend/aprendiz_motor/modelos/</w:t>
      </w:r>
    </w:p>
    <w:p>
      <w:pPr>
        <w:pStyle w:val="ListParagraph"/>
        <w:numPr>
          <w:ilvl w:val="0"/>
          <w:numId w:val="2"/>
        </w:numPr>
        <w:spacing w:after="100" w:before="0"/>
      </w:pPr>
      <w:r>
        <w:rPr>
          <w:rFonts w:ascii="Arial" w:cs="Arial" w:eastAsia="Arial" w:hAnsi="Arial"/>
          <w:color w:val="000000"/>
          <w:sz w:val="22"/>
          <w:szCs w:val="22"/>
        </w:rPr>
        <w:t xml:space="preserve">Agregar el nombre del dominio al diccionario BUNDLE_NAMES en bundle_loader.py</w:t>
      </w:r>
    </w:p>
    <w:p>
      <w:pPr>
        <w:pStyle w:val="ListParagraph"/>
        <w:numPr>
          <w:ilvl w:val="0"/>
          <w:numId w:val="2"/>
        </w:numPr>
        <w:spacing w:after="100" w:before="0"/>
      </w:pPr>
      <w:r>
        <w:rPr>
          <w:rFonts w:ascii="Arial" w:cs="Arial" w:eastAsia="Arial" w:hAnsi="Arial"/>
          <w:color w:val="000000"/>
          <w:sz w:val="22"/>
          <w:szCs w:val="22"/>
        </w:rPr>
        <w:t xml:space="preserve">El sistema lo detecta automáticamente — no hay que modificar server.py</w:t>
      </w:r>
    </w:p>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8.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Término</w:t>
            </w:r>
          </w:p>
        </w:tc>
        <w:tc>
          <w:tcPr>
            <w:tcW w:type="dxa" w:w="65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Definición</w:t>
            </w:r>
          </w:p>
        </w:tc>
      </w:tr>
      <w:tr>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Portal Episódico</w:t>
            </w:r>
          </w:p>
        </w:tc>
        <w:tc>
          <w:tcPr>
            <w:tcW w:type="dxa" w:w="65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Interfaz donde el profesional registra cada caso o expediente de trabajo.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Doble Hélice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Dos hebras de información en paralelo: predicción del modelo y realidad del profesional.</w:t>
            </w:r>
          </w:p>
        </w:tc>
      </w:tr>
      <w:tr>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Aprendiz</w:t>
            </w:r>
          </w:p>
        </w:tc>
        <w:tc>
          <w:tcPr>
            <w:tcW w:type="dxa" w:w="65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El sistema de IA. Observa, sugiere y aprende de cada decisión del profesional.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Bundle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Archivo .zip que contiene el modelo GRU entrenado, sus parámetros y sus cabezas especializadas.</w:t>
            </w:r>
          </w:p>
        </w:tc>
      </w:tr>
      <w:tr>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Cucurucho</w:t>
            </w:r>
          </w:p>
        </w:tc>
        <w:tc>
          <w:tcPr>
            <w:tcW w:type="dxa" w:w="65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Archivo JSON de configuración sectorial. Define umbrales, agentes y plantillas para un dominio empresarial.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Motor Aprendiz</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Motor de IA para dominios unipersonales. Usa redes GRU multicefalar.</w:t>
            </w:r>
          </w:p>
        </w:tc>
      </w:tr>
      <w:tr>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Motor RAG</w:t>
            </w:r>
          </w:p>
        </w:tc>
        <w:tc>
          <w:tcPr>
            <w:tcW w:type="dxa" w:w="65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Motor de IA para dominios empresariales. Usa pipeline de nueve agentes con cucurucho JSON.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Stub</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Código que tiene la forma correcta pero no hace análisis real. Devuelve valores inventados.</w:t>
            </w:r>
          </w:p>
        </w:tc>
      </w:tr>
      <w:tr>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Narrativa TCL</w:t>
            </w:r>
          </w:p>
        </w:tc>
        <w:tc>
          <w:tcPr>
            <w:tcW w:type="dxa" w:w="65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Texto generado por el sistema en español, legible para el profesional, con la sugerencia de acción.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GRU</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Gated Recurrent Unit — tipo de red neuronal para analizar secuencias temporales.</w:t>
            </w:r>
          </w:p>
        </w:tc>
      </w:tr>
      <w:tr>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Features</w:t>
            </w:r>
          </w:p>
        </w:tc>
        <w:tc>
          <w:tcPr>
            <w:tcW w:type="dxa" w:w="65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Variables numéricas de entrada al modelo: Tensión Elástica, Persistencia, Ruido Institucional, Momento Inercia.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Modo dual</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Sistema que permite operar con la API cloud o con el motor Python local según la configuración.</w:t>
            </w:r>
          </w:p>
        </w:tc>
      </w:tr>
      <w:tr>
        <w:tc>
          <w:tcPr>
            <w:tcW w:type="dxa" w:w="25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color w:val="000000"/>
                <w:sz w:val="19"/>
                <w:szCs w:val="19"/>
              </w:rPr>
              <w:t xml:space="preserve">Fallback</w:t>
            </w:r>
          </w:p>
        </w:tc>
        <w:tc>
          <w:tcPr>
            <w:tcW w:type="dxa" w:w="65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Mecanismo de respaldo: si la API cloud falla, el sistema cambia automáticamente al motor local.</w:t>
            </w:r>
          </w:p>
        </w:tc>
      </w:tr>
    </w:tbl>
    <w:p>
      <w:r>
        <w:br w:type="page"/>
      </w:r>
    </w:p>
    <w:p>
      <w:pPr>
        <w:pStyle w:val="Heading1"/>
        <w:pBdr>
          <w:bottom w:val="single" w:color="000000" w:sz="6" w:space="1"/>
        </w:pBdr>
        <w:spacing w:after="240" w:before="480"/>
      </w:pPr>
      <w:r>
        <w:rPr>
          <w:rFonts w:ascii="Arial" w:cs="Arial" w:eastAsia="Arial" w:hAnsi="Arial"/>
          <w:b/>
          <w:bCs/>
          <w:color w:val="000000"/>
          <w:sz w:val="36"/>
          <w:szCs w:val="36"/>
        </w:rPr>
        <w:t xml:space="preserve">9. Cronograma del Proyecto — Anexo II</w:t>
      </w:r>
    </w:p>
    <w:p>
      <w:pPr>
        <w:spacing w:after="160" w:before="0"/>
      </w:pPr>
      <w:r>
        <w:rPr>
          <w:rFonts w:ascii="Arial" w:cs="Arial" w:eastAsia="Arial" w:hAnsi="Arial"/>
          <w:color w:val="000000"/>
          <w:sz w:val="22"/>
          <w:szCs w:val="22"/>
        </w:rPr>
        <w:t xml:space="preserve">El contrato tiene una duración de doce semanas desde el 23 de marzo de 2026, con dos hitos de control en los que aplica penalización por retraso según la Cláusula Décima Primera.</w:t>
      </w:r>
    </w:p>
    <w:p>
      <w:pPr>
        <w:spacing w:after="80" w:before="0"/>
      </w:pPr>
      <w:r>
        <w:rPr>
          <w:rFonts w:ascii="Arial" w:cs="Arial" w:eastAsia="Arial" w:hAnsi="Arial"/>
          <w:color w:val="000000"/>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800"/>
        <w:gridCol w:w="2126"/>
        <w:gridCol w:w="1800"/>
      </w:tblGrid>
      <w:tr>
        <w:tc>
          <w:tcPr>
            <w:tcW w:type="dxa" w:w="7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Fase</w:t>
            </w:r>
          </w:p>
        </w:tc>
        <w:tc>
          <w:tcPr>
            <w:tcW w:type="dxa" w:w="16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Nombre</w:t>
            </w:r>
          </w:p>
        </w:tc>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Descripción</w:t>
            </w:r>
          </w:p>
        </w:tc>
        <w:tc>
          <w:tcPr>
            <w:tcW w:type="dxa" w:w="2126"/>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Fechas</w:t>
            </w:r>
          </w:p>
        </w:tc>
        <w:tc>
          <w:tcPr>
            <w:tcW w:type="dxa" w:w="1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Estado</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F-01</w:t>
            </w:r>
          </w:p>
        </w:tc>
        <w:tc>
          <w:tcPr>
            <w:tcW w:type="dxa" w:w="16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Auditoría</w:t>
            </w:r>
          </w:p>
        </w:tc>
        <w:tc>
          <w:tcPr>
            <w:tcW w:type="dxa" w:w="28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Revisión del repositorio y generación de documentos</w:t>
            </w:r>
          </w:p>
        </w:tc>
        <w:tc>
          <w:tcPr>
            <w:tcW w:type="dxa" w:w="21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23 mar – 5 abr</w:t>
            </w:r>
          </w:p>
        </w:tc>
        <w:tc>
          <w:tcPr>
            <w:tcW w:type="dxa" w:w="18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center"/>
            </w:pPr>
            <w:r>
              <w:rPr>
                <w:rFonts w:ascii="Arial" w:cs="Arial" w:eastAsia="Arial" w:hAnsi="Arial"/>
                <w:color w:val="000000"/>
                <w:sz w:val="19"/>
                <w:szCs w:val="19"/>
              </w:rPr>
              <w:t xml:space="preserve">Completada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F-02 ⚑</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Motor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Implementación de motores reales — HITO</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6 abr – 19 abr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19"/>
                <w:szCs w:val="19"/>
              </w:rPr>
              <w:t xml:space="preserve">Completada</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F-03</w:t>
            </w:r>
          </w:p>
        </w:tc>
        <w:tc>
          <w:tcPr>
            <w:tcW w:type="dxa" w:w="16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Validación</w:t>
            </w:r>
          </w:p>
        </w:tc>
        <w:tc>
          <w:tcPr>
            <w:tcW w:type="dxa" w:w="28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Pruebas con datos reales del hotel piloto</w:t>
            </w:r>
          </w:p>
        </w:tc>
        <w:tc>
          <w:tcPr>
            <w:tcW w:type="dxa" w:w="21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20 abr – 26 abr</w:t>
            </w:r>
          </w:p>
        </w:tc>
        <w:tc>
          <w:tcPr>
            <w:tcW w:type="dxa" w:w="18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center"/>
            </w:pPr>
            <w:r>
              <w:rPr>
                <w:rFonts w:ascii="Arial" w:cs="Arial" w:eastAsia="Arial" w:hAnsi="Arial"/>
                <w:color w:val="000000"/>
                <w:sz w:val="19"/>
                <w:szCs w:val="19"/>
              </w:rPr>
              <w:t xml:space="preserve">Próxima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F-04 ⚑</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Flutter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App Flutter — cinco pantallas — HITO</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27 abr – 17 may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19"/>
                <w:szCs w:val="19"/>
              </w:rPr>
              <w:t xml:space="preserve">En desarrollo</w:t>
            </w:r>
          </w:p>
        </w:tc>
      </w:tr>
      <w:tr>
        <w:tc>
          <w:tcPr>
            <w:tcW w:type="dxa" w:w="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F-05</w:t>
            </w:r>
          </w:p>
        </w:tc>
        <w:tc>
          <w:tcPr>
            <w:tcW w:type="dxa" w:w="16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Aprendiz</w:t>
            </w:r>
          </w:p>
        </w:tc>
        <w:tc>
          <w:tcPr>
            <w:tcW w:type="dxa" w:w="28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Flujo dual y ciclo de aprendizaje</w:t>
            </w:r>
          </w:p>
        </w:tc>
        <w:tc>
          <w:tcPr>
            <w:tcW w:type="dxa" w:w="2126"/>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color w:val="000000"/>
                <w:sz w:val="19"/>
                <w:szCs w:val="19"/>
              </w:rPr>
              <w:t xml:space="preserve">18 may – 31 may</w:t>
            </w:r>
          </w:p>
        </w:tc>
        <w:tc>
          <w:tcPr>
            <w:tcW w:type="dxa" w:w="18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center"/>
            </w:pPr>
            <w:r>
              <w:rPr>
                <w:rFonts w:ascii="Arial" w:cs="Arial" w:eastAsia="Arial" w:hAnsi="Arial"/>
                <w:color w:val="000000"/>
                <w:sz w:val="19"/>
                <w:szCs w:val="19"/>
              </w:rPr>
              <w:t xml:space="preserve">Pendiente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F-06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Piloto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Piloto real con el hotel y entrega final</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1 jun – 13 jun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19"/>
                <w:szCs w:val="19"/>
              </w:rPr>
              <w:t xml:space="preserve">Pendiente</w:t>
            </w:r>
          </w:p>
        </w:tc>
      </w:tr>
    </w:tbl>
    <w:p>
      <w:pPr>
        <w:spacing w:after="80" w:before="0"/>
      </w:pPr>
      <w:r>
        <w:rPr>
          <w:rFonts w:ascii="Arial" w:cs="Arial" w:eastAsia="Arial" w:hAnsi="Arial"/>
          <w:color w:val="000000"/>
          <w:sz w:val="22"/>
          <w:szCs w:val="22"/>
        </w:rPr>
        <w:t xml:space="preserve"> </w:t>
      </w:r>
    </w:p>
    <w:p>
      <w:pPr>
        <w:shd w:fill="EEEEEE" w:val="clear"/>
        <w:spacing w:after="80" w:before="60"/>
        <w:ind w:left="320" w:right="320"/>
      </w:pPr>
      <w:r>
        <w:rPr>
          <w:rFonts w:ascii="Arial" w:cs="Arial" w:eastAsia="Arial" w:hAnsi="Arial"/>
          <w:b/>
          <w:bCs/>
          <w:color w:val="000000"/>
          <w:sz w:val="20"/>
          <w:szCs w:val="20"/>
        </w:rPr>
        <w:t xml:space="preserve">⚑ Penalización: </w:t>
      </w:r>
      <w:r>
        <w:rPr>
          <w:rFonts w:ascii="Arial" w:cs="Arial" w:eastAsia="Arial" w:hAnsi="Arial"/>
          <w:color w:val="000000"/>
          <w:sz w:val="20"/>
          <w:szCs w:val="20"/>
        </w:rPr>
        <w:t xml:space="preserve">2% del valor del contrato por semana de retraso en los hitos F-02 (19 de abril) y F-04 (17 de mayo). Máximo 10% acumulado según Cláusula Décima Primera.</w:t>
      </w:r>
    </w:p>
    <w:p>
      <w:pPr>
        <w:spacing w:after="80" w:before="0"/>
      </w:pPr>
      <w:r>
        <w:rPr>
          <w:rFonts w:ascii="Arial" w:cs="Arial" w:eastAsia="Arial" w:hAnsi="Arial"/>
          <w:color w:val="000000"/>
          <w:sz w:val="22"/>
          <w:szCs w:val="22"/>
        </w:rPr>
        <w:t xml:space="preserve"> </w:t>
      </w:r>
    </w:p>
    <w:p>
      <w:pPr>
        <w:spacing w:after="80" w:before="0"/>
      </w:pPr>
      <w:r>
        <w:rPr>
          <w:rFonts w:ascii="Arial" w:cs="Arial" w:eastAsia="Arial" w:hAnsi="Arial"/>
          <w:color w:val="000000"/>
          <w:sz w:val="22"/>
          <w:szCs w:val="22"/>
        </w:rPr>
        <w:t xml:space="preserve"> </w:t>
      </w:r>
    </w:p>
    <w:p>
      <w:pPr>
        <w:shd w:fill="EEEEEE" w:val="clear"/>
        <w:spacing w:after="80" w:before="60"/>
        <w:ind w:left="320" w:right="320"/>
      </w:pPr>
      <w:r>
        <w:rPr>
          <w:rFonts w:ascii="Arial" w:cs="Arial" w:eastAsia="Arial" w:hAnsi="Arial"/>
          <w:b/>
          <w:bCs/>
          <w:color w:val="000000"/>
          <w:sz w:val="20"/>
          <w:szCs w:val="20"/>
        </w:rPr>
        <w:t xml:space="preserve">Estado actual: </w:t>
      </w:r>
      <w:r>
        <w:rPr>
          <w:rFonts w:ascii="Arial" w:cs="Arial" w:eastAsia="Arial" w:hAnsi="Arial"/>
          <w:color w:val="000000"/>
          <w:sz w:val="20"/>
          <w:szCs w:val="20"/>
        </w:rPr>
        <w:t xml:space="preserve">Cinco de seis entregables del Anexo I completados. El único pendiente es la aplicación Flutter que construiremos en F-04 entre el 27 de abril y el 17 de mayo de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9026"/>
      </w:tabs>
      <w:spacing w:after="0" w:before="80"/>
    </w:pPr>
    <w:r>
      <w:rPr>
        <w:rFonts w:ascii="Arial" w:cs="Arial" w:eastAsia="Arial" w:hAnsi="Arial"/>
        <w:color w:val="555555"/>
        <w:sz w:val="16"/>
        <w:szCs w:val="16"/>
      </w:rPr>
      <w:t xml:space="preserve">Confidencial — Mileforum © 2026</w:t>
    </w:r>
    <w:r>
      <w:rPr>
        <w:rFonts w:ascii="Arial" w:cs="Arial" w:eastAsia="Arial" w:hAnsi="Arial"/>
        <w:color w:val="555555"/>
        <w:sz w:val="16"/>
        <w:szCs w:val="16"/>
      </w:rPr>
      <w:tab/>
      <w:t xml:space="preserve">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120" w:before="0"/>
    </w:pPr>
    <w:r>
      <w:rPr>
        <w:rFonts w:ascii="Arial" w:cs="Arial" w:eastAsia="Arial" w:hAnsi="Arial"/>
        <w:b/>
        <w:bCs/>
        <w:color w:val="000000"/>
        <w:sz w:val="18"/>
        <w:szCs w:val="18"/>
      </w:rPr>
      <w:t xml:space="preserve">MILEFORUM</w:t>
    </w:r>
    <w:r>
      <w:rPr>
        <w:rFonts w:ascii="Arial" w:cs="Arial" w:eastAsia="Arial" w:hAnsi="Arial"/>
        <w:color w:val="555555"/>
        <w:sz w:val="18"/>
        <w:szCs w:val="18"/>
      </w:rPr>
      <w:t xml:space="preserve">   —   Documentación Técnica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2026-04-08T04:42:40.463Z</dcterms:created>
  <dcterms:modified xsi:type="dcterms:W3CDTF">2026-04-08T04:42:40.465Z</dcterms:modified>
</cp:coreProperties>
</file>

<file path=docProps/custom.xml><?xml version="1.0" encoding="utf-8"?>
<Properties xmlns="http://schemas.openxmlformats.org/officeDocument/2006/custom-properties" xmlns:vt="http://schemas.openxmlformats.org/officeDocument/2006/docPropsVTypes"/>
</file>