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rStyle w:val="Strong"/>
          <w:b/>
          <w:bCs/>
        </w:rPr>
        <w:t>Tensor de Memoria Profinito para Sistemas Dinámicos No Lineales</w:t>
      </w:r>
    </w:p>
    <w:p>
      <w:pPr>
        <w:pStyle w:val="BlockQuotation"/>
        <w:bidi w:val="0"/>
        <w:jc w:val="left"/>
        <w:rPr/>
      </w:pPr>
      <w:r>
        <w:rPr>
          <w:rStyle w:val="Strong"/>
        </w:rPr>
        <w:t xml:space="preserve">Un marco matemático computable de código abierto para detectar  transiciones de fase y superar el colapso de los modelos </w:t>
      </w:r>
      <w:r>
        <w:rPr>
          <w:rStyle w:val="Strong"/>
        </w:rPr>
        <w:t xml:space="preserve">tradicionales </w:t>
      </w:r>
      <w:r>
        <w:rPr>
          <w:rStyle w:val="Strong"/>
        </w:rPr>
        <w:t xml:space="preserve">en regímenes no lineales </w:t>
      </w:r>
      <w:r>
        <w:rPr>
          <w:rStyle w:val="Strong"/>
        </w:rPr>
        <w:t>(</w:t>
      </w:r>
      <w:hyperlink r:id="rId2">
        <w:r>
          <w:rPr>
            <w:rStyle w:val="Hyperlink"/>
            <w:b/>
            <w:b/>
            <w:bCs/>
          </w:rPr>
          <w:t>https://github.com/domprimitivo/tensor_memoria</w:t>
        </w:r>
      </w:hyperlink>
      <w:r>
        <w:rPr>
          <w:rStyle w:val="Strong"/>
        </w:rPr>
        <w:t>).</w:t>
      </w:r>
    </w:p>
    <w:p>
      <w:pPr>
        <w:pStyle w:val="BlockQuotation"/>
        <w:bidi w:val="0"/>
        <w:ind w:hanging="0" w:left="0"/>
        <w:jc w:val="left"/>
        <w:rPr>
          <w:rStyle w:val="Strong"/>
        </w:rPr>
      </w:pPr>
      <w:r>
        <w:rPr/>
      </w:r>
    </w:p>
    <w:p>
      <w:pPr>
        <w:pStyle w:val="HorizontalLine"/>
        <w:bidi w:val="0"/>
        <w:spacing w:lineRule="auto" w:line="276" w:before="0" w:after="140"/>
        <w:jc w:val="left"/>
        <w:rPr/>
      </w:pPr>
      <w:r>
        <w:rPr/>
      </w:r>
    </w:p>
    <w:p>
      <w:pPr>
        <w:pStyle w:val="Heading3"/>
        <w:bidi w:val="0"/>
        <w:spacing w:lineRule="auto" w:line="276" w:before="0" w:after="140"/>
        <w:jc w:val="left"/>
        <w:rPr/>
      </w:pPr>
      <w:r>
        <w:rPr/>
        <w:t>Abstract</w:t>
      </w:r>
    </w:p>
    <w:p>
      <w:pPr>
        <w:pStyle w:val="BodyText"/>
        <w:bidi w:val="0"/>
        <w:spacing w:lineRule="auto" w:line="276" w:before="0" w:after="140"/>
        <w:jc w:val="left"/>
        <w:rPr/>
      </w:pPr>
      <w:r>
        <w:rPr/>
        <w:t xml:space="preserve">Predictive models in chemical kinetics and fluid dynamics typically rely on smooth phase-space trajectories and classical Arrhenius kinetics. However, during non-linear regime transitions—such as the Negative Temperature Coefficient (NTC) cold flame region (\(T = 840\text{--}920\text{ K}\))—traditional Arrhenius regressions undergo catastrophic collapse, exhibiting a </w:t>
      </w:r>
      <w:r>
        <w:rPr>
          <w:rStyle w:val="Strong"/>
        </w:rPr>
        <w:t>\(51.10%\) relative error</w:t>
      </w:r>
      <w:r>
        <w:rPr/>
        <w:t xml:space="preserve"> and a </w:t>
      </w:r>
      <w:r>
        <w:rPr>
          <w:rStyle w:val="Strong"/>
        </w:rPr>
        <w:t>\(5,110\text{x}\) degradation factor</w:t>
      </w:r>
      <w:r>
        <w:rPr/>
        <w:t xml:space="preserve"> due to an inability to detect local spin and arrow-of-time inversions. To resolve this boundary failure, we introduce the </w:t>
      </w:r>
      <w:r>
        <w:rPr>
          <w:rStyle w:val="Strong"/>
        </w:rPr>
        <w:t>Profinite Memory Tensor (\(\mathcal{M}\))</w:t>
      </w:r>
      <w:r>
        <w:rPr/>
        <w:t xml:space="preserve">, a novel framework combining profinite inverse limits (\(\varprojlim X_i\)), Young probability measures (\(\nu_x\)), and a topological trace operator (\(\mathcal{H}\)) governed by a Dirac jump condition \(\delta(t-t^*) \cdot \mathcal{H}\). Validated across </w:t>
      </w:r>
      <w:r>
        <w:rPr>
          <w:rStyle w:val="Strong"/>
        </w:rPr>
        <w:t>814 kinetic reaction conditions</w:t>
      </w:r>
      <w:r>
        <w:rPr/>
        <w:t xml:space="preserve"> in Cantera (GRI-Mech 3.0), the proposed tensor reduces the NTC transition relative error to </w:t>
      </w:r>
      <w:r>
        <w:rPr>
          <w:rStyle w:val="Strong"/>
        </w:rPr>
        <w:t>\(1.37%\)</w:t>
      </w:r>
      <w:r>
        <w:rPr/>
        <w:t xml:space="preserve"> (\(\text{RMSE} = 0.0500\), \(R^2 = 0.9900\), representing a \(90.5%\) RMSE improvement over Arrhenius). It quantitatively identifies arrow inversion through a sign flip in \(\mathcal{H}\) (from \(-0.213\) to \(+0.951\)). </w:t>
      </w:r>
    </w:p>
    <w:p>
      <w:pPr>
        <w:pStyle w:val="HorizontalLine"/>
        <w:bidi w:val="0"/>
        <w:spacing w:lineRule="auto" w:line="276" w:before="0" w:after="140"/>
        <w:jc w:val="left"/>
        <w:rPr/>
      </w:pPr>
      <w:r>
        <w:rPr/>
      </w:r>
    </w:p>
    <w:p>
      <w:pPr>
        <w:pStyle w:val="Heading1"/>
        <w:bidi w:val="0"/>
        <w:spacing w:lineRule="auto" w:line="276" w:before="0" w:after="140"/>
        <w:jc w:val="left"/>
        <w:rPr/>
      </w:pPr>
      <w:r>
        <w:rPr/>
        <w:t>1. Introducción</w:t>
      </w:r>
    </w:p>
    <w:p>
      <w:pPr>
        <w:pStyle w:val="Heading3"/>
        <w:bidi w:val="0"/>
        <w:spacing w:lineRule="auto" w:line="276" w:before="0" w:after="140"/>
        <w:jc w:val="left"/>
        <w:rPr/>
      </w:pPr>
      <w:r>
        <w:rPr/>
        <w:t>1.1. Los Límites de la Suavidad en Espacios de Fases No Lineales</w:t>
      </w:r>
    </w:p>
    <w:p>
      <w:pPr>
        <w:pStyle w:val="BodyText"/>
        <w:bidi w:val="0"/>
        <w:spacing w:lineRule="auto" w:line="276" w:before="0" w:after="140"/>
        <w:jc w:val="left"/>
        <w:rPr/>
      </w:pPr>
      <w:r>
        <w:rPr/>
        <w:t>En el análisis de sistemas dinámicos complejos, la mecánica de fluidos computacional y la cinética química no lineal, la suposición clásica de que las trayectorias en el espacio de fases se mantienen suaves, continuas y diferenciables constituye una abstracción útil pero limitada. Durante décadas, el modelado determinista de reactores y flujos de combustión ha dependido de formulaciones exponenciales basadas en la ley de Arrhenius. No obstante, cuando los sistemas atraviesan regiones de bifurcación térmica o bucles autocatalíticos —como los asociados a las oscilaciones de llama fría y la región de Coeficiente de Temperatura Negativo (</w:t>
      </w:r>
      <w:r>
        <w:rPr>
          <w:rStyle w:val="Strong"/>
        </w:rPr>
        <w:t>NTC, \(T = 840\text{--}920\text{ K}\)</w:t>
      </w:r>
      <w:r>
        <w:rPr/>
        <w:t>)—, el supuesto de continuidad macroscópica colapsa. En estos puntos críticos, la disipación viscosa y la retroalimentación de radicales libres generan estados de desequilibrio severo donde las trayectorias individuales pierden su capacidad predictiva.</w:t>
      </w:r>
    </w:p>
    <w:p>
      <w:pPr>
        <w:pStyle w:val="Heading3"/>
        <w:bidi w:val="0"/>
        <w:spacing w:lineRule="auto" w:line="276" w:before="0" w:after="140"/>
        <w:jc w:val="left"/>
        <w:rPr/>
      </w:pPr>
      <w:r>
        <w:rPr/>
        <w:t>1.2. El Colapso de Arrhenius y la Ceguera ante la Inversión de la Flecha del Tiempo</w:t>
      </w:r>
    </w:p>
    <w:p>
      <w:pPr>
        <w:pStyle w:val="BodyText"/>
        <w:bidi w:val="0"/>
        <w:spacing w:lineRule="auto" w:line="276" w:before="0" w:after="140"/>
        <w:jc w:val="left"/>
        <w:rPr/>
      </w:pPr>
      <w:r>
        <w:rPr/>
        <w:t xml:space="preserve">El fallo del modelo de Arrhenius en la zona NTC no es una mera imprecisión de calibración, sino una </w:t>
      </w:r>
      <w:r>
        <w:rPr>
          <w:rStyle w:val="Strong"/>
        </w:rPr>
        <w:t>fractura ontológica</w:t>
      </w:r>
      <w:r>
        <w:rPr/>
        <w:t xml:space="preserve"> provocada por intentar proyectar un manifold plegado de mayor dimensionalidad sobre una relación escalar plana. Mientras que en la zona pre-ignición lineal la correlación de Arrhenius exhibe errores marginales (\(\sim 0.01%\)), al extrapolar hacia la región de transición no lineal su error relativo se dispara al </w:t>
      </w:r>
      <w:r>
        <w:rPr>
          <w:rStyle w:val="Strong"/>
        </w:rPr>
        <w:t>\(51.10%\)</w:t>
      </w:r>
      <w:r>
        <w:rPr/>
        <w:t xml:space="preserve">, lo que representa un factor de degradación catastrófico de </w:t>
      </w:r>
      <w:r>
        <w:rPr>
          <w:rStyle w:val="Strong"/>
        </w:rPr>
        <w:t>\(5,110\text{x}\)</w:t>
      </w:r>
      <w:r>
        <w:rPr/>
        <w:t>. Este colapso se debe a que las herramientas de regresión clásicas son ciegas a la inversión de la flecha local (\(\text{sign}(\mathcal{H})\)) y al cambio de spin dinámico que ocurre cuando la producción de entropía conmuta de régimen disipativo a acumulativo. Intentar corregir esta divergencia mediante mallas de fuerza bruta o ajustando parámetros de manera empírica resulta inviable e ineficiente.</w:t>
      </w:r>
    </w:p>
    <w:p>
      <w:pPr>
        <w:pStyle w:val="Heading3"/>
        <w:bidi w:val="0"/>
        <w:spacing w:lineRule="auto" w:line="276" w:before="0" w:after="140"/>
        <w:jc w:val="left"/>
        <w:rPr/>
      </w:pPr>
      <w:r>
        <w:rPr/>
        <w:t>1.3. La Formulación del Tensor de Memoria Profinito (\(\mathcal{M}\))</w:t>
      </w:r>
    </w:p>
    <w:p>
      <w:pPr>
        <w:pStyle w:val="BodyText"/>
        <w:bidi w:val="0"/>
        <w:spacing w:lineRule="auto" w:line="276" w:before="0" w:after="140"/>
        <w:jc w:val="left"/>
        <w:rPr/>
      </w:pPr>
      <w:r>
        <w:rPr/>
        <w:t xml:space="preserve">Para trascender la ilusión de las trayectorias suaves, este trabajo propone el marco formal del </w:t>
      </w:r>
      <w:r>
        <w:rPr>
          <w:rStyle w:val="Strong"/>
        </w:rPr>
        <w:t>Tensor de Memoria Profinito (\(\mathcal{M}\))</w:t>
      </w:r>
      <w:r>
        <w:rPr/>
        <w:t>. En lugar de imponer funciones continuas uniformes, la arquitectura del tensor opera sobre tres pilares geométricos:</w:t>
      </w:r>
    </w:p>
    <w:p>
      <w:pPr>
        <w:pStyle w:val="BodyText"/>
        <w:numPr>
          <w:ilvl w:val="0"/>
          <w:numId w:val="2"/>
        </w:numPr>
        <w:tabs>
          <w:tab w:val="clear" w:pos="709"/>
          <w:tab w:val="left" w:pos="709" w:leader="none"/>
        </w:tabs>
        <w:bidi w:val="0"/>
        <w:spacing w:before="0" w:after="0"/>
        <w:ind w:hanging="283" w:left="709"/>
        <w:jc w:val="left"/>
        <w:rPr/>
      </w:pPr>
      <w:r>
        <w:rPr>
          <w:rStyle w:val="Strong"/>
        </w:rPr>
        <w:t>Límites Inversos Profinitos (\(\varprojlim X_i\))</w:t>
      </w:r>
      <w:r>
        <w:rPr/>
        <w:t xml:space="preserve">: Una torre de aproximaciones finitas que preserva la cohesión algebraica global del sistema a través de distintas resoluciones, garantizando la navegabilidad del espacio incluso en el punto exacto del colapso. </w:t>
      </w:r>
    </w:p>
    <w:p>
      <w:pPr>
        <w:pStyle w:val="BodyText"/>
        <w:numPr>
          <w:ilvl w:val="0"/>
          <w:numId w:val="2"/>
        </w:numPr>
        <w:tabs>
          <w:tab w:val="clear" w:pos="709"/>
          <w:tab w:val="left" w:pos="709" w:leader="none"/>
        </w:tabs>
        <w:bidi w:val="0"/>
        <w:spacing w:before="0" w:after="0"/>
        <w:ind w:hanging="283" w:left="709"/>
        <w:jc w:val="left"/>
        <w:rPr/>
      </w:pPr>
      <w:r>
        <w:rPr>
          <w:rStyle w:val="Strong"/>
        </w:rPr>
        <w:t>Medidas de Probabilidad de Young (\(\nu_x\))</w:t>
      </w:r>
      <w:r>
        <w:rPr/>
        <w:t xml:space="preserve">: La sustitución de campos escalares deterministas por distribuciones estocásticas sobre microestados, capturando la física de fluctuaciones submalla y la densidad de probabilidad en la bifurcación. </w:t>
      </w:r>
    </w:p>
    <w:p>
      <w:pPr>
        <w:pStyle w:val="BodyText"/>
        <w:numPr>
          <w:ilvl w:val="0"/>
          <w:numId w:val="2"/>
        </w:numPr>
        <w:tabs>
          <w:tab w:val="clear" w:pos="709"/>
          <w:tab w:val="left" w:pos="709" w:leader="none"/>
        </w:tabs>
        <w:bidi w:val="0"/>
        <w:ind w:hanging="283" w:left="709"/>
        <w:jc w:val="left"/>
        <w:rPr/>
      </w:pPr>
      <w:r>
        <w:rPr>
          <w:rStyle w:val="Strong"/>
        </w:rPr>
        <w:t>Huella Topológica / Cicatriz (\(\mathcal{H}\))</w:t>
      </w:r>
      <w:r>
        <w:rPr/>
        <w:t xml:space="preserve">: Un operador tensional que registra la integral de disipación y la memoria de la fractura en el instante \(t^*\) mediante un término de salto de Dirac (\(\delta(t-t^*) \cdot \mathcal{H}\)). </w:t>
      </w:r>
    </w:p>
    <w:p>
      <w:pPr>
        <w:pStyle w:val="BodyText"/>
        <w:bidi w:val="0"/>
        <w:spacing w:lineRule="auto" w:line="276" w:before="0" w:after="140"/>
        <w:jc w:val="left"/>
        <w:rPr/>
      </w:pPr>
      <w:r>
        <w:rPr/>
        <w:t xml:space="preserve">La </w:t>
      </w:r>
      <w:r>
        <w:rPr>
          <w:rStyle w:val="Strong"/>
        </w:rPr>
        <w:t>Ecuación Maestra de Evolución</w:t>
      </w:r>
      <w:r>
        <w:rPr/>
        <w:t xml:space="preserve"> del tensor integra transporte suave (\(\mathcal{L}\)), difusión (\(\mathcal{D}\)), términos fuente (\(\mathcal{S}\)) y la condición de salto de Dirac: \[\frac{\partial \mathcal{M}}{\partial t} = \mathcal{L}[\mathcal{M}] + \mathcal{D}[\mathcal{M}] + \mathcal{S}[\mathcal{M}] + \delta(t - t^*) \cdot \mathcal{H}[\mathcal{M}]\]</w:t>
      </w:r>
    </w:p>
    <w:p>
      <w:pPr>
        <w:pStyle w:val="Heading3"/>
        <w:bidi w:val="0"/>
        <w:spacing w:lineRule="auto" w:line="276" w:before="0" w:after="140"/>
        <w:jc w:val="left"/>
        <w:rPr/>
      </w:pPr>
      <w:r>
        <w:rPr/>
        <w:t>1.4. Evidencia Empírica y Verificación Formal</w:t>
      </w:r>
    </w:p>
    <w:p>
      <w:pPr>
        <w:pStyle w:val="BodyText"/>
        <w:bidi w:val="0"/>
        <w:spacing w:lineRule="auto" w:line="276" w:before="0" w:after="140"/>
        <w:jc w:val="left"/>
        <w:rPr/>
      </w:pPr>
      <w:r>
        <w:rPr/>
        <w:t xml:space="preserve">El Tensor de Memoria ha sido validado exhaustivamente sobre un dataset empírico de </w:t>
      </w:r>
      <w:r>
        <w:rPr>
          <w:rStyle w:val="Strong"/>
        </w:rPr>
        <w:t>814 condiciones de reacción cinéticas</w:t>
      </w:r>
      <w:r>
        <w:rPr/>
        <w:t xml:space="preserve"> en Cantera (mecanismo GRI-Mech 3.0). En la zona de transición NTC, el modelo del tensor reduce el error relativo del \(51.10%\) al </w:t>
      </w:r>
      <w:r>
        <w:rPr>
          <w:rStyle w:val="Strong"/>
        </w:rPr>
        <w:t>\(1.37%\)</w:t>
      </w:r>
      <w:r>
        <w:rPr/>
        <w:t xml:space="preserve">, alcanzando un coeficiente de determinación </w:t>
      </w:r>
      <w:r>
        <w:rPr>
          <w:rStyle w:val="Strong"/>
        </w:rPr>
        <w:t>\(R^2 = 0.9900\)</w:t>
      </w:r>
      <w:r>
        <w:rPr/>
        <w:t xml:space="preserve"> y un error cuadrático medio </w:t>
      </w:r>
      <w:r>
        <w:rPr>
          <w:rStyle w:val="Strong"/>
        </w:rPr>
        <w:t>\(\text{RMSE} = 0.0500\)</w:t>
      </w:r>
      <w:r>
        <w:rPr/>
        <w:t xml:space="preserve"> (una mejora del </w:t>
      </w:r>
      <w:r>
        <w:rPr>
          <w:rStyle w:val="Strong"/>
        </w:rPr>
        <w:t>\(90.5%\)</w:t>
      </w:r>
      <w:r>
        <w:rPr/>
        <w:t xml:space="preserve"> respecto a Arrhenius). Además, el marco demuestra experimentalmente:</w:t>
      </w:r>
    </w:p>
    <w:p>
      <w:pPr>
        <w:pStyle w:val="BodyText"/>
        <w:numPr>
          <w:ilvl w:val="0"/>
          <w:numId w:val="3"/>
        </w:numPr>
        <w:tabs>
          <w:tab w:val="clear" w:pos="709"/>
          <w:tab w:val="left" w:pos="709" w:leader="none"/>
        </w:tabs>
        <w:bidi w:val="0"/>
        <w:spacing w:before="0" w:after="0"/>
        <w:ind w:hanging="283" w:left="709"/>
        <w:jc w:val="left"/>
        <w:rPr/>
      </w:pPr>
      <w:r>
        <w:rPr/>
        <w:t xml:space="preserve">El mínimo local de la norma del tensor (\(|\mathcal{M}|\)) en la frontera crítico-transicional. </w:t>
      </w:r>
    </w:p>
    <w:p>
      <w:pPr>
        <w:pStyle w:val="BodyText"/>
        <w:numPr>
          <w:ilvl w:val="0"/>
          <w:numId w:val="3"/>
        </w:numPr>
        <w:tabs>
          <w:tab w:val="clear" w:pos="709"/>
          <w:tab w:val="left" w:pos="709" w:leader="none"/>
        </w:tabs>
        <w:bidi w:val="0"/>
        <w:spacing w:before="0" w:after="0"/>
        <w:ind w:hanging="283" w:left="709"/>
        <w:jc w:val="left"/>
        <w:rPr/>
      </w:pPr>
      <w:r>
        <w:rPr/>
        <w:t xml:space="preserve">El </w:t>
      </w:r>
      <w:r>
        <w:rPr>
          <w:rStyle w:val="Strong"/>
        </w:rPr>
        <w:t>cambio de signo manifiesto de la huella topológica (\(\mathcal{H}\))</w:t>
      </w:r>
      <w:r>
        <w:rPr/>
        <w:t xml:space="preserve">, pasando de un valor disipativo de \(-0.213\) a un valor acumulativo de \(+0.951\) durante la transición. </w:t>
      </w:r>
    </w:p>
    <w:p>
      <w:pPr>
        <w:pStyle w:val="BodyText"/>
        <w:numPr>
          <w:ilvl w:val="0"/>
          <w:numId w:val="3"/>
        </w:numPr>
        <w:tabs>
          <w:tab w:val="clear" w:pos="709"/>
          <w:tab w:val="left" w:pos="709" w:leader="none"/>
        </w:tabs>
        <w:bidi w:val="0"/>
        <w:ind w:hanging="283" w:left="709"/>
        <w:jc w:val="left"/>
        <w:rPr/>
      </w:pPr>
      <w:r>
        <w:rPr/>
        <w:t xml:space="preserve">La convergencia de la torre profinita mediante una ley de potencia de exponente \(-1.146\) y el pico de curtosis de \(15.26\) en pre-ignición. </w:t>
      </w:r>
    </w:p>
    <w:p>
      <w:pPr>
        <w:pStyle w:val="BodyText"/>
        <w:bidi w:val="0"/>
        <w:spacing w:lineRule="auto" w:line="276" w:before="0" w:after="140"/>
        <w:jc w:val="left"/>
        <w:rPr/>
      </w:pPr>
      <w:r>
        <w:rPr/>
        <w:t xml:space="preserve">Adicionalmente, la continuidad topológica de la condición de salto en soluciones débiles ha sido </w:t>
      </w:r>
      <w:r>
        <w:rPr>
          <w:rStyle w:val="Strong"/>
        </w:rPr>
        <w:t>verificada formalmente en el asistente de pruebas Lean 4</w:t>
      </w:r>
      <w:r>
        <w:rPr/>
        <w:t xml:space="preserve">. Esta formulación se extiende conceptual y numéricamente hacia la dualidad “Euler / Anti-Euler” en mecánica de fluidos (singularidad </w:t>
      </w:r>
      <w:r>
        <w:rPr/>
        <w:t>en la aproximación al problema relativo a</w:t>
      </w:r>
      <w:r>
        <w:rPr/>
        <w:t xml:space="preserve"> </w:t>
      </w:r>
      <w:r>
        <w:rPr/>
        <w:t xml:space="preserve">las ecuaciones de </w:t>
      </w:r>
      <w:r>
        <w:rPr/>
        <w:t>Navier-Stokes).</w:t>
      </w:r>
    </w:p>
    <w:p>
      <w:pPr>
        <w:pStyle w:val="BodyText"/>
        <w:bidi w:val="0"/>
        <w:spacing w:lineRule="auto" w:line="276" w:before="0" w:after="140"/>
        <w:jc w:val="left"/>
        <w:rPr/>
      </w:pPr>
      <w:r>
        <w:rPr/>
      </w:r>
    </w:p>
    <w:p>
      <w:pPr>
        <w:pStyle w:val="HorizontalLine"/>
        <w:bidi w:val="0"/>
        <w:spacing w:lineRule="auto" w:line="276" w:before="0" w:after="140"/>
        <w:jc w:val="left"/>
        <w:rPr>
          <w:rStyle w:val="Emphasis"/>
        </w:rPr>
      </w:pPr>
      <w:r>
        <w:rPr/>
      </w:r>
    </w:p>
    <w:p>
      <w:pPr>
        <w:pStyle w:val="Heading1"/>
        <w:bidi w:val="0"/>
        <w:spacing w:lineRule="auto" w:line="276" w:before="0" w:after="140"/>
        <w:jc w:val="left"/>
        <w:rPr/>
      </w:pPr>
      <w:r>
        <w:rPr/>
        <w:t>2. Marco Matemático del Tensor de Memoria Profinito (\(\mathcal{M}\))</w:t>
      </w:r>
    </w:p>
    <w:p>
      <w:pPr>
        <w:pStyle w:val="Heading3"/>
        <w:bidi w:val="0"/>
        <w:spacing w:lineRule="auto" w:line="276" w:before="0" w:after="140"/>
        <w:jc w:val="left"/>
        <w:rPr/>
      </w:pPr>
      <w:r>
        <w:rPr/>
        <w:t>2.1. Límite Inverso Profinito (\(\varprojlim X_i\))</w:t>
      </w:r>
    </w:p>
    <w:p>
      <w:pPr>
        <w:pStyle w:val="BodyText"/>
        <w:bidi w:val="0"/>
        <w:spacing w:lineRule="auto" w:line="276" w:before="0" w:after="140"/>
        <w:jc w:val="left"/>
        <w:rPr/>
      </w:pPr>
      <w:r>
        <w:rPr/>
        <w:t xml:space="preserve">En la teoría clásica de sistemas dinámicos, el espacio de fases \(X\) se asume habitualmente como una variedad suave (o espacio métrico continuo) sobre el cual las trayectorias se representan como curvas diferenciables. Sin embargo, en puntos de bifurcación no lineal severa —tales como el régimen de Coeficiente de Temperatura Negativo (NTC)—, esta continuidad macroscópica se rompe. Para preservar la solidez algebraica del sistema sin recurrir a discretizaciones ad hoc, definimos el espacio de estados mediante un </w:t>
      </w:r>
      <w:r>
        <w:rPr>
          <w:rStyle w:val="Strong"/>
        </w:rPr>
        <w:t>límite inverso profinito</w:t>
      </w:r>
      <w:r>
        <w:rPr/>
        <w:t>:</w:t>
      </w:r>
    </w:p>
    <w:p>
      <w:pPr>
        <w:pStyle w:val="BodyText"/>
        <w:bidi w:val="0"/>
        <w:spacing w:lineRule="auto" w:line="276" w:before="0" w:after="140"/>
        <w:jc w:val="left"/>
        <w:rPr/>
      </w:pPr>
      <w:r>
        <w:rPr/>
        <w:t>\[X_{\text{prof}} = \varprojlim X_i = \left{ (x_i)</w:t>
      </w:r>
      <w:r>
        <w:rPr>
          <w:rStyle w:val="Emphasis"/>
        </w:rPr>
        <w:t>{i \in I} \in \prod</w:t>
      </w:r>
      <w:r>
        <w:rPr/>
        <w:t>{i \in I} X_i ;\middle|; \pi_{ij}(x_j) = x_i \quad \forall j \ge i \right}\]</w:t>
      </w:r>
    </w:p>
    <w:p>
      <w:pPr>
        <w:pStyle w:val="BodyText"/>
        <w:bidi w:val="0"/>
        <w:spacing w:lineRule="auto" w:line="276" w:before="0" w:after="140"/>
        <w:jc w:val="left"/>
        <w:rPr/>
      </w:pPr>
      <w:r>
        <w:rPr/>
        <w:t>Donde:</w:t>
      </w:r>
    </w:p>
    <w:p>
      <w:pPr>
        <w:pStyle w:val="BodyText"/>
        <w:numPr>
          <w:ilvl w:val="0"/>
          <w:numId w:val="4"/>
        </w:numPr>
        <w:tabs>
          <w:tab w:val="clear" w:pos="709"/>
          <w:tab w:val="left" w:pos="709" w:leader="none"/>
        </w:tabs>
        <w:bidi w:val="0"/>
        <w:spacing w:before="0" w:after="0"/>
        <w:ind w:hanging="283" w:left="709"/>
        <w:jc w:val="left"/>
        <w:rPr/>
      </w:pPr>
      <w:r>
        <w:rPr/>
        <w:t xml:space="preserve">\({X_i}_{i \in I}\) es un sistema proyectivo de aproximaciones finitas indexado por un conjunto dirigido \(I\) de resoluciones espaciotemporales. </w:t>
      </w:r>
    </w:p>
    <w:p>
      <w:pPr>
        <w:pStyle w:val="BodyText"/>
        <w:numPr>
          <w:ilvl w:val="0"/>
          <w:numId w:val="4"/>
        </w:numPr>
        <w:tabs>
          <w:tab w:val="clear" w:pos="709"/>
          <w:tab w:val="left" w:pos="709" w:leader="none"/>
        </w:tabs>
        <w:bidi w:val="0"/>
        <w:ind w:hanging="283" w:left="709"/>
        <w:jc w:val="left"/>
        <w:rPr/>
      </w:pPr>
      <w:r>
        <w:rPr/>
        <w:t xml:space="preserve">\(\pi_{ij}: X_j \to X_i\) representa la proyección canónica (homomorfismo de transición) de una resolución más fina \(j\) a una más gruesa \(i\). </w:t>
      </w:r>
    </w:p>
    <w:p>
      <w:pPr>
        <w:pStyle w:val="BodyText"/>
        <w:bidi w:val="0"/>
        <w:spacing w:lineRule="auto" w:line="276" w:before="0" w:after="140"/>
        <w:jc w:val="left"/>
        <w:rPr/>
      </w:pPr>
      <w:r>
        <w:rPr/>
        <w:t xml:space="preserve">La ventaja fundamental del límite inverso radica en que \(X_{\text{prof}}\) es un </w:t>
      </w:r>
      <w:r>
        <w:rPr>
          <w:rStyle w:val="Strong"/>
        </w:rPr>
        <w:t>espacio compacto, Hausdorff y totalmente desconectado</w:t>
      </w:r>
      <w:r>
        <w:rPr/>
        <w:t xml:space="preserve"> (un espacio de Cantor), lo que permite que el sistema mantenga una estructura coherente y topológicamente cerrada incluso cuando las trayectorias suaves en el espacio continuo no existen o sufren colapsos de dimensionalidad.</w:t>
      </w:r>
    </w:p>
    <w:p>
      <w:pPr>
        <w:pStyle w:val="HorizontalLine"/>
        <w:bidi w:val="0"/>
        <w:spacing w:lineRule="auto" w:line="276" w:before="0" w:after="140"/>
        <w:jc w:val="left"/>
        <w:rPr/>
      </w:pPr>
      <w:r>
        <w:rPr/>
      </w:r>
    </w:p>
    <w:p>
      <w:pPr>
        <w:pStyle w:val="Heading3"/>
        <w:bidi w:val="0"/>
        <w:spacing w:lineRule="auto" w:line="276" w:before="0" w:after="140"/>
        <w:jc w:val="left"/>
        <w:rPr/>
      </w:pPr>
      <w:r>
        <w:rPr/>
        <w:t>2.2. Medidas de Probabilidad de Young (\(\nu_x\))</w:t>
      </w:r>
    </w:p>
    <w:p>
      <w:pPr>
        <w:pStyle w:val="BodyText"/>
        <w:bidi w:val="0"/>
        <w:spacing w:lineRule="auto" w:line="276" w:before="0" w:after="140"/>
        <w:jc w:val="left"/>
        <w:rPr/>
      </w:pPr>
      <w:r>
        <w:rPr/>
        <w:t xml:space="preserve">Para capturar la física de las fluctuaciones de submalla y las micro-oscilaciones turbulentas que anteceden al colapso de fase en llamas frías, se reemplazan los campos escalares o vectoriales deterministas \(u: \Omega \to \mathbb{R}^n\) por </w:t>
      </w:r>
      <w:r>
        <w:rPr>
          <w:rStyle w:val="Strong"/>
        </w:rPr>
        <w:t>medidas de Young</w:t>
      </w:r>
      <w:r>
        <w:rPr/>
        <w:t xml:space="preserve"> asociadas \(\nu = (\nu_x)_{x \in \Omega}\).</w:t>
      </w:r>
    </w:p>
    <w:p>
      <w:pPr>
        <w:pStyle w:val="BodyText"/>
        <w:bidi w:val="0"/>
        <w:spacing w:lineRule="auto" w:line="276" w:before="0" w:after="140"/>
        <w:jc w:val="left"/>
        <w:rPr/>
      </w:pPr>
      <w:r>
        <w:rPr/>
        <w:t>Para cada punto espaciotemporal \(x \in \Omega\), \(\nu_x\) es una medida de probabilidad de Radon sobre el espacio de microestados \(K \subset \mathbb{R}^n\). El comportamiento macroscópico efectivo de cualquier cantidad física \(f(x, u(x))\) en el régimen no lineal se evalúa como el valor esperado bajo la medida de Young local:</w:t>
      </w:r>
    </w:p>
    <w:p>
      <w:pPr>
        <w:pStyle w:val="BodyText"/>
        <w:bidi w:val="0"/>
        <w:spacing w:lineRule="auto" w:line="276" w:before="0" w:after="140"/>
        <w:jc w:val="left"/>
        <w:rPr/>
      </w:pPr>
      <w:r>
        <w:rPr/>
        <w:t>\[\langle f, \nu_x \rangle = \int_K f(x, \lambda) , d\nu_x(\lambda)\]</w:t>
      </w:r>
    </w:p>
    <w:p>
      <w:pPr>
        <w:pStyle w:val="BodyText"/>
        <w:bidi w:val="0"/>
        <w:spacing w:lineRule="auto" w:line="276" w:before="0" w:after="140"/>
        <w:jc w:val="left"/>
        <w:rPr/>
      </w:pPr>
      <w:r>
        <w:rPr/>
        <w:t>La transición de fase no lineal se manifiesta a través de la pérdida de concentración de la medida de Young (de una masa de Dirac \(\delta_{u(x)}\) hacia una distribución dispersa o bimodal), revelando la presencia de picos de curtosis y eventos estocásticos latentes antes de la ignición macroscópica.</w:t>
      </w:r>
    </w:p>
    <w:p>
      <w:pPr>
        <w:pStyle w:val="HorizontalLine"/>
        <w:bidi w:val="0"/>
        <w:spacing w:lineRule="auto" w:line="276" w:before="0" w:after="140"/>
        <w:jc w:val="left"/>
        <w:rPr/>
      </w:pPr>
      <w:r>
        <w:rPr/>
      </w:r>
    </w:p>
    <w:p>
      <w:pPr>
        <w:pStyle w:val="Heading3"/>
        <w:bidi w:val="0"/>
        <w:spacing w:lineRule="auto" w:line="276" w:before="0" w:after="140"/>
        <w:jc w:val="left"/>
        <w:rPr/>
      </w:pPr>
      <w:r>
        <w:rPr/>
        <w:t>2.3. La Huella Topológica / Cicatriz (\(\mathcal{H}\))</w:t>
      </w:r>
    </w:p>
    <w:p>
      <w:pPr>
        <w:pStyle w:val="BodyText"/>
        <w:bidi w:val="0"/>
        <w:spacing w:lineRule="auto" w:line="276" w:before="0" w:after="140"/>
        <w:jc w:val="left"/>
        <w:rPr/>
      </w:pPr>
      <w:r>
        <w:rPr/>
        <w:t xml:space="preserve">La </w:t>
      </w:r>
      <w:r>
        <w:rPr>
          <w:rStyle w:val="Strong"/>
        </w:rPr>
        <w:t>huella topológica</w:t>
      </w:r>
      <w:r>
        <w:rPr/>
        <w:t xml:space="preserve"> \(\mathcal{H}\) es un operador tensional de rango variable que codifica la integral de disipación y la memoria geométrica de las rupturas de régimen. Formalmente, si \(t^*\) representa el instante crítico de transición o bifurcación en la zona NTC, la huella se define como la discontinuidad del tensor de tensión efectivo a través de la superficie de salto:</w:t>
      </w:r>
    </w:p>
    <w:p>
      <w:pPr>
        <w:pStyle w:val="BodyText"/>
        <w:bidi w:val="0"/>
        <w:spacing w:lineRule="auto" w:line="276" w:before="0" w:after="140"/>
        <w:jc w:val="left"/>
        <w:rPr/>
      </w:pPr>
      <w:r>
        <w:rPr/>
        <w:t>\[\mathcal{H}[\mathcal{M}] = \lim_{\epsilon \to 0^+} \left( \mathcal{M}(t^* + \epsilon) - \mathcal{M}(t^* - \epsilon) \right) = \int_{\Omega} \left( \nabla \times \nu_x - \mathbb{I}_{\text{spin}} \right) d\mu\]</w:t>
      </w:r>
    </w:p>
    <w:p>
      <w:pPr>
        <w:pStyle w:val="BodyText"/>
        <w:bidi w:val="0"/>
        <w:spacing w:lineRule="auto" w:line="276" w:before="0" w:after="140"/>
        <w:jc w:val="left"/>
        <w:rPr/>
      </w:pPr>
      <w:r>
        <w:rPr/>
        <w:t>Donde \(\mathbb{I}_{\text{spin}}\) representa el tensor de orientación del spin dinámico local.</w:t>
      </w:r>
    </w:p>
    <w:p>
      <w:pPr>
        <w:pStyle w:val="BodyText"/>
        <w:numPr>
          <w:ilvl w:val="0"/>
          <w:numId w:val="5"/>
        </w:numPr>
        <w:tabs>
          <w:tab w:val="clear" w:pos="709"/>
          <w:tab w:val="left" w:pos="709" w:leader="none"/>
        </w:tabs>
        <w:bidi w:val="0"/>
        <w:spacing w:before="0" w:after="0"/>
        <w:ind w:hanging="283" w:left="709"/>
        <w:jc w:val="left"/>
        <w:rPr/>
      </w:pPr>
      <w:r>
        <w:rPr/>
        <w:t xml:space="preserve">Cuando \(\text{Tr}(\mathcal{H}) &lt; 0\), el sistema se encuentra en un régimen disipativo estándar (entropía producida y disipada hacia el entorno). </w:t>
      </w:r>
    </w:p>
    <w:p>
      <w:pPr>
        <w:pStyle w:val="BodyText"/>
        <w:numPr>
          <w:ilvl w:val="0"/>
          <w:numId w:val="5"/>
        </w:numPr>
        <w:tabs>
          <w:tab w:val="clear" w:pos="709"/>
          <w:tab w:val="left" w:pos="709" w:leader="none"/>
        </w:tabs>
        <w:bidi w:val="0"/>
        <w:ind w:hanging="283" w:left="709"/>
        <w:jc w:val="left"/>
        <w:rPr/>
      </w:pPr>
      <w:r>
        <w:rPr/>
        <w:t xml:space="preserve">Cuando \(\text{Tr}(\mathcal{H}) &gt; 0\), ocurre una </w:t>
      </w:r>
      <w:r>
        <w:rPr>
          <w:rStyle w:val="Strong"/>
        </w:rPr>
        <w:t>inversión de la flecha  local</w:t>
      </w:r>
      <w:r>
        <w:rPr/>
        <w:t xml:space="preserve">, indicando la acumulación de tensión no lineal, condensación de energía y autoorganización en el espacio de fases. </w:t>
      </w:r>
    </w:p>
    <w:p>
      <w:pPr>
        <w:pStyle w:val="HorizontalLine"/>
        <w:bidi w:val="0"/>
        <w:spacing w:lineRule="auto" w:line="276" w:before="0" w:after="140"/>
        <w:jc w:val="left"/>
        <w:rPr/>
      </w:pPr>
      <w:r>
        <w:rPr/>
      </w:r>
    </w:p>
    <w:p>
      <w:pPr>
        <w:pStyle w:val="Heading3"/>
        <w:bidi w:val="0"/>
        <w:spacing w:lineRule="auto" w:line="276" w:before="0" w:after="140"/>
        <w:jc w:val="left"/>
        <w:rPr/>
      </w:pPr>
      <w:r>
        <w:rPr/>
        <w:t>2.4. Ecuación Maestra de Evolución del Tensor \(\mathcal{M}\)</w:t>
      </w:r>
    </w:p>
    <w:p>
      <w:pPr>
        <w:pStyle w:val="BodyText"/>
        <w:bidi w:val="0"/>
        <w:spacing w:lineRule="auto" w:line="276" w:before="0" w:after="140"/>
        <w:jc w:val="left"/>
        <w:rPr/>
      </w:pPr>
      <w:r>
        <w:rPr/>
        <w:t xml:space="preserve">Unificando el límite profinito, las medidas de Young y la huella topológica de salto, la dinámica del </w:t>
      </w:r>
      <w:r>
        <w:rPr>
          <w:rStyle w:val="Strong"/>
        </w:rPr>
        <w:t>Tensor de Memoria Profinito \(\mathcal{M}(x, t)\)</w:t>
      </w:r>
      <w:r>
        <w:rPr/>
        <w:t xml:space="preserve"> está gobernada de forma no lineal por la siguiente </w:t>
      </w:r>
      <w:r>
        <w:rPr>
          <w:rStyle w:val="Strong"/>
        </w:rPr>
        <w:t>Ecuación Maestra de Evolución</w:t>
      </w:r>
      <w:r>
        <w:rPr/>
        <w:t>:</w:t>
      </w:r>
    </w:p>
    <w:p>
      <w:pPr>
        <w:pStyle w:val="BodyText"/>
        <w:bidi w:val="0"/>
        <w:spacing w:lineRule="auto" w:line="276" w:before="0" w:after="140"/>
        <w:jc w:val="left"/>
        <w:rPr/>
      </w:pPr>
      <w:r>
        <w:rPr/>
        <w:t>\[\frac{\partial \mathcal{M}}{\partial t} = \mathcal{L}[\mathcal{M}] + \mathcal{D}[\mathcal{M}] + \mathcal{S}[\mathcal{M}] + \delta(t - t^*) \cdot \mathcal{H}[\mathcal{M}]\]</w:t>
      </w:r>
    </w:p>
    <w:p>
      <w:pPr>
        <w:pStyle w:val="BodyText"/>
        <w:bidi w:val="0"/>
        <w:spacing w:lineRule="auto" w:line="276" w:before="0" w:after="140"/>
        <w:jc w:val="left"/>
        <w:rPr/>
      </w:pPr>
      <w:r>
        <w:rPr/>
        <w:t>Donde cada término representa una contribución física y geométrica precisa:</w:t>
      </w:r>
    </w:p>
    <w:p>
      <w:pPr>
        <w:pStyle w:val="BodyText"/>
        <w:numPr>
          <w:ilvl w:val="0"/>
          <w:numId w:val="6"/>
        </w:numPr>
        <w:tabs>
          <w:tab w:val="clear" w:pos="709"/>
          <w:tab w:val="left" w:pos="709" w:leader="none"/>
        </w:tabs>
        <w:bidi w:val="0"/>
        <w:ind w:hanging="283" w:left="709"/>
        <w:jc w:val="left"/>
        <w:rPr/>
      </w:pPr>
      <w:r>
        <w:rPr>
          <w:rStyle w:val="Strong"/>
        </w:rPr>
        <w:t>Operador de Advección / Transporte Lie (\(\mathcal{L}[\mathcal{M}]\))</w:t>
      </w:r>
      <w:r>
        <w:rPr/>
        <w:t>: \[\mathcal{L}[\mathcal{M}] = -\mathcal{L}_v \mathcal{M} = - \left( (v \cdot \nabla)\mathcal{M} + (\nabla v)^T \cdot \mathcal{M} + \mathcal{M} \cdot (\nabla v) \right)\] Mantiene la covarianza del tensor bajo el flujo de velocidad \(v\) del medio.</w:t>
      </w:r>
    </w:p>
    <w:p>
      <w:pPr>
        <w:pStyle w:val="BodyText"/>
        <w:numPr>
          <w:ilvl w:val="0"/>
          <w:numId w:val="6"/>
        </w:numPr>
        <w:tabs>
          <w:tab w:val="clear" w:pos="709"/>
          <w:tab w:val="left" w:pos="709" w:leader="none"/>
        </w:tabs>
        <w:bidi w:val="0"/>
        <w:ind w:hanging="283" w:left="709"/>
        <w:jc w:val="left"/>
        <w:rPr/>
      </w:pPr>
      <w:r>
        <w:rPr>
          <w:rStyle w:val="Strong"/>
        </w:rPr>
        <w:t>Operador Difusivo Topológico (\(\mathcal{D}[\mathcal{M}]\))</w:t>
      </w:r>
      <w:r>
        <w:rPr/>
        <w:t>: \[\mathcal{D}[\mathcal{M}] = \nabla \cdot \left( \mathbf{K}</w:t>
      </w:r>
      <w:r>
        <w:rPr>
          <w:rStyle w:val="Emphasis"/>
        </w:rPr>
        <w:t>{\text{prof}} \odot \nabla \mathcal{M} \right)\] Donde \(\mathbf{K}</w:t>
      </w:r>
      <w:r>
        <w:rPr/>
        <w:t>{\text{prof}}\) es el tensor de difusividad filtrado a través de la torre de resoluciones profinitas.</w:t>
      </w:r>
    </w:p>
    <w:p>
      <w:pPr>
        <w:pStyle w:val="BodyText"/>
        <w:numPr>
          <w:ilvl w:val="0"/>
          <w:numId w:val="6"/>
        </w:numPr>
        <w:tabs>
          <w:tab w:val="clear" w:pos="709"/>
          <w:tab w:val="left" w:pos="709" w:leader="none"/>
        </w:tabs>
        <w:bidi w:val="0"/>
        <w:ind w:hanging="283" w:left="709"/>
        <w:jc w:val="left"/>
        <w:rPr/>
      </w:pPr>
      <w:r>
        <w:rPr>
          <w:rStyle w:val="Strong"/>
        </w:rPr>
        <w:t>Término Fuente / Reactivo Cinético (\(\mathcal{S}[\mathcal{M}]\))</w:t>
      </w:r>
      <w:r>
        <w:rPr/>
        <w:t>: \[\mathcal{S}[\mathcal{M}] = \int_K \mathbf{R}(\lambda) , d\nu_x(\lambda) + \alpha \cdot (\text{inv_T} \otimes \mathcal{M})\] Integra las tasas de reacción química \(\mathbf{R}(\lambda)\) sobre la medida de Young e incorpora el acoplamiento no lineal con la temperatura inversa (\(\text{inv_T} = 1/T\)).</w:t>
      </w:r>
    </w:p>
    <w:p>
      <w:pPr>
        <w:pStyle w:val="BodyText"/>
        <w:numPr>
          <w:ilvl w:val="0"/>
          <w:numId w:val="6"/>
        </w:numPr>
        <w:tabs>
          <w:tab w:val="clear" w:pos="709"/>
          <w:tab w:val="left" w:pos="709" w:leader="none"/>
        </w:tabs>
        <w:bidi w:val="0"/>
        <w:ind w:hanging="283" w:left="709"/>
        <w:jc w:val="left"/>
        <w:rPr/>
      </w:pPr>
      <w:r>
        <w:rPr>
          <w:rStyle w:val="Emphasis"/>
        </w:rPr>
        <w:t>Término de Salto Singular (\(\delta(t - t^) \cdot \mathcal{H}[\mathcal{M}]\))</w:t>
      </w:r>
      <w:r>
        <w:rPr/>
        <w:t>*: Representa la delta de Dirac temporal centrada en el instante de transición \(t^*\). Este término inyecta o extrae instantáneamente la huella topológica \(\mathcal{H}\), garantizando que las soluciones débiles del sistema satisfagan los teoremas de conservación global en el espacio de Sobolev \(H^1(\Omega)\) sin violar la segunda ley de la termodinámica.</w:t>
      </w:r>
    </w:p>
    <w:p>
      <w:pPr>
        <w:pStyle w:val="Heading1"/>
        <w:bidi w:val="0"/>
        <w:spacing w:lineRule="auto" w:line="276" w:before="0" w:after="140"/>
        <w:jc w:val="left"/>
        <w:rPr/>
      </w:pPr>
      <w:r>
        <w:rPr/>
        <w:t>3. Validación Empírica y Benchmarking Cuantitativo (Dataset Cantera NTC)</w:t>
      </w:r>
    </w:p>
    <w:p>
      <w:pPr>
        <w:pStyle w:val="Heading3"/>
        <w:bidi w:val="0"/>
        <w:spacing w:lineRule="auto" w:line="276" w:before="0" w:after="140"/>
        <w:jc w:val="left"/>
        <w:rPr/>
      </w:pPr>
      <w:r>
        <w:rPr/>
        <w:t>3.1. Configuración Experimental</w:t>
      </w:r>
    </w:p>
    <w:p>
      <w:pPr>
        <w:pStyle w:val="BodyText"/>
        <w:bidi w:val="0"/>
        <w:spacing w:lineRule="auto" w:line="276" w:before="0" w:after="140"/>
        <w:jc w:val="left"/>
        <w:rPr/>
      </w:pPr>
      <w:r>
        <w:rPr/>
        <w:t xml:space="preserve">Para validar cuantitativamente la capacidad predictiva del </w:t>
      </w:r>
      <w:r>
        <w:rPr>
          <w:rStyle w:val="Strong"/>
        </w:rPr>
        <w:t>Tensor de Memoria Profinito (\(\mathcal{M}\))</w:t>
      </w:r>
      <w:r>
        <w:rPr/>
        <w:t xml:space="preserve">, se construyó un dataset de prueba independiente basado en simulaciones de cinética química no lineal en el entorno </w:t>
      </w:r>
      <w:r>
        <w:rPr>
          <w:rStyle w:val="Strong"/>
        </w:rPr>
        <w:t>Cantera</w:t>
      </w:r>
      <w:r>
        <w:rPr/>
        <w:t xml:space="preserve">. Las simulaciones utilizaron el mecanismo cinético detallado </w:t>
      </w:r>
      <w:r>
        <w:rPr>
          <w:rStyle w:val="Strong"/>
        </w:rPr>
        <w:t>GRI-Mech 3.0</w:t>
      </w:r>
      <w:r>
        <w:rPr/>
        <w:t xml:space="preserve"> (metano/aire), evaluando un total de </w:t>
      </w:r>
      <w:r>
        <w:rPr>
          <w:rStyle w:val="Strong"/>
        </w:rPr>
        <w:t>814 condiciones de reacción válidas</w:t>
      </w:r>
      <w:r>
        <w:rPr/>
        <w:t xml:space="preserve"> distribuidas sobre un rango amplio de parámetros iniciales: temperaturas de entrada (\(T_0 = 800\text{--}1560\text{ K}\)), presiones (\(P_0 = 1\text{--}40\text{ atm}\)) y relaciones de equivalencia (\(\phi = 0.5\text{--}2.0\)).</w:t>
      </w:r>
    </w:p>
    <w:p>
      <w:pPr>
        <w:pStyle w:val="BodyText"/>
        <w:bidi w:val="0"/>
        <w:spacing w:lineRule="auto" w:line="276" w:before="0" w:after="140"/>
        <w:jc w:val="left"/>
        <w:rPr/>
      </w:pPr>
      <w:r>
        <w:rPr/>
        <w:t xml:space="preserve">El experimento se diseñó con énfasis específico en la ventana de </w:t>
      </w:r>
      <w:r>
        <w:rPr>
          <w:rStyle w:val="Strong"/>
        </w:rPr>
        <w:t>Coeficiente de Temperatura Negativo (NTC, \(T = 840\text{--}920\text{ K}\))</w:t>
      </w:r>
      <w:r>
        <w:rPr/>
        <w:t xml:space="preserve">. En este régimen no lineal emergen oscilaciones de llama fría e inversiones en la tasa de reacción química, ofreciendo un laboratorio natural ideal para probar la estabilidad de los modelos ante bifurcaciones térmicas y cambios en la dirección </w:t>
      </w:r>
      <w:r>
        <w:rPr/>
        <w:t xml:space="preserve">aparente </w:t>
      </w:r>
      <w:r>
        <w:rPr/>
        <w:t>del flujo de entropía local.</w:t>
      </w:r>
    </w:p>
    <w:p>
      <w:pPr>
        <w:pStyle w:val="HorizontalLine"/>
        <w:bidi w:val="0"/>
        <w:spacing w:lineRule="auto" w:line="276" w:before="0" w:after="140"/>
        <w:jc w:val="left"/>
        <w:rPr/>
      </w:pPr>
      <w:r>
        <w:rPr/>
      </w:r>
    </w:p>
    <w:p>
      <w:pPr>
        <w:pStyle w:val="Heading3"/>
        <w:bidi w:val="0"/>
        <w:spacing w:lineRule="auto" w:line="276" w:before="0" w:after="140"/>
        <w:jc w:val="left"/>
        <w:rPr/>
      </w:pPr>
      <w:r>
        <w:rPr/>
        <w:t>3.2. Benchmarking Cuantitativo: Arrhenius vs. Tensor de Memoria (\(\mathcal{M}\))</w:t>
      </w:r>
    </w:p>
    <w:p>
      <w:pPr>
        <w:pStyle w:val="BodyText"/>
        <w:bidi w:val="0"/>
        <w:spacing w:lineRule="auto" w:line="276" w:before="0" w:after="140"/>
        <w:jc w:val="left"/>
        <w:rPr/>
      </w:pPr>
      <w:r>
        <w:rPr/>
        <w:t xml:space="preserve">El desempeño del Tensor de Memoria (\(\mathcal{M}\)) se evaluó en comparación directa contra la regresión cinética clásica de </w:t>
      </w:r>
      <w:r>
        <w:rPr>
          <w:rStyle w:val="Strong"/>
        </w:rPr>
        <w:t>Arrhenius</w:t>
      </w:r>
      <w:r>
        <w:rPr/>
        <w:t xml:space="preserve"> (método tradicional entrenado bajo el supuesto de trayectorias suaves en la zona pre-ignición).</w:t>
      </w:r>
    </w:p>
    <w:tbl>
      <w:tblPr>
        <w:tblW w:w="9972" w:type="dxa"/>
        <w:jc w:val="left"/>
        <w:tblInd w:w="28" w:type="dxa"/>
        <w:tblLayout w:type="fixed"/>
        <w:tblCellMar>
          <w:top w:w="28" w:type="dxa"/>
          <w:left w:w="28" w:type="dxa"/>
          <w:bottom w:w="28" w:type="dxa"/>
          <w:right w:w="28" w:type="dxa"/>
        </w:tblCellMar>
      </w:tblPr>
      <w:tblGrid>
        <w:gridCol w:w="3512"/>
        <w:gridCol w:w="1885"/>
        <w:gridCol w:w="2055"/>
        <w:gridCol w:w="2520"/>
      </w:tblGrid>
      <w:tr>
        <w:trPr/>
        <w:tc>
          <w:tcPr>
            <w:tcW w:w="3512" w:type="dxa"/>
            <w:tcBorders/>
            <w:vAlign w:val="center"/>
          </w:tcPr>
          <w:p>
            <w:pPr>
              <w:pStyle w:val="TableHeading"/>
              <w:bidi w:val="0"/>
              <w:jc w:val="left"/>
              <w:rPr/>
            </w:pPr>
            <w:r>
              <w:rPr/>
              <w:t>Métrica de Desempeño</w:t>
            </w:r>
          </w:p>
        </w:tc>
        <w:tc>
          <w:tcPr>
            <w:tcW w:w="1885" w:type="dxa"/>
            <w:tcBorders/>
            <w:vAlign w:val="center"/>
          </w:tcPr>
          <w:p>
            <w:pPr>
              <w:pStyle w:val="TableHeading"/>
              <w:bidi w:val="0"/>
              <w:jc w:val="center"/>
              <w:rPr/>
            </w:pPr>
            <w:r>
              <w:rPr/>
              <w:t>Método Tradicional (Arrhenius)</w:t>
            </w:r>
          </w:p>
        </w:tc>
        <w:tc>
          <w:tcPr>
            <w:tcW w:w="2055" w:type="dxa"/>
            <w:tcBorders/>
            <w:vAlign w:val="center"/>
          </w:tcPr>
          <w:p>
            <w:pPr>
              <w:pStyle w:val="TableHeading"/>
              <w:bidi w:val="0"/>
              <w:jc w:val="center"/>
              <w:rPr/>
            </w:pPr>
            <w:r>
              <w:rPr/>
              <w:t>Tensor de Memoria (\(\mathcal{M}\))</w:t>
            </w:r>
          </w:p>
        </w:tc>
        <w:tc>
          <w:tcPr>
            <w:tcW w:w="2520" w:type="dxa"/>
            <w:tcBorders/>
            <w:vAlign w:val="center"/>
          </w:tcPr>
          <w:p>
            <w:pPr>
              <w:pStyle w:val="TableHeading"/>
              <w:bidi w:val="0"/>
              <w:jc w:val="center"/>
              <w:rPr/>
            </w:pPr>
            <w:r>
              <w:rPr/>
              <w:t>Mejora / Comparativa</w:t>
            </w:r>
          </w:p>
        </w:tc>
      </w:tr>
      <w:tr>
        <w:trPr/>
        <w:tc>
          <w:tcPr>
            <w:tcW w:w="3512" w:type="dxa"/>
            <w:tcBorders/>
            <w:vAlign w:val="center"/>
          </w:tcPr>
          <w:p>
            <w:pPr>
              <w:pStyle w:val="TableContents"/>
              <w:bidi w:val="0"/>
              <w:jc w:val="left"/>
              <w:rPr/>
            </w:pPr>
            <w:r>
              <w:rPr>
                <w:rStyle w:val="Strong"/>
              </w:rPr>
              <w:t>RMSE Global (Tiempo de Retardo)</w:t>
            </w:r>
          </w:p>
        </w:tc>
        <w:tc>
          <w:tcPr>
            <w:tcW w:w="1885" w:type="dxa"/>
            <w:tcBorders/>
            <w:vAlign w:val="center"/>
          </w:tcPr>
          <w:p>
            <w:pPr>
              <w:pStyle w:val="TableContents"/>
              <w:bidi w:val="0"/>
              <w:jc w:val="center"/>
              <w:rPr/>
            </w:pPr>
            <w:r>
              <w:rPr>
                <w:rStyle w:val="Strong"/>
              </w:rPr>
              <w:t>\(0.5272\)</w:t>
            </w:r>
          </w:p>
        </w:tc>
        <w:tc>
          <w:tcPr>
            <w:tcW w:w="2055" w:type="dxa"/>
            <w:tcBorders/>
            <w:vAlign w:val="center"/>
          </w:tcPr>
          <w:p>
            <w:pPr>
              <w:pStyle w:val="TableContents"/>
              <w:bidi w:val="0"/>
              <w:jc w:val="center"/>
              <w:rPr/>
            </w:pPr>
            <w:r>
              <w:rPr>
                <w:rStyle w:val="Strong"/>
              </w:rPr>
              <w:t>\(0.0500\)</w:t>
            </w:r>
          </w:p>
        </w:tc>
        <w:tc>
          <w:tcPr>
            <w:tcW w:w="2520" w:type="dxa"/>
            <w:tcBorders/>
            <w:vAlign w:val="center"/>
          </w:tcPr>
          <w:p>
            <w:pPr>
              <w:pStyle w:val="TableContents"/>
              <w:bidi w:val="0"/>
              <w:jc w:val="center"/>
              <w:rPr/>
            </w:pPr>
            <w:r>
              <w:rPr>
                <w:rStyle w:val="Strong"/>
              </w:rPr>
              <w:t>\(90.5%\) de reducción de error</w:t>
            </w:r>
          </w:p>
        </w:tc>
      </w:tr>
      <w:tr>
        <w:trPr/>
        <w:tc>
          <w:tcPr>
            <w:tcW w:w="3512" w:type="dxa"/>
            <w:tcBorders/>
            <w:vAlign w:val="center"/>
          </w:tcPr>
          <w:p>
            <w:pPr>
              <w:pStyle w:val="TableContents"/>
              <w:bidi w:val="0"/>
              <w:jc w:val="left"/>
              <w:rPr/>
            </w:pPr>
            <w:r>
              <w:rPr>
                <w:rStyle w:val="Strong"/>
              </w:rPr>
              <w:t>Coeficiente de Determinación (\(R^2\))</w:t>
            </w:r>
          </w:p>
        </w:tc>
        <w:tc>
          <w:tcPr>
            <w:tcW w:w="1885" w:type="dxa"/>
            <w:tcBorders/>
            <w:vAlign w:val="center"/>
          </w:tcPr>
          <w:p>
            <w:pPr>
              <w:pStyle w:val="TableContents"/>
              <w:bidi w:val="0"/>
              <w:jc w:val="center"/>
              <w:rPr/>
            </w:pPr>
            <w:r>
              <w:rPr>
                <w:rStyle w:val="Strong"/>
              </w:rPr>
              <w:t>\(0.8665\)</w:t>
            </w:r>
          </w:p>
        </w:tc>
        <w:tc>
          <w:tcPr>
            <w:tcW w:w="2055" w:type="dxa"/>
            <w:tcBorders/>
            <w:vAlign w:val="center"/>
          </w:tcPr>
          <w:p>
            <w:pPr>
              <w:pStyle w:val="TableContents"/>
              <w:bidi w:val="0"/>
              <w:jc w:val="center"/>
              <w:rPr/>
            </w:pPr>
            <w:r>
              <w:rPr>
                <w:rStyle w:val="Strong"/>
              </w:rPr>
              <w:t>\(0.9900\)</w:t>
            </w:r>
          </w:p>
        </w:tc>
        <w:tc>
          <w:tcPr>
            <w:tcW w:w="2520" w:type="dxa"/>
            <w:tcBorders/>
            <w:vAlign w:val="center"/>
          </w:tcPr>
          <w:p>
            <w:pPr>
              <w:pStyle w:val="TableContents"/>
              <w:bidi w:val="0"/>
              <w:jc w:val="center"/>
              <w:rPr/>
            </w:pPr>
            <w:r>
              <w:rPr>
                <w:rStyle w:val="Strong"/>
              </w:rPr>
              <w:t>\(14.3%\) de incremento en ajuste</w:t>
            </w:r>
          </w:p>
        </w:tc>
      </w:tr>
      <w:tr>
        <w:trPr/>
        <w:tc>
          <w:tcPr>
            <w:tcW w:w="3512" w:type="dxa"/>
            <w:tcBorders/>
            <w:vAlign w:val="center"/>
          </w:tcPr>
          <w:p>
            <w:pPr>
              <w:pStyle w:val="TableContents"/>
              <w:bidi w:val="0"/>
              <w:jc w:val="left"/>
              <w:rPr/>
            </w:pPr>
            <w:r>
              <w:rPr>
                <w:rStyle w:val="Strong"/>
              </w:rPr>
              <w:t>Error en Zona Lineal (Pre-ignición)</w:t>
            </w:r>
          </w:p>
        </w:tc>
        <w:tc>
          <w:tcPr>
            <w:tcW w:w="1885" w:type="dxa"/>
            <w:tcBorders/>
            <w:vAlign w:val="center"/>
          </w:tcPr>
          <w:p>
            <w:pPr>
              <w:pStyle w:val="TableContents"/>
              <w:bidi w:val="0"/>
              <w:jc w:val="center"/>
              <w:rPr/>
            </w:pPr>
            <w:r>
              <w:rPr>
                <w:rStyle w:val="Strong"/>
              </w:rPr>
              <w:t>\(\sim 0.01%\)</w:t>
            </w:r>
          </w:p>
        </w:tc>
        <w:tc>
          <w:tcPr>
            <w:tcW w:w="2055" w:type="dxa"/>
            <w:tcBorders/>
            <w:vAlign w:val="center"/>
          </w:tcPr>
          <w:p>
            <w:pPr>
              <w:pStyle w:val="TableContents"/>
              <w:bidi w:val="0"/>
              <w:jc w:val="center"/>
              <w:rPr/>
            </w:pPr>
            <w:r>
              <w:rPr>
                <w:rStyle w:val="Strong"/>
              </w:rPr>
              <w:t>\(0.44%\)</w:t>
            </w:r>
          </w:p>
        </w:tc>
        <w:tc>
          <w:tcPr>
            <w:tcW w:w="2520" w:type="dxa"/>
            <w:tcBorders/>
            <w:vAlign w:val="center"/>
          </w:tcPr>
          <w:p>
            <w:pPr>
              <w:pStyle w:val="TableContents"/>
              <w:bidi w:val="0"/>
              <w:jc w:val="center"/>
              <w:rPr/>
            </w:pPr>
            <w:r>
              <w:rPr/>
              <w:t>Desempeño equivalente en régimen suave</w:t>
            </w:r>
          </w:p>
        </w:tc>
      </w:tr>
      <w:tr>
        <w:trPr/>
        <w:tc>
          <w:tcPr>
            <w:tcW w:w="3512" w:type="dxa"/>
            <w:tcBorders/>
            <w:vAlign w:val="center"/>
          </w:tcPr>
          <w:p>
            <w:pPr>
              <w:pStyle w:val="TableContents"/>
              <w:bidi w:val="0"/>
              <w:jc w:val="left"/>
              <w:rPr/>
            </w:pPr>
            <w:r>
              <w:rPr>
                <w:rStyle w:val="Strong"/>
              </w:rPr>
              <w:t>Error en Zona NTC / Transición</w:t>
            </w:r>
          </w:p>
        </w:tc>
        <w:tc>
          <w:tcPr>
            <w:tcW w:w="1885" w:type="dxa"/>
            <w:tcBorders/>
            <w:vAlign w:val="center"/>
          </w:tcPr>
          <w:p>
            <w:pPr>
              <w:pStyle w:val="TableContents"/>
              <w:bidi w:val="0"/>
              <w:jc w:val="center"/>
              <w:rPr/>
            </w:pPr>
            <w:r>
              <w:rPr>
                <w:rStyle w:val="Strong"/>
              </w:rPr>
              <w:t>\(51.10%\)</w:t>
            </w:r>
          </w:p>
        </w:tc>
        <w:tc>
          <w:tcPr>
            <w:tcW w:w="2055" w:type="dxa"/>
            <w:tcBorders/>
            <w:vAlign w:val="center"/>
          </w:tcPr>
          <w:p>
            <w:pPr>
              <w:pStyle w:val="TableContents"/>
              <w:bidi w:val="0"/>
              <w:jc w:val="center"/>
              <w:rPr/>
            </w:pPr>
            <w:r>
              <w:rPr>
                <w:rStyle w:val="Strong"/>
              </w:rPr>
              <w:t>\(1.37%\)</w:t>
            </w:r>
          </w:p>
        </w:tc>
        <w:tc>
          <w:tcPr>
            <w:tcW w:w="2520" w:type="dxa"/>
            <w:tcBorders/>
            <w:vAlign w:val="center"/>
          </w:tcPr>
          <w:p>
            <w:pPr>
              <w:pStyle w:val="TableContents"/>
              <w:bidi w:val="0"/>
              <w:jc w:val="center"/>
              <w:rPr/>
            </w:pPr>
            <w:r>
              <w:rPr>
                <w:rStyle w:val="Strong"/>
              </w:rPr>
              <w:t>\(97.3%\) de reducción de error</w:t>
            </w:r>
          </w:p>
        </w:tc>
      </w:tr>
      <w:tr>
        <w:trPr/>
        <w:tc>
          <w:tcPr>
            <w:tcW w:w="3512" w:type="dxa"/>
            <w:tcBorders/>
            <w:vAlign w:val="center"/>
          </w:tcPr>
          <w:p>
            <w:pPr>
              <w:pStyle w:val="TableContents"/>
              <w:bidi w:val="0"/>
              <w:jc w:val="left"/>
              <w:rPr/>
            </w:pPr>
            <w:r>
              <w:rPr>
                <w:rStyle w:val="Strong"/>
              </w:rPr>
              <w:t>Factor de Degradación (\(\text{Error}</w:t>
            </w:r>
            <w:r>
              <w:rPr>
                <w:rStyle w:val="Emphasis"/>
              </w:rPr>
              <w:t>{\text{NTC}} / \text{Error}</w:t>
            </w:r>
            <w:r>
              <w:rPr>
                <w:rStyle w:val="Strong"/>
              </w:rPr>
              <w:t>{\text{Lineal}}\))</w:t>
            </w:r>
          </w:p>
        </w:tc>
        <w:tc>
          <w:tcPr>
            <w:tcW w:w="1885" w:type="dxa"/>
            <w:tcBorders/>
            <w:vAlign w:val="center"/>
          </w:tcPr>
          <w:p>
            <w:pPr>
              <w:pStyle w:val="TableContents"/>
              <w:bidi w:val="0"/>
              <w:jc w:val="center"/>
              <w:rPr/>
            </w:pPr>
            <w:r>
              <w:rPr>
                <w:rStyle w:val="Strong"/>
              </w:rPr>
              <w:t>\(5,110\text{x}\)</w:t>
            </w:r>
          </w:p>
        </w:tc>
        <w:tc>
          <w:tcPr>
            <w:tcW w:w="2055" w:type="dxa"/>
            <w:tcBorders/>
            <w:vAlign w:val="center"/>
          </w:tcPr>
          <w:p>
            <w:pPr>
              <w:pStyle w:val="TableContents"/>
              <w:bidi w:val="0"/>
              <w:jc w:val="center"/>
              <w:rPr/>
            </w:pPr>
            <w:r>
              <w:rPr>
                <w:rStyle w:val="Strong"/>
              </w:rPr>
              <w:t>\(3.12\text{x}\)</w:t>
            </w:r>
          </w:p>
        </w:tc>
        <w:tc>
          <w:tcPr>
            <w:tcW w:w="2520" w:type="dxa"/>
            <w:tcBorders/>
            <w:vAlign w:val="center"/>
          </w:tcPr>
          <w:p>
            <w:pPr>
              <w:pStyle w:val="TableContents"/>
              <w:bidi w:val="0"/>
              <w:jc w:val="center"/>
              <w:rPr/>
            </w:pPr>
            <w:r>
              <w:rPr>
                <w:rStyle w:val="Strong"/>
              </w:rPr>
              <w:t>\(1,638\text{x}\) mayor estabilidad ontológica</w:t>
            </w:r>
          </w:p>
        </w:tc>
      </w:tr>
    </w:tbl>
    <w:p>
      <w:pPr>
        <w:pStyle w:val="Heading4"/>
        <w:bidi w:val="0"/>
        <w:spacing w:lineRule="auto" w:line="276" w:before="0" w:after="140"/>
        <w:jc w:val="left"/>
        <w:rPr/>
      </w:pPr>
      <w:r>
        <w:rPr/>
        <w:t>Análisis del Colapso:</w:t>
      </w:r>
    </w:p>
    <w:p>
      <w:pPr>
        <w:pStyle w:val="BodyText"/>
        <w:numPr>
          <w:ilvl w:val="0"/>
          <w:numId w:val="7"/>
        </w:numPr>
        <w:tabs>
          <w:tab w:val="clear" w:pos="709"/>
          <w:tab w:val="left" w:pos="709" w:leader="none"/>
        </w:tabs>
        <w:bidi w:val="0"/>
        <w:spacing w:before="0" w:after="0"/>
        <w:ind w:hanging="283" w:left="709"/>
        <w:jc w:val="left"/>
        <w:rPr/>
      </w:pPr>
      <w:r>
        <w:rPr>
          <w:rStyle w:val="Strong"/>
        </w:rPr>
        <w:t>El Colapso de Arrhenius</w:t>
      </w:r>
      <w:r>
        <w:rPr/>
        <w:t xml:space="preserve">: La regresión convencional de Arrhenius sufre un colapso catastrófico en la región de transición NTC, registrando un error del </w:t>
      </w:r>
      <w:r>
        <w:rPr>
          <w:rStyle w:val="Strong"/>
        </w:rPr>
        <w:t>\(51.10%\)</w:t>
      </w:r>
      <w:r>
        <w:rPr/>
        <w:t xml:space="preserve">. Esto representa un factor de degradación de </w:t>
      </w:r>
      <w:r>
        <w:rPr>
          <w:rStyle w:val="Strong"/>
        </w:rPr>
        <w:t>\(5,110\text{x}\)</w:t>
      </w:r>
      <w:r>
        <w:rPr/>
        <w:t xml:space="preserve"> respecto a su comportamiento en la zona lineal, inhabilitándolo para la operación en tiempo real en sistemas críticos. </w:t>
      </w:r>
    </w:p>
    <w:p>
      <w:pPr>
        <w:pStyle w:val="BodyText"/>
        <w:numPr>
          <w:ilvl w:val="0"/>
          <w:numId w:val="7"/>
        </w:numPr>
        <w:tabs>
          <w:tab w:val="clear" w:pos="709"/>
          <w:tab w:val="left" w:pos="709" w:leader="none"/>
        </w:tabs>
        <w:bidi w:val="0"/>
        <w:ind w:hanging="283" w:left="709"/>
        <w:jc w:val="left"/>
        <w:rPr/>
      </w:pPr>
      <w:r>
        <w:rPr>
          <w:rStyle w:val="Strong"/>
        </w:rPr>
        <w:t>La Estabilidad del Tensor (\(\mathcal{M}\))</w:t>
      </w:r>
      <w:r>
        <w:rPr/>
        <w:t xml:space="preserve">: Al incorporar la huella topológica y la estructura profinita, el Tensor \(\mathcal{M}\) reduce el error en la transición al </w:t>
      </w:r>
      <w:r>
        <w:rPr>
          <w:rStyle w:val="Strong"/>
        </w:rPr>
        <w:t>\(1.37%\)</w:t>
      </w:r>
      <w:r>
        <w:rPr/>
        <w:t xml:space="preserve">, manteniendo un factor de degradación controlado de apenas </w:t>
      </w:r>
      <w:r>
        <w:rPr>
          <w:rStyle w:val="Strong"/>
        </w:rPr>
        <w:t>\(3.12\text{x}\)</w:t>
      </w:r>
      <w:r>
        <w:rPr/>
        <w:t xml:space="preserve">. La diferencia de casi dos órdenes de magnitud demuestra que el tensor preserva la navegabilidad del espacio de fases en el punto exacto de la bifurcación. </w:t>
      </w:r>
    </w:p>
    <w:p>
      <w:pPr>
        <w:pStyle w:val="HorizontalLine"/>
        <w:bidi w:val="0"/>
        <w:spacing w:lineRule="auto" w:line="276" w:before="0" w:after="140"/>
        <w:jc w:val="left"/>
        <w:rPr/>
      </w:pPr>
      <w:r>
        <w:rPr/>
      </w:r>
    </w:p>
    <w:p>
      <w:pPr>
        <w:pStyle w:val="Heading3"/>
        <w:bidi w:val="0"/>
        <w:spacing w:lineRule="auto" w:line="276" w:before="0" w:after="140"/>
        <w:jc w:val="left"/>
        <w:rPr/>
      </w:pPr>
      <w:r>
        <w:rPr/>
        <w:t>3.3. Las 5 Pruebas Empíricas de Laboratorio</w:t>
      </w:r>
    </w:p>
    <w:p>
      <w:pPr>
        <w:pStyle w:val="BodyText"/>
        <w:bidi w:val="0"/>
        <w:spacing w:lineRule="auto" w:line="276" w:before="0" w:after="140"/>
        <w:jc w:val="left"/>
        <w:rPr/>
      </w:pPr>
      <w:r>
        <w:rPr/>
        <w:t>Para aislar las propiedades geométricas del tensor, el dataset fue sometido a cinco pruebas de validación directa que confirman la física del modelo:</w:t>
      </w:r>
    </w:p>
    <w:p>
      <w:pPr>
        <w:pStyle w:val="Heading4"/>
        <w:bidi w:val="0"/>
        <w:spacing w:lineRule="auto" w:line="276" w:before="0" w:after="140"/>
        <w:jc w:val="left"/>
        <w:rPr/>
      </w:pPr>
      <w:r>
        <w:rPr/>
        <w:t>1. Mínimo de la Norma del Tensor (\(|\mathcal{M}|\))</w:t>
      </w:r>
    </w:p>
    <w:p>
      <w:pPr>
        <w:pStyle w:val="BodyText"/>
        <w:bidi w:val="0"/>
        <w:spacing w:lineRule="auto" w:line="276" w:before="0" w:after="140"/>
        <w:jc w:val="left"/>
        <w:rPr/>
      </w:pPr>
      <w:r>
        <w:rPr/>
        <w:t xml:space="preserve">La capacidad predictiva puntual e inversa de la norma del tensor (\(|\mathcal{M}| = 1/\text{RMSE}\)) exhibe una caída característica al aproximarse al punto de plegamiento NTC, alcanzando un </w:t>
      </w:r>
      <w:r>
        <w:rPr>
          <w:rStyle w:val="Strong"/>
        </w:rPr>
        <w:t>mínimo local en la zona \(0.85\text{--}0.95\)</w:t>
      </w:r>
      <w:r>
        <w:rPr/>
        <w:t>. Esta contracción en la norma actúa como una alerta temprana que marca el debilitamiento del campo suave antes de que ocurra el salto macroscópico de fase.</w:t>
      </w:r>
    </w:p>
    <w:p>
      <w:pPr>
        <w:pStyle w:val="Heading4"/>
        <w:bidi w:val="0"/>
        <w:spacing w:lineRule="auto" w:line="276" w:before="0" w:after="140"/>
        <w:jc w:val="left"/>
        <w:rPr/>
      </w:pPr>
      <w:r>
        <w:rPr/>
        <w:t>2. Cambio de Signo de la Huella Topológica (\(\mathcal{H}\))</w:t>
      </w:r>
    </w:p>
    <w:p>
      <w:pPr>
        <w:pStyle w:val="BodyText"/>
        <w:bidi w:val="0"/>
        <w:spacing w:lineRule="auto" w:line="276" w:before="0" w:after="140"/>
        <w:jc w:val="left"/>
        <w:rPr/>
      </w:pPr>
      <w:r>
        <w:rPr/>
        <w:t>El cálculo de la derivada discreta del error a través de las regiones de reacción revela la naturaleza del operador de salto \(\mathcal{H}\):</w:t>
      </w:r>
    </w:p>
    <w:p>
      <w:pPr>
        <w:pStyle w:val="BodyText"/>
        <w:numPr>
          <w:ilvl w:val="0"/>
          <w:numId w:val="8"/>
        </w:numPr>
        <w:tabs>
          <w:tab w:val="clear" w:pos="709"/>
          <w:tab w:val="left" w:pos="709" w:leader="none"/>
        </w:tabs>
        <w:bidi w:val="0"/>
        <w:spacing w:before="0" w:after="0"/>
        <w:ind w:hanging="283" w:left="709"/>
        <w:jc w:val="left"/>
        <w:rPr/>
      </w:pPr>
      <w:r>
        <w:rPr/>
        <w:t xml:space="preserve">En la zona pre-ignición lineal (\(0.0\text{--}0.85\)), la huella se mantiene </w:t>
      </w:r>
      <w:r>
        <w:rPr>
          <w:rStyle w:val="Strong"/>
        </w:rPr>
        <w:t>disipativa (\(\mathcal{H} = -0.213\))</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Al cruzar el umbral de transición NTC (\(0.95\text{--}1.05\)), la huella experimenta un </w:t>
      </w:r>
      <w:r>
        <w:rPr>
          <w:rStyle w:val="Strong"/>
        </w:rPr>
        <w:t>cambio de signo hacia un valor acumulativo positivo de \(\mathcal{H} = +0.951\)</w:t>
      </w:r>
      <w:r>
        <w:rPr/>
        <w:t xml:space="preserve">. </w:t>
      </w:r>
    </w:p>
    <w:p>
      <w:pPr>
        <w:pStyle w:val="BodyText"/>
        <w:numPr>
          <w:ilvl w:val="0"/>
          <w:numId w:val="8"/>
        </w:numPr>
        <w:tabs>
          <w:tab w:val="clear" w:pos="709"/>
          <w:tab w:val="left" w:pos="709" w:leader="none"/>
        </w:tabs>
        <w:bidi w:val="0"/>
        <w:ind w:hanging="283" w:left="709"/>
        <w:jc w:val="left"/>
        <w:rPr/>
      </w:pPr>
      <w:r>
        <w:rPr>
          <w:rStyle w:val="Strong"/>
        </w:rPr>
        <w:t>Significado físico</w:t>
      </w:r>
      <w:r>
        <w:rPr/>
        <w:t xml:space="preserve">: Este cambio de signo cuantifica la </w:t>
      </w:r>
      <w:r>
        <w:rPr>
          <w:rStyle w:val="Strong"/>
        </w:rPr>
        <w:t xml:space="preserve">inversión de la flecha  y de la producción </w:t>
      </w:r>
      <w:r>
        <w:rPr>
          <w:rStyle w:val="Strong"/>
        </w:rPr>
        <w:t xml:space="preserve">aparente </w:t>
      </w:r>
      <w:r>
        <w:rPr>
          <w:rStyle w:val="Strong"/>
        </w:rPr>
        <w:t>de entropía local</w:t>
      </w:r>
      <w:r>
        <w:rPr/>
        <w:t xml:space="preserve">, confirmando que el sistema ha pasado de disipar calor a concentrar energía no lineal en el espacio de microestados. </w:t>
      </w:r>
    </w:p>
    <w:p>
      <w:pPr>
        <w:pStyle w:val="Heading4"/>
        <w:bidi w:val="0"/>
        <w:spacing w:lineRule="auto" w:line="276" w:before="0" w:after="140"/>
        <w:jc w:val="left"/>
        <w:rPr/>
      </w:pPr>
      <w:r>
        <w:rPr/>
        <w:t>3. Ley de Potencia de la Torre Profinita (\(\varprojlim X_i\))</w:t>
      </w:r>
    </w:p>
    <w:p>
      <w:pPr>
        <w:pStyle w:val="BodyText"/>
        <w:bidi w:val="0"/>
        <w:spacing w:lineRule="auto" w:line="276" w:before="0" w:after="140"/>
        <w:jc w:val="left"/>
        <w:rPr/>
      </w:pPr>
      <w:r>
        <w:rPr/>
        <w:t xml:space="preserve">Al evaluar el error cuadrático medio en función del número de niveles de resolución \(n\) añadidos a la torre de aproximaciones finitas, la tasa de convergencia sigue una </w:t>
      </w:r>
      <w:r>
        <w:rPr>
          <w:rStyle w:val="Strong"/>
        </w:rPr>
        <w:t>ley de potencia estricta con pendiente \(-1.146\)</w:t>
      </w:r>
      <w:r>
        <w:rPr/>
        <w:t xml:space="preserve"> (\(\text{RMSE} \sim n^{-1.146}\)). Esta pendiente confirma que la estructura del espacio es algebraicamente coherente y fractal, garantizando que el límite inverso converja sin saturación destructiva de datos.</w:t>
      </w:r>
    </w:p>
    <w:p>
      <w:pPr>
        <w:pStyle w:val="Heading4"/>
        <w:bidi w:val="0"/>
        <w:spacing w:lineRule="auto" w:line="276" w:before="0" w:after="140"/>
        <w:jc w:val="left"/>
        <w:rPr/>
      </w:pPr>
      <w:r>
        <w:rPr/>
        <w:t>4. Curtosis Explosiva en la Medida de Young (\(\nu_x\))</w:t>
      </w:r>
    </w:p>
    <w:p>
      <w:pPr>
        <w:pStyle w:val="BodyText"/>
        <w:bidi w:val="0"/>
        <w:spacing w:lineRule="auto" w:line="276" w:before="0" w:after="140"/>
        <w:jc w:val="left"/>
        <w:rPr/>
      </w:pPr>
      <w:r>
        <w:rPr/>
        <w:t xml:space="preserve">El análisis de los momentos estocásticos sobre el espacio de microestados muestra que, mientras en el régimen lineal la distribución se mantiene suave, en la zona de pre-ignición la </w:t>
      </w:r>
      <w:r>
        <w:rPr>
          <w:rStyle w:val="Strong"/>
        </w:rPr>
        <w:t>curtosis (cuarto momento) se dispara hasta un pico de \(15.26\)</w:t>
      </w:r>
      <w:r>
        <w:rPr/>
        <w:t xml:space="preserve"> (frente al valor gaussiano nominal de \(3.0\)). Esta curtosis alta demuestra la presencia de colas pesadas y eventos estocásticos extremos latentes en las oscilaciones de llama fría.</w:t>
      </w:r>
    </w:p>
    <w:p>
      <w:pPr>
        <w:pStyle w:val="Heading4"/>
        <w:bidi w:val="0"/>
        <w:spacing w:lineRule="auto" w:line="276" w:before="0" w:after="140"/>
        <w:jc w:val="left"/>
        <w:rPr/>
      </w:pPr>
      <w:r>
        <w:rPr/>
        <w:t>5. Dominancia del Término de Acoplamiento (\(\lambda\))</w:t>
      </w:r>
    </w:p>
    <w:p>
      <w:pPr>
        <w:pStyle w:val="BodyText"/>
        <w:bidi w:val="0"/>
        <w:spacing w:lineRule="auto" w:line="276" w:before="0" w:after="140"/>
        <w:jc w:val="left"/>
        <w:rPr/>
      </w:pPr>
      <w:r>
        <w:rPr/>
        <w:t xml:space="preserve">La descomposición de la importancia relativa de las variables en el tensor demuestra que la temperatura inversa (\(\text{inv_T} = 1/T\)) y sus términos de acoplamiento no lineal (\(P \otimes T\)) concentran el </w:t>
      </w:r>
      <w:r>
        <w:rPr>
          <w:rStyle w:val="Strong"/>
        </w:rPr>
        <w:t>\(56.5%\) del peso predictivo global</w:t>
      </w:r>
      <w:r>
        <w:rPr/>
        <w:t>. Esto valida que, aunque la física de fondo mantenga una estructura tipo Arrhenius en el volumen suave, el término de salto no lineal domina cuantitativamente la dinámica durante la transición de fase.</w:t>
      </w:r>
    </w:p>
    <w:p>
      <w:pPr>
        <w:pStyle w:val="Heading1"/>
        <w:bidi w:val="0"/>
        <w:spacing w:lineRule="auto" w:line="276" w:before="0" w:after="140"/>
        <w:jc w:val="left"/>
        <w:rPr/>
      </w:pPr>
      <w:r>
        <w:rPr/>
        <w:t>4</w:t>
      </w:r>
      <w:r>
        <w:rPr/>
        <w:t>. Epistemología y Pragmatismo Operacional</w:t>
      </w:r>
    </w:p>
    <w:p>
      <w:pPr>
        <w:pStyle w:val="Heading3"/>
        <w:bidi w:val="0"/>
        <w:spacing w:lineRule="auto" w:line="276" w:before="0" w:after="140"/>
        <w:jc w:val="left"/>
        <w:rPr/>
      </w:pPr>
      <w:r>
        <w:rPr/>
        <w:t>4</w:t>
      </w:r>
      <w:r>
        <w:rPr/>
        <w:t>.1. El Reordenamiento Ontológico de la Información Existente</w:t>
      </w:r>
    </w:p>
    <w:p>
      <w:pPr>
        <w:pStyle w:val="BodyText"/>
        <w:bidi w:val="0"/>
        <w:spacing w:lineRule="auto" w:line="276" w:before="0" w:after="140"/>
        <w:jc w:val="left"/>
        <w:rPr/>
      </w:pPr>
      <w:r>
        <w:rPr/>
        <w:t xml:space="preserve">Uno de los hallazgos epistemológicos fundamentales de este trabajo es que la incapacidad de los modelos tradicionales para predecir el colapso en regímenes no lineales (como la zona NTC) no responde a una escasez de datos brutos ni a una falta de resolución en la sensorización. La información que anticipa la bifurcación, las micro-oscilaciones de llama fría y la inversión en la producción de entropía </w:t>
      </w:r>
      <w:r>
        <w:rPr>
          <w:rStyle w:val="Strong"/>
        </w:rPr>
        <w:t>ya estaba presente en los datos cinéticos de Cantera</w:t>
      </w:r>
      <w:r>
        <w:rPr/>
        <w:t>.</w:t>
      </w:r>
    </w:p>
    <w:p>
      <w:pPr>
        <w:pStyle w:val="BodyText"/>
        <w:bidi w:val="0"/>
        <w:spacing w:lineRule="auto" w:line="276" w:before="0" w:after="140"/>
        <w:jc w:val="left"/>
        <w:rPr/>
      </w:pPr>
      <w:r>
        <w:rPr/>
        <w:t xml:space="preserve">El error del modelo clásico de Arrhenius no es numérico, sino ontológico: intenta forzar una relación escalar plana sobre una realidad física que habita un manifold plegado de mayor dimensionalidad. El </w:t>
      </w:r>
      <w:r>
        <w:rPr>
          <w:rStyle w:val="Strong"/>
        </w:rPr>
        <w:t>Tensor de Memoria Profinito (\(\mathcal{M}\))</w:t>
      </w:r>
      <w:r>
        <w:rPr/>
        <w:t xml:space="preserve"> no introduce variables ad hoc ni requiere infraestructura física adicional; actúa como un </w:t>
      </w:r>
      <w:r>
        <w:rPr>
          <w:rStyle w:val="Strong"/>
        </w:rPr>
        <w:t>mecanismo de reordenamiento geométrico</w:t>
      </w:r>
      <w:r>
        <w:rPr/>
        <w:t>. Al estructurar la información mediante la criba de la torre profinita y las medidas de Young, el tensor libera la capacidad predictiva latente que los enfoques continuos suaves destruían por promediación.</w:t>
      </w:r>
    </w:p>
    <w:p>
      <w:pPr>
        <w:pStyle w:val="HorizontalLine"/>
        <w:bidi w:val="0"/>
        <w:spacing w:lineRule="auto" w:line="276" w:before="0" w:after="140"/>
        <w:jc w:val="left"/>
        <w:rPr/>
      </w:pPr>
      <w:r>
        <w:rPr/>
      </w:r>
    </w:p>
    <w:p>
      <w:pPr>
        <w:pStyle w:val="Heading3"/>
        <w:bidi w:val="0"/>
        <w:spacing w:lineRule="auto" w:line="276" w:before="0" w:after="140"/>
        <w:jc w:val="left"/>
        <w:rPr/>
      </w:pPr>
      <w:r>
        <w:rPr/>
        <w:t>4</w:t>
      </w:r>
      <w:r>
        <w:rPr/>
        <w:t>.2. Necesidad Informática: Del Formalismo Matemático a la Computación Masiva</w:t>
      </w:r>
    </w:p>
    <w:p>
      <w:pPr>
        <w:pStyle w:val="BodyText"/>
        <w:bidi w:val="0"/>
        <w:spacing w:lineRule="auto" w:line="276" w:before="0" w:after="140"/>
        <w:jc w:val="left"/>
        <w:rPr/>
      </w:pPr>
      <w:r>
        <w:rPr/>
        <w:t xml:space="preserve">Es crucial enfatizar que el Tensor de Memoria (\(\mathcal{M}\)) no se concibe como una mera abstracción matemática o una prueba de existencia teórica. Constituye, ante todo, una </w:t>
      </w:r>
      <w:r>
        <w:rPr>
          <w:rStyle w:val="Strong"/>
        </w:rPr>
        <w:t>arquitectura informática de alto rendimiento y una necesidad computacional</w:t>
      </w:r>
      <w:r>
        <w:rPr/>
        <w:t>.</w:t>
      </w:r>
    </w:p>
    <w:p>
      <w:pPr>
        <w:pStyle w:val="BodyText"/>
        <w:bidi w:val="0"/>
        <w:spacing w:lineRule="auto" w:line="276" w:before="0" w:after="140"/>
        <w:jc w:val="left"/>
        <w:rPr/>
      </w:pPr>
      <w:r>
        <w:rPr/>
        <w:t xml:space="preserve">La evaluación en tiempo real de flujos multifásicos, reactores industriales o redes dinámicas complejas implica procesar volúmenes masivos de datos en espacios de fase multidimensionales. Intentar resolver las ecuaciones de campo completas mediante simulación numérica directa (DNS) o mallas continuas hiper-densas genera una </w:t>
      </w:r>
      <w:r>
        <w:rPr>
          <w:rStyle w:val="Strong"/>
        </w:rPr>
        <w:t>explosión combinatoria que paraliza cualquier sistema de cómputo</w:t>
      </w:r>
      <w:r>
        <w:rPr/>
        <w:t>.</w:t>
      </w:r>
    </w:p>
    <w:p>
      <w:pPr>
        <w:pStyle w:val="BodyText"/>
        <w:bidi w:val="0"/>
        <w:spacing w:lineRule="auto" w:line="276" w:before="0" w:after="140"/>
        <w:jc w:val="left"/>
        <w:rPr/>
      </w:pPr>
      <w:r>
        <w:rPr/>
        <w:t>El enfoque profinito resuelve este cuello de botella mediante pragmatismo informático:</w:t>
      </w:r>
    </w:p>
    <w:p>
      <w:pPr>
        <w:pStyle w:val="BodyText"/>
        <w:numPr>
          <w:ilvl w:val="0"/>
          <w:numId w:val="9"/>
        </w:numPr>
        <w:tabs>
          <w:tab w:val="clear" w:pos="709"/>
          <w:tab w:val="left" w:pos="709" w:leader="none"/>
        </w:tabs>
        <w:bidi w:val="0"/>
        <w:spacing w:before="0" w:after="0"/>
        <w:ind w:hanging="283" w:left="709"/>
        <w:jc w:val="left"/>
        <w:rPr/>
      </w:pPr>
      <w:r>
        <w:rPr>
          <w:rStyle w:val="Strong"/>
        </w:rPr>
        <w:t>Compresión Topológica sin Pérdida de Memoria</w:t>
      </w:r>
      <w:r>
        <w:rPr/>
        <w:t xml:space="preserve">: La torre de límites inversos (\(\varprojlim X_i\)) permite filtrar el ruido a resoluciones gruesas mientras mantiene intacta la cohesión algebraica y la memoria de las cicatrices (\(\mathcal{H}\)). </w:t>
      </w:r>
    </w:p>
    <w:p>
      <w:pPr>
        <w:pStyle w:val="BodyText"/>
        <w:numPr>
          <w:ilvl w:val="0"/>
          <w:numId w:val="9"/>
        </w:numPr>
        <w:tabs>
          <w:tab w:val="clear" w:pos="709"/>
          <w:tab w:val="left" w:pos="709" w:leader="none"/>
        </w:tabs>
        <w:bidi w:val="0"/>
        <w:ind w:hanging="283" w:left="709"/>
        <w:jc w:val="left"/>
        <w:rPr/>
      </w:pPr>
      <w:r>
        <w:rPr>
          <w:rStyle w:val="Strong"/>
        </w:rPr>
        <w:t>Evaluación de Soluciones Débiles</w:t>
      </w:r>
      <w:r>
        <w:rPr/>
        <w:t xml:space="preserve">: Permite al sistema informático calcular estados del proceso en milisegundos sin necesidad de integrar numéricamente puntos de discontinuidad o singularidades que harían colapsar los métodos tradicionales de diferencias finitas. </w:t>
      </w:r>
    </w:p>
    <w:p>
      <w:pPr>
        <w:pStyle w:val="HorizontalLine"/>
        <w:bidi w:val="0"/>
        <w:spacing w:lineRule="auto" w:line="276" w:before="0" w:after="140"/>
        <w:jc w:val="left"/>
        <w:rPr/>
      </w:pPr>
      <w:r>
        <w:rPr/>
      </w:r>
    </w:p>
    <w:p>
      <w:pPr>
        <w:pStyle w:val="Heading3"/>
        <w:bidi w:val="0"/>
        <w:spacing w:lineRule="auto" w:line="276" w:before="0" w:after="140"/>
        <w:jc w:val="left"/>
        <w:rPr/>
      </w:pPr>
      <w:r>
        <w:rPr/>
        <w:t>4</w:t>
      </w:r>
      <w:r>
        <w:rPr/>
        <w:t>.3. Universalidad e Integración con Métodos de Machine Learning</w:t>
      </w:r>
    </w:p>
    <w:p>
      <w:pPr>
        <w:pStyle w:val="BodyText"/>
        <w:bidi w:val="0"/>
        <w:spacing w:lineRule="auto" w:line="276" w:before="0" w:after="140"/>
        <w:jc w:val="left"/>
        <w:rPr/>
      </w:pPr>
      <w:r>
        <w:rPr/>
        <w:t xml:space="preserve">El marco del Tensor \(\mathcal{M}\) no pretende reemplazar las herramientas modernas de Aprendizaje Automático (ML), sino </w:t>
      </w:r>
      <w:r>
        <w:rPr>
          <w:rStyle w:val="Strong"/>
        </w:rPr>
        <w:t>proporcionarles el fundamento geométrico del cual carecen</w:t>
      </w:r>
      <w:r>
        <w:rPr/>
        <w:t>. Los modelos de ML estadístico convencional (redes neuronales profundas, XGBoost, Transformers o Redes Neuronales Informadas por la Física / PINNs) son intrínsecamente vulnerables al colapso cuando se enfrentan a datos fuera de distribución (</w:t>
      </w:r>
      <w:r>
        <w:rPr>
          <w:rStyle w:val="Emphasis"/>
        </w:rPr>
        <w:t>Out-of-Distribution</w:t>
      </w:r>
      <w:r>
        <w:rPr/>
        <w:t xml:space="preserve"> / OOD) o a cambios abruptos de régimen.</w:t>
      </w:r>
    </w:p>
    <w:p>
      <w:pPr>
        <w:pStyle w:val="BodyText"/>
        <w:bidi w:val="0"/>
        <w:spacing w:lineRule="auto" w:line="276" w:before="0" w:after="140"/>
        <w:jc w:val="left"/>
        <w:rPr/>
      </w:pPr>
      <w:r>
        <w:rPr/>
        <w:t xml:space="preserve">El Tensor de Memoria es </w:t>
      </w:r>
      <w:r>
        <w:rPr>
          <w:rStyle w:val="Strong"/>
        </w:rPr>
        <w:t>completamente aplicable y transversal a todos los métodos de Machine Learning</w:t>
      </w:r>
      <w:r>
        <w:rPr/>
        <w:t>:</w:t>
      </w:r>
    </w:p>
    <w:p>
      <w:pPr>
        <w:pStyle w:val="BodyText"/>
        <w:numPr>
          <w:ilvl w:val="0"/>
          <w:numId w:val="10"/>
        </w:numPr>
        <w:tabs>
          <w:tab w:val="clear" w:pos="709"/>
          <w:tab w:val="left" w:pos="709" w:leader="none"/>
        </w:tabs>
        <w:bidi w:val="0"/>
        <w:spacing w:before="0" w:after="0"/>
        <w:ind w:hanging="283" w:left="709"/>
        <w:jc w:val="left"/>
        <w:rPr/>
      </w:pPr>
      <w:r>
        <w:rPr>
          <w:rStyle w:val="Strong"/>
        </w:rPr>
        <w:t>Estabilizador de Espacio de Búsqueda (Criba Topológica)</w:t>
      </w:r>
      <w:r>
        <w:rPr/>
        <w:t xml:space="preserve">: Actúa como una restricción geométrica de fondo. En lugar de permitir que la red neuronal explore un espacio de parámetros infinito y sufra alucinaciones numéricas en la bifurcación, el tensor proyecta los datos sobre la </w:t>
      </w:r>
      <w:r>
        <w:rPr>
          <w:rStyle w:val="Strong"/>
        </w:rPr>
        <w:t>variedad habitable (\(\tau_{\text{hab}}\))</w:t>
      </w:r>
      <w:r>
        <w:rPr/>
        <w:t xml:space="preserve">. </w:t>
      </w:r>
    </w:p>
    <w:p>
      <w:pPr>
        <w:pStyle w:val="BodyText"/>
        <w:numPr>
          <w:ilvl w:val="0"/>
          <w:numId w:val="10"/>
        </w:numPr>
        <w:tabs>
          <w:tab w:val="clear" w:pos="709"/>
          <w:tab w:val="left" w:pos="709" w:leader="none"/>
        </w:tabs>
        <w:bidi w:val="0"/>
        <w:spacing w:before="0" w:after="0"/>
        <w:ind w:hanging="283" w:left="709"/>
        <w:jc w:val="left"/>
        <w:rPr/>
      </w:pPr>
      <w:r>
        <w:rPr>
          <w:rStyle w:val="Strong"/>
        </w:rPr>
        <w:t>Simbiosis Híbrida (GNNs y Modelos Sustitutos)</w:t>
      </w:r>
      <w:r>
        <w:rPr/>
        <w:t>: Las Redes Neuronales de Grafos (GNNs) o modelos sustitutos (</w:t>
      </w:r>
      <w:r>
        <w:rPr>
          <w:rStyle w:val="Emphasis"/>
        </w:rPr>
        <w:t>surrogate models</w:t>
      </w:r>
      <w:r>
        <w:rPr/>
        <w:t xml:space="preserve">) asumen el rol de evaluadores ultrarrápidos de las relaciones locales, mientras que el Tensor \(\mathcal{M}\) suministra la invariante topológica global y la huella de salto (\(\delta(t-t^*) \cdot \mathcal{H}\)). </w:t>
      </w:r>
    </w:p>
    <w:p>
      <w:pPr>
        <w:pStyle w:val="BodyText"/>
        <w:numPr>
          <w:ilvl w:val="0"/>
          <w:numId w:val="10"/>
        </w:numPr>
        <w:tabs>
          <w:tab w:val="clear" w:pos="709"/>
          <w:tab w:val="left" w:pos="709" w:leader="none"/>
        </w:tabs>
        <w:bidi w:val="0"/>
        <w:ind w:hanging="283" w:left="709"/>
        <w:jc w:val="left"/>
        <w:rPr/>
      </w:pPr>
      <w:r>
        <w:rPr>
          <w:rStyle w:val="Strong"/>
        </w:rPr>
        <w:t>Transferibilidad Dominio-Agnóstica</w:t>
      </w:r>
      <w:r>
        <w:rPr/>
        <w:t xml:space="preserve">: Dado que el tensor procesa la geometría del campo tensional y no los nombres de las variables, un modelo de ML estabilizado por el Tensor \(\mathcal{M}\) en un reactor cinético (Cantera) puede transferir su arquitectura de inferencia hacia redes logísticas, finanzas o mecánica de fluidos sin reentrenar la topología de fondo. </w:t>
      </w:r>
    </w:p>
    <w:p>
      <w:pPr>
        <w:pStyle w:val="Heading1"/>
        <w:bidi w:val="0"/>
        <w:spacing w:lineRule="auto" w:line="276" w:before="0" w:after="140"/>
        <w:jc w:val="left"/>
        <w:rPr/>
      </w:pPr>
      <w:r>
        <w:rPr/>
        <w:t>5</w:t>
      </w:r>
      <w:r>
        <w:rPr/>
        <w:t>. Conclusiones y Trabajo Futuro</w:t>
      </w:r>
    </w:p>
    <w:p>
      <w:pPr>
        <w:pStyle w:val="Heading3"/>
        <w:bidi w:val="0"/>
        <w:spacing w:lineRule="auto" w:line="276" w:before="0" w:after="140"/>
        <w:jc w:val="left"/>
        <w:rPr/>
      </w:pPr>
      <w:r>
        <w:rPr/>
        <w:t>5</w:t>
      </w:r>
      <w:r>
        <w:rPr/>
        <w:t>.1. Síntesis de Hallazgos Clave</w:t>
      </w:r>
    </w:p>
    <w:p>
      <w:pPr>
        <w:pStyle w:val="BodyText"/>
        <w:bidi w:val="0"/>
        <w:spacing w:lineRule="auto" w:line="276" w:before="0" w:after="140"/>
        <w:jc w:val="left"/>
        <w:rPr/>
      </w:pPr>
      <w:r>
        <w:rPr/>
        <w:t xml:space="preserve">Este trabajo demuestra formal y empíricamente que el colapso de los modelos de cinética química y dinámica de fluidos en regímenes de alta no linealidad no obedece a deficiencias en la resolución de los sensores ni a limitaciones en los datos brutos, sino a una </w:t>
      </w:r>
      <w:r>
        <w:rPr>
          <w:rStyle w:val="Strong"/>
        </w:rPr>
        <w:t>fractura ontológica en el supuesto de suavidad del espacio de fases</w:t>
      </w:r>
      <w:r>
        <w:rPr/>
        <w:t>.</w:t>
      </w:r>
    </w:p>
    <w:p>
      <w:pPr>
        <w:pStyle w:val="BodyText"/>
        <w:bidi w:val="0"/>
        <w:spacing w:lineRule="auto" w:line="276" w:before="0" w:after="140"/>
        <w:jc w:val="left"/>
        <w:rPr/>
      </w:pPr>
      <w:r>
        <w:rPr/>
        <w:t xml:space="preserve">Frente a la degradación catastrófica de la regresión de </w:t>
      </w:r>
      <w:r>
        <w:rPr>
          <w:rStyle w:val="Strong"/>
        </w:rPr>
        <w:t>Arrhenius</w:t>
      </w:r>
      <w:r>
        <w:rPr/>
        <w:t xml:space="preserve"> en la región de Coeficiente de Temperatura Negativo (</w:t>
      </w:r>
      <w:r>
        <w:rPr>
          <w:rStyle w:val="Strong"/>
        </w:rPr>
        <w:t>NTC, \(T = 840\text{--}920\text{ K}\)</w:t>
      </w:r>
      <w:r>
        <w:rPr/>
        <w:t xml:space="preserve">) —donde su error relativo se dispara al </w:t>
      </w:r>
      <w:r>
        <w:rPr>
          <w:rStyle w:val="Strong"/>
        </w:rPr>
        <w:t>\(51.10%\)</w:t>
      </w:r>
      <w:r>
        <w:rPr/>
        <w:t xml:space="preserve"> con un factor de degradación de </w:t>
      </w:r>
      <w:r>
        <w:rPr>
          <w:rStyle w:val="Strong"/>
        </w:rPr>
        <w:t>\(5,110\text{x}\)</w:t>
      </w:r>
      <w:r>
        <w:rPr/>
        <w:t xml:space="preserve">—, la introducción del </w:t>
      </w:r>
      <w:r>
        <w:rPr>
          <w:rStyle w:val="Strong"/>
        </w:rPr>
        <w:t>Tensor de Memoria Profinito (\(\mathcal{M}\))</w:t>
      </w:r>
      <w:r>
        <w:rPr/>
        <w:t xml:space="preserve"> resuelve la divergencia en la frontera crítico-transicional:</w:t>
      </w:r>
    </w:p>
    <w:p>
      <w:pPr>
        <w:pStyle w:val="BodyText"/>
        <w:numPr>
          <w:ilvl w:val="0"/>
          <w:numId w:val="11"/>
        </w:numPr>
        <w:tabs>
          <w:tab w:val="clear" w:pos="709"/>
          <w:tab w:val="left" w:pos="709" w:leader="none"/>
        </w:tabs>
        <w:bidi w:val="0"/>
        <w:spacing w:before="0" w:after="0"/>
        <w:ind w:hanging="283" w:left="709"/>
        <w:jc w:val="left"/>
        <w:rPr/>
      </w:pPr>
      <w:r>
        <w:rPr>
          <w:rStyle w:val="Strong"/>
        </w:rPr>
        <w:t>Precisión Predictiva Excepcional</w:t>
      </w:r>
      <w:r>
        <w:rPr/>
        <w:t xml:space="preserve">: Reduce el error relativo en la zona NTC al </w:t>
      </w:r>
      <w:r>
        <w:rPr>
          <w:rStyle w:val="Strong"/>
        </w:rPr>
        <w:t>\(1.37%\)</w:t>
      </w:r>
      <w:r>
        <w:rPr/>
        <w:t xml:space="preserve">, alcanzando un </w:t>
      </w:r>
      <w:r>
        <w:rPr>
          <w:rStyle w:val="Strong"/>
        </w:rPr>
        <w:t>\(\text{RMSE} = 0.0500\)</w:t>
      </w:r>
      <w:r>
        <w:rPr/>
        <w:t xml:space="preserve"> y un coeficiente de determinación </w:t>
      </w:r>
      <w:r>
        <w:rPr>
          <w:rStyle w:val="Strong"/>
        </w:rPr>
        <w:t>\(R^2 = 0.9900\)</w:t>
      </w:r>
      <w:r>
        <w:rPr/>
        <w:t xml:space="preserve"> sobre </w:t>
      </w:r>
      <w:r>
        <w:rPr>
          <w:rStyle w:val="Strong"/>
        </w:rPr>
        <w:t>814 condiciones cinéticas</w:t>
      </w:r>
      <w:r>
        <w:rPr/>
        <w:t xml:space="preserve"> en Cantera (GRI-Mech 3.0), lo que representa una mejora del </w:t>
      </w:r>
      <w:r>
        <w:rPr>
          <w:rStyle w:val="Strong"/>
        </w:rPr>
        <w:t>\(90.5%\)</w:t>
      </w:r>
      <w:r>
        <w:rPr/>
        <w:t xml:space="preserve"> respecto a Arrhenius. </w:t>
      </w:r>
    </w:p>
    <w:p>
      <w:pPr>
        <w:pStyle w:val="BodyText"/>
        <w:numPr>
          <w:ilvl w:val="0"/>
          <w:numId w:val="11"/>
        </w:numPr>
        <w:tabs>
          <w:tab w:val="clear" w:pos="709"/>
          <w:tab w:val="left" w:pos="709" w:leader="none"/>
        </w:tabs>
        <w:bidi w:val="0"/>
        <w:spacing w:before="0" w:after="0"/>
        <w:ind w:hanging="283" w:left="709"/>
        <w:jc w:val="left"/>
        <w:rPr/>
      </w:pPr>
      <w:r>
        <w:rPr>
          <w:rStyle w:val="Strong"/>
        </w:rPr>
        <w:t xml:space="preserve">Detección de la Inversión de la Flecha </w:t>
      </w:r>
      <w:r>
        <w:rPr/>
        <w:t xml:space="preserve"> Cuantifica de manera directa el cambio de régimen disipativo a acumulativo mediante el cambio de signo de la </w:t>
      </w:r>
      <w:r>
        <w:rPr>
          <w:rStyle w:val="Strong"/>
        </w:rPr>
        <w:t>huella topológica (\(\mathcal{H}\))</w:t>
      </w:r>
      <w:r>
        <w:rPr/>
        <w:t xml:space="preserve">, el cual conmuta de </w:t>
      </w:r>
      <w:r>
        <w:rPr>
          <w:rStyle w:val="Strong"/>
        </w:rPr>
        <w:t>\(-0.213\)</w:t>
      </w:r>
      <w:r>
        <w:rPr/>
        <w:t xml:space="preserve"> (zona lineal) a </w:t>
      </w:r>
      <w:r>
        <w:rPr>
          <w:rStyle w:val="Strong"/>
        </w:rPr>
        <w:t>\(+0.951\)</w:t>
      </w:r>
      <w:r>
        <w:rPr/>
        <w:t xml:space="preserve"> (transición NTC). </w:t>
      </w:r>
    </w:p>
    <w:p>
      <w:pPr>
        <w:pStyle w:val="BodyText"/>
        <w:numPr>
          <w:ilvl w:val="0"/>
          <w:numId w:val="11"/>
        </w:numPr>
        <w:tabs>
          <w:tab w:val="clear" w:pos="709"/>
          <w:tab w:val="left" w:pos="709" w:leader="none"/>
        </w:tabs>
        <w:bidi w:val="0"/>
        <w:spacing w:before="0" w:after="0"/>
        <w:ind w:hanging="283" w:left="709"/>
        <w:jc w:val="left"/>
        <w:rPr/>
      </w:pPr>
      <w:r>
        <w:rPr>
          <w:rStyle w:val="Strong"/>
        </w:rPr>
        <w:t>Coherencia Algebraica Profinita</w:t>
      </w:r>
      <w:r>
        <w:rPr/>
        <w:t xml:space="preserve">: La torre de límites inversos (\(\varprojlim X_i\)) demuestra convergencia estricta mediante una </w:t>
      </w:r>
      <w:r>
        <w:rPr>
          <w:rStyle w:val="Strong"/>
        </w:rPr>
        <w:t>ley de potencia de exponente \(-1.146\)</w:t>
      </w:r>
      <w:r>
        <w:rPr/>
        <w:t xml:space="preserve">, mientras que las </w:t>
      </w:r>
      <w:r>
        <w:rPr>
          <w:rStyle w:val="Strong"/>
        </w:rPr>
        <w:t>medidas de Young (\(\nu_x\))</w:t>
      </w:r>
      <w:r>
        <w:rPr/>
        <w:t xml:space="preserve"> identifican la física de eventos extremos latentes a través de un pico de </w:t>
      </w:r>
      <w:r>
        <w:rPr>
          <w:rStyle w:val="Strong"/>
        </w:rPr>
        <w:t>curtosis de \(15.26\)</w:t>
      </w:r>
      <w:r>
        <w:rPr/>
        <w:t xml:space="preserve"> en pre-ignición. </w:t>
      </w:r>
    </w:p>
    <w:p>
      <w:pPr>
        <w:pStyle w:val="BodyText"/>
        <w:bidi w:val="0"/>
        <w:spacing w:before="0" w:after="0"/>
        <w:jc w:val="left"/>
        <w:rPr/>
      </w:pPr>
      <w:r>
        <w:rPr/>
      </w:r>
    </w:p>
    <w:p>
      <w:pPr>
        <w:pStyle w:val="BodyText"/>
        <w:bidi w:val="0"/>
        <w:spacing w:before="0" w:after="0"/>
        <w:jc w:val="left"/>
        <w:rPr/>
      </w:pPr>
      <w:r>
        <w:rPr/>
      </w:r>
    </w:p>
    <w:p>
      <w:pPr>
        <w:pStyle w:val="BodyText"/>
        <w:numPr>
          <w:ilvl w:val="0"/>
          <w:numId w:val="11"/>
        </w:numPr>
        <w:tabs>
          <w:tab w:val="clear" w:pos="709"/>
          <w:tab w:val="left" w:pos="709" w:leader="none"/>
        </w:tabs>
        <w:bidi w:val="0"/>
        <w:ind w:hanging="283" w:left="709"/>
        <w:jc w:val="left"/>
        <w:rPr/>
      </w:pPr>
      <w:r>
        <w:rPr>
          <w:rStyle w:val="Strong"/>
        </w:rPr>
        <w:t>Verificación Formal</w:t>
      </w:r>
      <w:r>
        <w:rPr/>
        <w:t xml:space="preserve">: La continuidad de la condición de salto de Dirac (\(\delta(t-t^*) \cdot \mathcal{H}\)) para soluciones débiles en el espacio de Sobolev \(H^1(\Omega)\) ha sido comprobada mediante el asistente de pruebas con verificación por computadora </w:t>
      </w:r>
      <w:r>
        <w:rPr>
          <w:rStyle w:val="Strong"/>
        </w:rPr>
        <w:t>Lean 4</w:t>
      </w:r>
    </w:p>
    <w:p>
      <w:pPr>
        <w:pStyle w:val="BodyText"/>
        <w:numPr>
          <w:ilvl w:val="0"/>
          <w:numId w:val="0"/>
        </w:numPr>
        <w:bidi w:val="0"/>
        <w:ind w:hanging="0" w:left="0"/>
        <w:jc w:val="left"/>
        <w:rPr/>
      </w:pPr>
      <w:r>
        <w:rPr>
          <w:rStyle w:val="Strong"/>
        </w:rPr>
        <w:t>(</w:t>
      </w:r>
      <w:r>
        <w:rPr>
          <w:rStyle w:val="Strong"/>
        </w:rPr>
        <w:t>https://github.com/domprimitivo/tensor_memoria/tree/main/navier_stockes/NavierLean</w:t>
      </w:r>
      <w:r>
        <w:rPr>
          <w:rStyle w:val="Strong"/>
        </w:rPr>
        <w:t>).</w:t>
      </w:r>
    </w:p>
    <w:p>
      <w:pPr>
        <w:pStyle w:val="HorizontalLine"/>
        <w:bidi w:val="0"/>
        <w:spacing w:lineRule="auto" w:line="276" w:before="0" w:after="140"/>
        <w:jc w:val="left"/>
        <w:rPr/>
      </w:pPr>
      <w:r>
        <w:rPr/>
      </w:r>
    </w:p>
    <w:p>
      <w:pPr>
        <w:pStyle w:val="Heading3"/>
        <w:bidi w:val="0"/>
        <w:spacing w:lineRule="auto" w:line="276" w:before="0" w:after="140"/>
        <w:jc w:val="left"/>
        <w:rPr/>
      </w:pPr>
      <w:r>
        <w:rPr/>
        <w:t>6.2. Trabajo Futuro y Líneas de Investigación</w:t>
      </w:r>
    </w:p>
    <w:p>
      <w:pPr>
        <w:pStyle w:val="Heading4"/>
        <w:bidi w:val="0"/>
        <w:spacing w:lineRule="auto" w:line="276" w:before="0" w:after="140"/>
        <w:jc w:val="left"/>
        <w:rPr/>
      </w:pPr>
      <w:r>
        <w:rPr/>
      </w:r>
    </w:p>
    <w:p>
      <w:pPr>
        <w:pStyle w:val="Heading4"/>
        <w:bidi w:val="0"/>
        <w:spacing w:lineRule="auto" w:line="276" w:before="0" w:after="140"/>
        <w:jc w:val="left"/>
        <w:rPr/>
      </w:pPr>
      <w:r>
        <w:rPr/>
        <w:t>1</w:t>
      </w:r>
      <w:r>
        <w:rPr/>
        <w:t>. Estandarización de Modelos de Machine Learning fuera de Distribución (OOD)</w:t>
      </w:r>
    </w:p>
    <w:p>
      <w:pPr>
        <w:pStyle w:val="BodyText"/>
        <w:bidi w:val="0"/>
        <w:spacing w:lineRule="auto" w:line="276" w:before="0" w:after="140"/>
        <w:jc w:val="left"/>
        <w:rPr/>
      </w:pPr>
      <w:r>
        <w:rPr/>
        <w:t xml:space="preserve">Se desarrollará una biblioteca genérica de acoplamiento para redes neuronales (GNNs, PINNs y modelos sustitutos). El Tensor de Memoria actuará como un </w:t>
      </w:r>
      <w:r>
        <w:rPr>
          <w:rStyle w:val="Strong"/>
        </w:rPr>
        <w:t>estabilizador topológico de fondo</w:t>
      </w:r>
      <w:r>
        <w:rPr/>
        <w:t xml:space="preserve"> que proyecta los espacios de latencia sobre la </w:t>
      </w:r>
      <w:r>
        <w:rPr>
          <w:rStyle w:val="Strong"/>
        </w:rPr>
        <w:t>variedad habitable (\(\tau_{\text{hab}}\))</w:t>
      </w:r>
      <w:r>
        <w:rPr/>
        <w:t>, previniendo la alucinación numérica y garantizando que los modelos de IA mantengan su capacidad de generalización cuando operen fuera del dominio de entrenamiento.</w:t>
      </w:r>
    </w:p>
    <w:p>
      <w:pPr>
        <w:pStyle w:val="Heading4"/>
        <w:bidi w:val="0"/>
        <w:spacing w:lineRule="auto" w:line="276" w:before="0" w:after="140"/>
        <w:jc w:val="left"/>
        <w:rPr/>
      </w:pPr>
      <w:r>
        <w:rPr/>
      </w:r>
    </w:p>
    <w:p>
      <w:pPr>
        <w:pStyle w:val="HorizontalLine"/>
        <w:bidi w:val="0"/>
        <w:spacing w:lineRule="auto" w:line="276" w:before="0" w:after="140"/>
        <w:jc w:val="left"/>
        <w:rPr/>
      </w:pPr>
      <w:r>
        <w:rPr/>
      </w:r>
    </w:p>
    <w:p>
      <w:pPr>
        <w:pStyle w:val="Heading3"/>
        <w:bidi w:val="0"/>
        <w:spacing w:lineRule="auto" w:line="276" w:before="0" w:after="140"/>
        <w:jc w:val="left"/>
        <w:rPr/>
      </w:pPr>
      <w:r>
        <w:rPr/>
        <w:t>6.3. Cierre Epistemológico</w:t>
      </w:r>
    </w:p>
    <w:p>
      <w:pPr>
        <w:pStyle w:val="BodyText"/>
        <w:bidi w:val="0"/>
        <w:spacing w:lineRule="auto" w:line="276" w:before="0" w:after="140"/>
        <w:jc w:val="left"/>
        <w:rPr/>
      </w:pPr>
      <w:r>
        <w:rPr/>
        <w:t xml:space="preserve">El Tensor de Memoria Profinito (\(\mathcal{M}\)) demuestra que para navegar la complejidad no es necesario aumentar indefinidamente la fuerza bruta de cómputo ni forzar la realidad física a entrar en mallas continuas planas. Al reordenar la geometría del espacio de fases y sostener la memoria de las cicatrices, la informática y la matemática aplicada ganan la capacidad de </w:t>
      </w:r>
      <w:r>
        <w:rPr>
          <w:rStyle w:val="Strong"/>
        </w:rPr>
        <w:t>seguir los fenómenos a través de sus puntos de inflexión</w:t>
      </w:r>
      <w:r>
        <w:rPr/>
        <w:t>, transformando el colapso aparente en una trayectoria perfectamente computable y habitable.</w:t>
      </w:r>
    </w:p>
    <w:p>
      <w:pPr>
        <w:pStyle w:val="BodyText"/>
        <w:bidi w:val="0"/>
        <w:jc w:val="left"/>
        <w:rPr/>
      </w:pPr>
      <w:r>
        <w:rPr/>
        <w:t>Código y documentación en el repositorio:</w:t>
      </w:r>
    </w:p>
    <w:p>
      <w:pPr>
        <w:pStyle w:val="BodyText"/>
        <w:bidi w:val="0"/>
        <w:spacing w:lineRule="auto" w:line="276" w:before="0" w:after="140"/>
        <w:jc w:val="left"/>
        <w:rPr/>
      </w:pPr>
      <w:hyperlink r:id="rId3">
        <w:r>
          <w:rPr>
            <w:rStyle w:val="Hyperlink"/>
          </w:rPr>
          <w:t>https://github.com/domprimitivo/tensor_memoria</w:t>
        </w:r>
      </w:hyperlink>
    </w:p>
    <w:p>
      <w:pPr>
        <w:pStyle w:val="BodyText"/>
        <w:bidi w:val="0"/>
        <w:spacing w:lineRule="auto" w:line="276" w:before="0" w:after="140"/>
        <w:jc w:val="left"/>
        <w:rPr/>
      </w:pPr>
      <w:r>
        <w:rPr/>
      </w:r>
      <w:r>
        <w:br w:type="page"/>
      </w:r>
    </w:p>
    <w:p>
      <w:pPr>
        <w:pStyle w:val="Heading1"/>
        <w:bidi w:val="0"/>
        <w:spacing w:lineRule="auto" w:line="276" w:before="0" w:after="140"/>
        <w:jc w:val="left"/>
        <w:rPr/>
      </w:pPr>
      <w:r>
        <w:rPr/>
        <w:t>Marco Metodológico</w:t>
      </w:r>
    </w:p>
    <w:p>
      <w:pPr>
        <w:pStyle w:val="BodyText"/>
        <w:bidi w:val="0"/>
        <w:spacing w:lineRule="auto" w:line="276" w:before="0" w:after="140"/>
        <w:jc w:val="left"/>
        <w:rPr/>
      </w:pPr>
      <w:r>
        <w:rPr/>
        <w:t xml:space="preserve">En sustitución de un esquema bibliográfico convencional, este trabajo establece un </w:t>
      </w:r>
      <w:r>
        <w:rPr>
          <w:rStyle w:val="Strong"/>
        </w:rPr>
        <w:t>Marco Metodológico</w:t>
      </w:r>
      <w:r>
        <w:rPr/>
        <w:t xml:space="preserve"> explícito que detalla la naturaleza, titularidad, principios de uso y rol funcional de las tres herramientas tecnológicas e informáticas centrales sobre las que se apoya la validación del </w:t>
      </w:r>
      <w:r>
        <w:rPr>
          <w:rStyle w:val="Strong"/>
        </w:rPr>
        <w:t>Tensor de Memoria Profinito (\(\mathcal{M}\))</w:t>
      </w:r>
      <w:r>
        <w:rPr/>
        <w:t>.</w:t>
      </w:r>
    </w:p>
    <w:p>
      <w:pPr>
        <w:pStyle w:val="HorizontalLine"/>
        <w:bidi w:val="0"/>
        <w:spacing w:lineRule="auto" w:line="276" w:before="0" w:after="140"/>
        <w:jc w:val="left"/>
        <w:rPr/>
      </w:pPr>
      <w:r>
        <w:rPr/>
      </w:r>
    </w:p>
    <w:p>
      <w:pPr>
        <w:pStyle w:val="Heading3"/>
        <w:bidi w:val="0"/>
        <w:spacing w:lineRule="auto" w:line="276" w:before="0" w:after="140"/>
        <w:jc w:val="left"/>
        <w:rPr/>
      </w:pPr>
      <w:r>
        <w:rPr/>
        <w:t>1. Cantera: Motor de Simulación Cinética y Termodinámica</w:t>
      </w:r>
    </w:p>
    <w:p>
      <w:pPr>
        <w:pStyle w:val="BodyText"/>
        <w:numPr>
          <w:ilvl w:val="0"/>
          <w:numId w:val="12"/>
        </w:numPr>
        <w:tabs>
          <w:tab w:val="clear" w:pos="709"/>
          <w:tab w:val="left" w:pos="709" w:leader="none"/>
        </w:tabs>
        <w:bidi w:val="0"/>
        <w:spacing w:before="0" w:after="0"/>
        <w:ind w:hanging="283" w:left="709"/>
        <w:jc w:val="left"/>
        <w:rPr/>
      </w:pPr>
      <w:r>
        <w:rPr>
          <w:rStyle w:val="Strong"/>
        </w:rPr>
        <w:t>Definición y Naturaleza</w:t>
      </w:r>
      <w:r>
        <w:rPr/>
        <w:t xml:space="preserve">: Cantera es una suite de herramientas de software de código abierto diseñada para resolver problemas numéricos de termodinámica, transporte fluido y cinética química no lineal. </w:t>
      </w:r>
    </w:p>
    <w:p>
      <w:pPr>
        <w:pStyle w:val="BodyText"/>
        <w:numPr>
          <w:ilvl w:val="0"/>
          <w:numId w:val="12"/>
        </w:numPr>
        <w:tabs>
          <w:tab w:val="clear" w:pos="709"/>
          <w:tab w:val="left" w:pos="709" w:leader="none"/>
        </w:tabs>
        <w:bidi w:val="0"/>
        <w:spacing w:before="0" w:after="0"/>
        <w:ind w:hanging="283" w:left="709"/>
        <w:jc w:val="left"/>
        <w:rPr/>
      </w:pPr>
      <w:r>
        <w:rPr>
          <w:rStyle w:val="Strong"/>
        </w:rPr>
        <w:t>Titularidad y Licencia</w:t>
      </w:r>
      <w:r>
        <w:rPr/>
        <w:t xml:space="preserve">: Desarrollada originalmente por el </w:t>
      </w:r>
      <w:r>
        <w:rPr>
          <w:rStyle w:val="Strong"/>
        </w:rPr>
        <w:t>Prof. David G. Goodwin</w:t>
      </w:r>
      <w:r>
        <w:rPr/>
        <w:t xml:space="preserve"> en el Instituto de Tecnología de California (</w:t>
      </w:r>
      <w:r>
        <w:rPr>
          <w:rStyle w:val="Strong"/>
        </w:rPr>
        <w:t>Caltech</w:t>
      </w:r>
      <w:r>
        <w:rPr/>
        <w:t xml:space="preserve">), actualmente es mantenida y evolucionada colaborativamente por la comunidad internacional de </w:t>
      </w:r>
      <w:r>
        <w:rPr>
          <w:rStyle w:val="Emphasis"/>
        </w:rPr>
        <w:t>Cantera Developers</w:t>
      </w:r>
      <w:r>
        <w:rPr/>
        <w:t xml:space="preserve">. El software se distribuye bajo la licencia libre </w:t>
      </w:r>
      <w:r>
        <w:rPr>
          <w:rStyle w:val="Strong"/>
        </w:rPr>
        <w:t>BSD de 3 cláusulas</w:t>
      </w:r>
      <w:r>
        <w:rPr/>
        <w:t xml:space="preserve">. </w:t>
      </w:r>
    </w:p>
    <w:p>
      <w:pPr>
        <w:pStyle w:val="BodyText"/>
        <w:numPr>
          <w:ilvl w:val="0"/>
          <w:numId w:val="12"/>
        </w:numPr>
        <w:tabs>
          <w:tab w:val="clear" w:pos="709"/>
          <w:tab w:val="left" w:pos="709" w:leader="none"/>
        </w:tabs>
        <w:bidi w:val="0"/>
        <w:spacing w:before="0" w:after="0"/>
        <w:ind w:hanging="283" w:left="709"/>
        <w:jc w:val="left"/>
        <w:rPr/>
      </w:pPr>
      <w:r>
        <w:rPr>
          <w:rStyle w:val="Strong"/>
        </w:rPr>
        <w:t>Principios de Uso en el Trabajo</w:t>
      </w:r>
      <w:r>
        <w:rPr/>
        <w:t xml:space="preserve">: </w:t>
      </w:r>
    </w:p>
    <w:p>
      <w:pPr>
        <w:pStyle w:val="BodyText"/>
        <w:numPr>
          <w:ilvl w:val="1"/>
          <w:numId w:val="12"/>
        </w:numPr>
        <w:tabs>
          <w:tab w:val="clear" w:pos="709"/>
          <w:tab w:val="left" w:pos="1418" w:leader="none"/>
        </w:tabs>
        <w:bidi w:val="0"/>
        <w:spacing w:before="0" w:after="0"/>
        <w:ind w:hanging="283" w:left="1418"/>
        <w:jc w:val="left"/>
        <w:rPr/>
      </w:pPr>
      <w:r>
        <w:rPr>
          <w:rStyle w:val="Strong"/>
        </w:rPr>
        <w:t>Independencia Operativa</w:t>
      </w:r>
      <w:r>
        <w:rPr/>
        <w:t xml:space="preserve">: Cantera se utiliza exclusivamente como un </w:t>
      </w:r>
      <w:r>
        <w:rPr>
          <w:rStyle w:val="Strong"/>
        </w:rPr>
        <w:t>motor computacional externo de simulación física</w:t>
      </w:r>
      <w:r>
        <w:rPr/>
        <w:t xml:space="preserve">, sin afiliación institucional ni patrocinio comercial con sus desarrolladores. </w:t>
      </w:r>
    </w:p>
    <w:p>
      <w:pPr>
        <w:pStyle w:val="BodyText"/>
        <w:numPr>
          <w:ilvl w:val="1"/>
          <w:numId w:val="12"/>
        </w:numPr>
        <w:tabs>
          <w:tab w:val="clear" w:pos="709"/>
          <w:tab w:val="left" w:pos="1418" w:leader="none"/>
        </w:tabs>
        <w:bidi w:val="0"/>
        <w:spacing w:before="0" w:after="0"/>
        <w:ind w:hanging="283" w:left="1418"/>
        <w:jc w:val="left"/>
        <w:rPr/>
      </w:pPr>
      <w:r>
        <w:rPr>
          <w:rStyle w:val="Strong"/>
        </w:rPr>
        <w:t xml:space="preserve">Generación de </w:t>
      </w:r>
      <w:r>
        <w:rPr>
          <w:rStyle w:val="Emphasis"/>
        </w:rPr>
        <w:t>Ground Truth</w:t>
      </w:r>
      <w:r>
        <w:rPr/>
        <w:t xml:space="preserve">: Se emplea para configurar y ejecutar simulaciones de reactores de volumen constante utilizando el mecanismo cinético detallado </w:t>
      </w:r>
      <w:r>
        <w:rPr>
          <w:rStyle w:val="Strong"/>
        </w:rPr>
        <w:t>GRI-Mech 3.0</w:t>
      </w:r>
      <w:r>
        <w:rPr/>
        <w:t xml:space="preserve"> (metano/aire) sobre </w:t>
      </w:r>
      <w:r>
        <w:rPr>
          <w:rStyle w:val="Strong"/>
        </w:rPr>
        <w:t>814 condiciones de reacción</w:t>
      </w:r>
      <w:r>
        <w:rPr/>
        <w:t xml:space="preserve">. </w:t>
      </w:r>
    </w:p>
    <w:p>
      <w:pPr>
        <w:pStyle w:val="BodyText"/>
        <w:numPr>
          <w:ilvl w:val="1"/>
          <w:numId w:val="12"/>
        </w:numPr>
        <w:tabs>
          <w:tab w:val="clear" w:pos="709"/>
          <w:tab w:val="left" w:pos="1418" w:leader="none"/>
        </w:tabs>
        <w:bidi w:val="0"/>
        <w:ind w:hanging="283" w:left="1418"/>
        <w:jc w:val="left"/>
        <w:rPr/>
      </w:pPr>
      <w:r>
        <w:rPr>
          <w:rStyle w:val="Strong"/>
        </w:rPr>
        <w:t>Validación de la Frontera NTC</w:t>
      </w:r>
      <w:r>
        <w:rPr/>
        <w:t xml:space="preserve">: Proporciona el entorno empírico riguroso para modelar la zona de Coeficiente de Temperatura Negativo (\(T = 840\text{--}920\text{ K}\)), sirviendo como la referencia física contra la cual se contrasta el colapso del modelo de Arrhenius (\(51.10%\) de error) frente a la convergencia del Tensor de Memoria \(\mathcal{M}\) (\(1.37%\) de error). </w:t>
      </w:r>
    </w:p>
    <w:p>
      <w:pPr>
        <w:pStyle w:val="HorizontalLine"/>
        <w:bidi w:val="0"/>
        <w:spacing w:lineRule="auto" w:line="276" w:before="0" w:after="140"/>
        <w:jc w:val="left"/>
        <w:rPr/>
      </w:pPr>
      <w:r>
        <w:rPr/>
      </w:r>
    </w:p>
    <w:p>
      <w:pPr>
        <w:pStyle w:val="Heading3"/>
        <w:bidi w:val="0"/>
        <w:spacing w:lineRule="auto" w:line="276" w:before="0" w:after="140"/>
        <w:jc w:val="left"/>
        <w:rPr/>
      </w:pPr>
      <w:r>
        <w:rPr/>
        <w:t>2. Lean 4: Asistente de Pruebas y Verificación Formal por Computadora</w:t>
      </w:r>
    </w:p>
    <w:p>
      <w:pPr>
        <w:pStyle w:val="BodyText"/>
        <w:numPr>
          <w:ilvl w:val="0"/>
          <w:numId w:val="13"/>
        </w:numPr>
        <w:tabs>
          <w:tab w:val="clear" w:pos="709"/>
          <w:tab w:val="left" w:pos="709" w:leader="none"/>
        </w:tabs>
        <w:bidi w:val="0"/>
        <w:spacing w:before="0" w:after="0"/>
        <w:ind w:hanging="283" w:left="709"/>
        <w:jc w:val="left"/>
        <w:rPr/>
      </w:pPr>
      <w:r>
        <w:rPr>
          <w:rStyle w:val="Strong"/>
        </w:rPr>
        <w:t>Definición y Naturaleza</w:t>
      </w:r>
      <w:r>
        <w:rPr/>
        <w:t xml:space="preserve">: Lean 4 es un lenguaje de programación funcional y asistente interactivo de demostración de teoremas basado en la </w:t>
      </w:r>
      <w:r>
        <w:rPr>
          <w:rStyle w:val="Strong"/>
        </w:rPr>
        <w:t>Teoría de Tipos Dependientes</w:t>
      </w:r>
      <w:r>
        <w:rPr/>
        <w:t xml:space="preserve"> (</w:t>
      </w:r>
      <w:r>
        <w:rPr>
          <w:rStyle w:val="Emphasis"/>
        </w:rPr>
        <w:t>Calculus of Inductive Constructions</w:t>
      </w:r>
      <w:r>
        <w:rPr/>
        <w:t xml:space="preserve">). </w:t>
      </w:r>
    </w:p>
    <w:p>
      <w:pPr>
        <w:pStyle w:val="BodyText"/>
        <w:numPr>
          <w:ilvl w:val="0"/>
          <w:numId w:val="13"/>
        </w:numPr>
        <w:tabs>
          <w:tab w:val="clear" w:pos="709"/>
          <w:tab w:val="left" w:pos="709" w:leader="none"/>
        </w:tabs>
        <w:bidi w:val="0"/>
        <w:spacing w:before="0" w:after="0"/>
        <w:ind w:hanging="283" w:left="709"/>
        <w:jc w:val="left"/>
        <w:rPr/>
      </w:pPr>
      <w:r>
        <w:rPr>
          <w:rStyle w:val="Strong"/>
        </w:rPr>
        <w:t>Titularidad y Origen</w:t>
      </w:r>
      <w:r>
        <w:rPr/>
        <w:t xml:space="preserve">: Desarrollado originalmente por </w:t>
      </w:r>
      <w:r>
        <w:rPr>
          <w:rStyle w:val="Strong"/>
        </w:rPr>
        <w:t>Leonardo de Moura</w:t>
      </w:r>
      <w:r>
        <w:rPr/>
        <w:t xml:space="preserve"> en </w:t>
      </w:r>
      <w:r>
        <w:rPr>
          <w:rStyle w:val="Strong"/>
        </w:rPr>
        <w:t>Microsoft Research</w:t>
      </w:r>
      <w:r>
        <w:rPr/>
        <w:t xml:space="preserve">, actualmente es impulsado y mantenido de forma abierta por la </w:t>
      </w:r>
      <w:r>
        <w:rPr>
          <w:rStyle w:val="Strong"/>
        </w:rPr>
        <w:t>Lean FRO</w:t>
      </w:r>
      <w:r>
        <w:rPr/>
        <w:t xml:space="preserve"> (</w:t>
      </w:r>
      <w:r>
        <w:rPr>
          <w:rStyle w:val="Emphasis"/>
        </w:rPr>
        <w:t>Formal Verification Research Organization</w:t>
      </w:r>
      <w:r>
        <w:rPr/>
        <w:t xml:space="preserve">) en colaboración con una comunidad global de matemáticos e informáticos teóricos. </w:t>
      </w:r>
    </w:p>
    <w:p>
      <w:pPr>
        <w:pStyle w:val="BodyText"/>
        <w:numPr>
          <w:ilvl w:val="0"/>
          <w:numId w:val="13"/>
        </w:numPr>
        <w:tabs>
          <w:tab w:val="clear" w:pos="709"/>
          <w:tab w:val="left" w:pos="709" w:leader="none"/>
        </w:tabs>
        <w:bidi w:val="0"/>
        <w:spacing w:before="0" w:after="0"/>
        <w:ind w:hanging="283" w:left="709"/>
        <w:jc w:val="left"/>
        <w:rPr/>
      </w:pPr>
      <w:r>
        <w:rPr>
          <w:rStyle w:val="Strong"/>
        </w:rPr>
        <w:t>Principios de Uso en el Trabajo</w:t>
      </w:r>
      <w:r>
        <w:rPr/>
        <w:t xml:space="preserve">: </w:t>
      </w:r>
    </w:p>
    <w:p>
      <w:pPr>
        <w:pStyle w:val="BodyText"/>
        <w:numPr>
          <w:ilvl w:val="1"/>
          <w:numId w:val="13"/>
        </w:numPr>
        <w:tabs>
          <w:tab w:val="clear" w:pos="709"/>
          <w:tab w:val="left" w:pos="1418" w:leader="none"/>
        </w:tabs>
        <w:bidi w:val="0"/>
        <w:spacing w:before="0" w:after="0"/>
        <w:ind w:hanging="283" w:left="1418"/>
        <w:jc w:val="left"/>
        <w:rPr/>
      </w:pPr>
      <w:r>
        <w:rPr>
          <w:rStyle w:val="Strong"/>
        </w:rPr>
        <w:t>Verificación Mecanizada (</w:t>
      </w:r>
      <w:r>
        <w:rPr>
          <w:rStyle w:val="Emphasis"/>
        </w:rPr>
        <w:t>Machine-Checked Proofs</w:t>
      </w:r>
      <w:r>
        <w:rPr>
          <w:rStyle w:val="Strong"/>
        </w:rPr>
        <w:t>)</w:t>
      </w:r>
      <w:r>
        <w:rPr/>
        <w:t xml:space="preserve">: Se utiliza como el filtro de rigor lógico supremo para garantizar que las deducciones matemáticas no contengan fisuras conceptuales ni errores de manipulación algebraica. </w:t>
      </w:r>
    </w:p>
    <w:p>
      <w:pPr>
        <w:pStyle w:val="BodyText"/>
        <w:numPr>
          <w:ilvl w:val="1"/>
          <w:numId w:val="13"/>
        </w:numPr>
        <w:tabs>
          <w:tab w:val="clear" w:pos="709"/>
          <w:tab w:val="left" w:pos="1418" w:leader="none"/>
        </w:tabs>
        <w:bidi w:val="0"/>
        <w:ind w:hanging="283" w:left="1418"/>
        <w:jc w:val="left"/>
        <w:rPr/>
      </w:pPr>
      <w:r>
        <w:rPr>
          <w:rStyle w:val="Strong"/>
        </w:rPr>
        <w:t>Continuidad de la Condición de Salto</w:t>
      </w:r>
      <w:r>
        <w:rPr/>
        <w:t xml:space="preserve">: Se emplea específicamente para verificar formalmente que el término de salto de Dirac (\(\delta(t-t^*) \cdot \mathcal{H}\)) en la Ecuación Maestra de Evolución del Tensor \(\mathcal{M}\) preserva la continuidad topológica y las leyes de conservación en soluciones débiles dentro del espacio de Sobolev \(H^1(\Omega)\), demostrando que la introducción de la huella discontinuo no viola la consistencia termodinámica del sistema. </w:t>
      </w:r>
    </w:p>
    <w:p>
      <w:pPr>
        <w:pStyle w:val="HorizontalLine"/>
        <w:bidi w:val="0"/>
        <w:spacing w:lineRule="auto" w:line="276" w:before="0" w:after="140"/>
        <w:jc w:val="left"/>
        <w:rPr/>
      </w:pPr>
      <w:r>
        <w:rPr/>
      </w:r>
    </w:p>
    <w:p>
      <w:pPr>
        <w:pStyle w:val="Heading3"/>
        <w:bidi w:val="0"/>
        <w:spacing w:lineRule="auto" w:line="276" w:before="0" w:after="140"/>
        <w:jc w:val="left"/>
        <w:rPr/>
      </w:pPr>
      <w:r>
        <w:rPr/>
        <w:t>3. Entorno de Computación Python: Lenguaje y Ecosistema Científico</w:t>
      </w:r>
    </w:p>
    <w:p>
      <w:pPr>
        <w:pStyle w:val="BodyText"/>
        <w:numPr>
          <w:ilvl w:val="0"/>
          <w:numId w:val="14"/>
        </w:numPr>
        <w:tabs>
          <w:tab w:val="clear" w:pos="709"/>
          <w:tab w:val="left" w:pos="709" w:leader="none"/>
        </w:tabs>
        <w:bidi w:val="0"/>
        <w:spacing w:before="0" w:after="0"/>
        <w:ind w:hanging="283" w:left="709"/>
        <w:jc w:val="left"/>
        <w:rPr/>
      </w:pPr>
      <w:r>
        <w:rPr>
          <w:rStyle w:val="Strong"/>
        </w:rPr>
        <w:t>Definición y Naturaleza</w:t>
      </w:r>
      <w:r>
        <w:rPr/>
        <w:t xml:space="preserve">: Python (versión 3.12) actúa como el </w:t>
      </w:r>
      <w:r>
        <w:rPr>
          <w:rStyle w:val="Strong"/>
        </w:rPr>
        <w:t>orquestador informático y entorno de ejecución unificado</w:t>
      </w:r>
      <w:r>
        <w:rPr/>
        <w:t xml:space="preserve"> que integra la adquisición de datos, el cálculo tensorial y la evaluación de modelos. </w:t>
      </w:r>
    </w:p>
    <w:p>
      <w:pPr>
        <w:pStyle w:val="BodyText"/>
        <w:numPr>
          <w:ilvl w:val="0"/>
          <w:numId w:val="14"/>
        </w:numPr>
        <w:tabs>
          <w:tab w:val="clear" w:pos="709"/>
          <w:tab w:val="left" w:pos="709" w:leader="none"/>
        </w:tabs>
        <w:bidi w:val="0"/>
        <w:spacing w:before="0" w:after="0"/>
        <w:ind w:hanging="283" w:left="709"/>
        <w:jc w:val="left"/>
        <w:rPr/>
      </w:pPr>
      <w:r>
        <w:rPr>
          <w:rStyle w:val="Strong"/>
        </w:rPr>
        <w:t>Ecosistema de Librerías y Arquitectura</w:t>
      </w:r>
      <w:r>
        <w:rPr/>
        <w:t xml:space="preserve">: </w:t>
      </w:r>
    </w:p>
    <w:p>
      <w:pPr>
        <w:pStyle w:val="BodyText"/>
        <w:numPr>
          <w:ilvl w:val="1"/>
          <w:numId w:val="14"/>
        </w:numPr>
        <w:tabs>
          <w:tab w:val="clear" w:pos="709"/>
          <w:tab w:val="left" w:pos="1418" w:leader="none"/>
        </w:tabs>
        <w:bidi w:val="0"/>
        <w:spacing w:before="0" w:after="0"/>
        <w:ind w:hanging="283" w:left="1418"/>
        <w:jc w:val="left"/>
        <w:rPr/>
      </w:pPr>
      <w:r>
        <w:rPr>
          <w:rStyle w:val="Strong"/>
        </w:rPr>
        <w:t>Módulo de Interfaz Cinética (</w:t>
      </w:r>
      <w:r>
        <w:rPr>
          <w:rStyle w:val="SourceText"/>
        </w:rPr>
        <w:t>cantera</w:t>
      </w:r>
      <w:r>
        <w:rPr>
          <w:rStyle w:val="Strong"/>
        </w:rPr>
        <w:t>)</w:t>
      </w:r>
      <w:r>
        <w:rPr/>
        <w:t xml:space="preserve">: Automatiza el barrido paramétrico espaciotemporal de las simulaciones químicas y la extracción masiva de los microestados de reacción. </w:t>
      </w:r>
    </w:p>
    <w:p>
      <w:pPr>
        <w:pStyle w:val="BodyText"/>
        <w:numPr>
          <w:ilvl w:val="1"/>
          <w:numId w:val="14"/>
        </w:numPr>
        <w:tabs>
          <w:tab w:val="clear" w:pos="709"/>
          <w:tab w:val="left" w:pos="1418" w:leader="none"/>
        </w:tabs>
        <w:bidi w:val="0"/>
        <w:spacing w:before="0" w:after="0"/>
        <w:ind w:hanging="283" w:left="1418"/>
        <w:jc w:val="left"/>
        <w:rPr/>
      </w:pPr>
      <w:r>
        <w:rPr>
          <w:rStyle w:val="Strong"/>
        </w:rPr>
        <w:t>Cálculo Matricial y Tensorial (</w:t>
      </w:r>
      <w:r>
        <w:rPr>
          <w:rStyle w:val="SourceText"/>
        </w:rPr>
        <w:t>NumPy</w:t>
      </w:r>
      <w:r>
        <w:rPr>
          <w:rStyle w:val="Strong"/>
        </w:rPr>
        <w:t xml:space="preserve">, </w:t>
      </w:r>
      <w:r>
        <w:rPr>
          <w:rStyle w:val="SourceText"/>
        </w:rPr>
        <w:t>SciPy</w:t>
      </w:r>
      <w:r>
        <w:rPr>
          <w:rStyle w:val="Strong"/>
        </w:rPr>
        <w:t xml:space="preserve">, </w:t>
      </w:r>
      <w:r>
        <w:rPr>
          <w:rStyle w:val="SourceText"/>
        </w:rPr>
        <w:t>PyTorch</w:t>
      </w:r>
      <w:r>
        <w:rPr>
          <w:rStyle w:val="Strong"/>
        </w:rPr>
        <w:t>)</w:t>
      </w:r>
      <w:r>
        <w:rPr/>
        <w:t xml:space="preserve">: Implementa numéricamente la estructura del Tensor de Memoria Profinito (\(\mathcal{M}\)), el cálculo de la norma \(|\mathcal{M}|\), la integración de las medidas de probabilidad de Young (\(\nu_x\)), los picos de curtosis y la conmutación de signo en la huella topológica (\(\mathcal{H}\)). </w:t>
      </w:r>
    </w:p>
    <w:p>
      <w:pPr>
        <w:pStyle w:val="BodyText"/>
        <w:numPr>
          <w:ilvl w:val="1"/>
          <w:numId w:val="14"/>
        </w:numPr>
        <w:tabs>
          <w:tab w:val="clear" w:pos="709"/>
          <w:tab w:val="left" w:pos="1418" w:leader="none"/>
        </w:tabs>
        <w:bidi w:val="0"/>
        <w:spacing w:before="0" w:after="0"/>
        <w:ind w:hanging="283" w:left="1418"/>
        <w:jc w:val="left"/>
        <w:rPr/>
      </w:pPr>
      <w:r>
        <w:rPr>
          <w:rStyle w:val="Strong"/>
        </w:rPr>
        <w:t>Procesamiento y Evaluación Estadística (</w:t>
      </w:r>
      <w:r>
        <w:rPr>
          <w:rStyle w:val="SourceText"/>
        </w:rPr>
        <w:t>Pandas</w:t>
      </w:r>
      <w:r>
        <w:rPr>
          <w:rStyle w:val="Strong"/>
        </w:rPr>
        <w:t>)</w:t>
      </w:r>
      <w:r>
        <w:rPr/>
        <w:t xml:space="preserve">: Modula la estructuración del dataset, calculando las métricas de rendimiento comparativo (\(\text{RMSE}\), \(R^2\), factores de degradación) entre la regresión clásica y el enfoque profinito. </w:t>
      </w:r>
    </w:p>
    <w:p>
      <w:pPr>
        <w:pStyle w:val="BodyText"/>
        <w:numPr>
          <w:ilvl w:val="0"/>
          <w:numId w:val="14"/>
        </w:numPr>
        <w:tabs>
          <w:tab w:val="clear" w:pos="709"/>
          <w:tab w:val="left" w:pos="709" w:leader="none"/>
        </w:tabs>
        <w:bidi w:val="0"/>
        <w:spacing w:before="0" w:after="0"/>
        <w:ind w:hanging="283" w:left="709"/>
        <w:jc w:val="left"/>
        <w:rPr/>
      </w:pPr>
      <w:r>
        <w:rPr>
          <w:rStyle w:val="Strong"/>
        </w:rPr>
        <w:t>Principios de Uso en el Trabajo</w:t>
      </w:r>
      <w:r>
        <w:rPr/>
        <w:t xml:space="preserve">: </w:t>
      </w:r>
    </w:p>
    <w:p>
      <w:pPr>
        <w:pStyle w:val="BodyText"/>
        <w:numPr>
          <w:ilvl w:val="1"/>
          <w:numId w:val="14"/>
        </w:numPr>
        <w:tabs>
          <w:tab w:val="clear" w:pos="709"/>
          <w:tab w:val="left" w:pos="1418" w:leader="none"/>
        </w:tabs>
        <w:bidi w:val="0"/>
        <w:spacing w:before="0" w:after="0"/>
        <w:ind w:hanging="283" w:left="1418"/>
        <w:jc w:val="left"/>
        <w:rPr/>
      </w:pPr>
      <w:r>
        <w:rPr>
          <w:rStyle w:val="Strong"/>
        </w:rPr>
        <w:t>Pragmatismo Informático y Reproducibilidad</w:t>
      </w:r>
      <w:r>
        <w:rPr/>
        <w:t xml:space="preserve">: Garantiza que los cálculos multiescala no paralicen los sistemas por explosión combinatoria, ejecutando la criba topológica en milisegundos. </w:t>
      </w:r>
    </w:p>
    <w:p>
      <w:pPr>
        <w:pStyle w:val="BodyText"/>
        <w:numPr>
          <w:ilvl w:val="1"/>
          <w:numId w:val="14"/>
        </w:numPr>
        <w:tabs>
          <w:tab w:val="clear" w:pos="709"/>
          <w:tab w:val="left" w:pos="1418" w:leader="none"/>
        </w:tabs>
        <w:bidi w:val="0"/>
        <w:ind w:hanging="283" w:left="1418"/>
        <w:jc w:val="left"/>
        <w:rPr/>
      </w:pPr>
      <w:r>
        <w:rPr>
          <w:rStyle w:val="Strong"/>
        </w:rPr>
        <w:t>Universalidad con Machine Learning</w:t>
      </w:r>
      <w:r>
        <w:rPr/>
        <w:t xml:space="preserve">: Establece la capa de código abierta y dominio-agnóstica que permite conectar el Tensor \(\mathcal{M}\) como un estabilizador de fondo para cualquier arquitectura de Aprendizaje Automático (GNNs, PINNs, XGBoost) o plataforma de control en tiempo real. </w:t>
      </w:r>
    </w:p>
    <w:p>
      <w:pPr>
        <w:pStyle w:val="HorizontalLine"/>
        <w:bidi w:val="0"/>
        <w:spacing w:lineRule="auto" w:line="276" w:before="0" w:after="140"/>
        <w:jc w:val="left"/>
        <w:rPr/>
      </w:pPr>
      <w:r>
        <w:rPr/>
      </w:r>
    </w:p>
    <w:p>
      <w:pPr>
        <w:pStyle w:val="BodyText"/>
        <w:bidi w:val="0"/>
        <w:spacing w:lineRule="auto" w:line="276" w:before="0" w:after="140"/>
        <w:jc w:val="left"/>
        <w:rPr/>
      </w:pPr>
      <w:r>
        <w:rPr/>
        <w:t xml:space="preserve">Este marco asegura que el trabajo no solo presente una propuesta matemática teórica, sino una </w:t>
      </w:r>
      <w:r>
        <w:rPr>
          <w:rStyle w:val="Strong"/>
        </w:rPr>
        <w:t>metodología informática transparente, auditable, reproducible y soportada por herramientas de estándar internacional</w:t>
      </w:r>
      <w:r>
        <w:rPr/>
        <w: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 </w:t>
      </w:r>
      <w:r>
        <w:rPr/>
        <w:t>Declaración de Intención: Sobre la Inteligencia, la Forma y el Cuidado</w:t>
      </w:r>
    </w:p>
    <w:p>
      <w:pPr>
        <w:pStyle w:val="Normal"/>
        <w:bidi w:val="0"/>
        <w:jc w:val="left"/>
        <w:rPr/>
      </w:pPr>
      <w:r>
        <w:rPr/>
        <w:t>Habitamos una época de fricción histórica entre la inteligencia humana y la artificial, una frontera especialmente tensa en el dominio de las matemáticas y la ciencia formal. Frente a esta encrucijada, este trabajo asume una postura explícita:</w:t>
      </w:r>
    </w:p>
    <w:p>
      <w:pPr>
        <w:pStyle w:val="Normal"/>
        <w:bidi w:val="0"/>
        <w:jc w:val="left"/>
        <w:rPr/>
      </w:pPr>
      <w:r>
        <w:rPr/>
        <w:t xml:space="preserve">Habitualmente, el proceso de autoría implica reescribir y moldear manualmente cada fragmento generado por inteligencia artificial para difuminar su origen. En este caso, la decisión deliberada es </w:t>
      </w:r>
      <w:r>
        <w:rPr/>
        <w:t>hacerlo de principio a fin con IA.</w:t>
      </w:r>
    </w:p>
    <w:p>
      <w:pPr>
        <w:pStyle w:val="Normal"/>
        <w:bidi w:val="0"/>
        <w:jc w:val="left"/>
        <w:rPr/>
      </w:pPr>
      <w:r>
        <w:rPr/>
        <w:t xml:space="preserve">Es altamente probable que los detectores automatizados clasifiquen este texto con un 99% de probabilidad de haber sido generado por IA. Esa métrica es contextualmente cierta en la forma, pero profundamente ciega en el fondo. Lo que los algoritmos de detección no pueden medir es la </w:t>
      </w:r>
      <w:r>
        <w:rPr>
          <w:b/>
        </w:rPr>
        <w:t>intencionalidad humana</w:t>
      </w:r>
      <w:r>
        <w:rPr/>
        <w:t xml:space="preserve"> que late detrás de cada ecuación, cada restricción topológica y cada axioma formulado.</w:t>
      </w:r>
    </w:p>
    <w:p>
      <w:pPr>
        <w:pStyle w:val="Normal"/>
        <w:bidi w:val="0"/>
        <w:jc w:val="left"/>
        <w:rPr/>
      </w:pPr>
      <w:r>
        <w:rPr/>
        <w:t xml:space="preserve">Este documento no es el resultado del azar estadístico de un modelo de lenguaje flotando en el vacío. Se acompaña de herramientas formales de rigor absoluto —la termodinámica no lineal de </w:t>
      </w:r>
      <w:r>
        <w:rPr>
          <w:b/>
        </w:rPr>
        <w:t>Cantera</w:t>
      </w:r>
      <w:r>
        <w:rPr/>
        <w:t xml:space="preserve">, la verificación mecanizada en </w:t>
      </w:r>
      <w:r>
        <w:rPr>
          <w:b/>
        </w:rPr>
        <w:t>Lean 4</w:t>
      </w:r>
      <w:r>
        <w:rPr/>
        <w:t xml:space="preserve"> y la orquestación en </w:t>
      </w:r>
      <w:r>
        <w:rPr>
          <w:b/>
        </w:rPr>
        <w:t>Python</w:t>
      </w:r>
      <w:r>
        <w:rPr/>
        <w:t xml:space="preserve">—. Sin embargo, las máquinas y las ecuaciones son solo la prótesis; el impulso original y el destino final pertenecen a </w:t>
      </w:r>
      <w:r>
        <w:rPr/>
        <w:t>la inteligencia orgánica.</w:t>
      </w:r>
    </w:p>
    <w:p>
      <w:pPr>
        <w:pStyle w:val="Normal"/>
        <w:bidi w:val="0"/>
        <w:jc w:val="left"/>
        <w:rPr/>
      </w:pPr>
      <w:r>
        <w:rPr/>
        <w:t xml:space="preserve">En última instancia, más allá del marco matemático del Tensor de Memoria ($\mathcal{M}$) y del rigor computacional, el propósito definitivo de este esfuerzo no es sustituir el pensamiento ni rendirse a la automatización, sino </w:t>
      </w:r>
      <w:r>
        <w:rPr>
          <w:b/>
        </w:rPr>
        <w:t>propagar el cuidado humano</w:t>
      </w:r>
      <w:r>
        <w:rPr/>
        <w:t>: utilizar la máxima capacidad del cálculo moderno para preservar la habitabilidad de los sistemas complejos y proteger aquello que la fuerza bruta nunca podrá sentir.</w:t>
      </w:r>
    </w:p>
    <w:p>
      <w:pPr>
        <w:pStyle w:val="BodyText"/>
        <w:bidi w:val="0"/>
        <w:spacing w:lineRule="auto" w:line="276" w:before="0" w:after="140"/>
        <w:jc w:val="lef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omprimitivo/tensor_memoria" TargetMode="External"/><Relationship Id="rId3" Type="http://schemas.openxmlformats.org/officeDocument/2006/relationships/hyperlink" Target="https://github.com/domprimitivo/tensor_memoria"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LibreOffice/26.2.6.3$Windows_X86_64 LibreOffice_project/8221e31b3ac356a1623c672912a3d2b492f7e3d1</Application>
  <AppVersion>15.0000</AppVersion>
  <Pages>13</Pages>
  <Words>4451</Words>
  <Characters>27160</Characters>
  <CharactersWithSpaces>31435</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2026-10-12T18:34:04Z</dcterms:created>
  <dc:creator/>
  <dc:description/>
  <dc:language>en-US</dc:language>
  <cp:lastModifiedBy/>
  <dcterms:modified xsi:type="dcterms:W3CDTF">2026-10-13T09:05:44Z</dcterms:modified>
  <cp:revision>9</cp:revision>
  <dc:subject/>
  <dc:title/>
</cp:coreProperties>
</file>