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4E79"/>
          <w:sz w:val="56"/>
          <w:szCs w:val="56"/>
        </w:rPr>
        <w:t xml:space="preserve">AI in Education</w:t>
      </w:r>
    </w:p>
    <w:p>
      <w:pPr>
        <w:spacing w:after="240" w:before="0"/>
        <w:jc w:val="center"/>
      </w:pPr>
      <w:r>
        <w:rPr>
          <w:rFonts w:ascii="Arial" w:cs="Arial" w:eastAsia="Arial" w:hAnsi="Arial"/>
          <w:color w:val="2E75B6"/>
          <w:sz w:val="40"/>
          <w:szCs w:val="40"/>
        </w:rPr>
        <w:t xml:space="preserve">Impact Analysis Report</w:t>
      </w:r>
    </w:p>
    <w:p>
      <w:pPr>
        <w:pBdr>
          <w:bottom w:val="single" w:color="2E75B6" w:sz="8" w:space="1"/>
        </w:pBdr>
        <w:spacing w:after="360" w:before="0"/>
      </w:pPr>
      <w:r>
        <w:t xml:space="preserve"/>
      </w:r>
    </w:p>
    <w:p>
      <w:pPr>
        <w:spacing w:after="80" w:before="120"/>
        <w:jc w:val="center"/>
      </w:pPr>
      <w:r>
        <w:rPr>
          <w:rFonts w:ascii="Arial" w:cs="Arial" w:eastAsia="Arial" w:hAnsi="Arial"/>
          <w:color w:val="555555"/>
          <w:sz w:val="22"/>
          <w:szCs w:val="22"/>
        </w:rPr>
        <w:t xml:space="preserve">Dataset: AI Student Impact Dataset — 50,000 Student Records</w:t>
      </w:r>
    </w:p>
    <w:p>
      <w:pPr>
        <w:spacing w:after="80" w:before="0"/>
        <w:jc w:val="center"/>
      </w:pPr>
      <w:r>
        <w:rPr>
          <w:rFonts w:ascii="Arial" w:cs="Arial" w:eastAsia="Arial" w:hAnsi="Arial"/>
          <w:color w:val="555555"/>
          <w:sz w:val="22"/>
          <w:szCs w:val="22"/>
        </w:rPr>
        <w:t xml:space="preserve">Analysis by: Data Analytics Student Project</w:t>
      </w:r>
    </w:p>
    <w:p>
      <w:pPr>
        <w:spacing w:after="80" w:before="0"/>
        <w:jc w:val="center"/>
      </w:pPr>
      <w:r>
        <w:rPr>
          <w:rFonts w:ascii="Arial" w:cs="Arial" w:eastAsia="Arial" w:hAnsi="Arial"/>
          <w:color w:val="555555"/>
          <w:sz w:val="22"/>
          <w:szCs w:val="22"/>
        </w:rPr>
        <w:t xml:space="preserve">Date: June 2026</w:t>
      </w:r>
    </w:p>
    <w:p>
      <w:pPr>
        <w:spacing w:after="80" w:before="0"/>
        <w:jc w:val="center"/>
      </w:pPr>
      <w:r>
        <w:rPr>
          <w:rFonts w:ascii="Arial" w:cs="Arial" w:eastAsia="Arial" w:hAnsi="Arial"/>
          <w:color w:val="555555"/>
          <w:sz w:val="22"/>
          <w:szCs w:val="22"/>
        </w:rPr>
        <w:t xml:space="preserve">Tools Used: Python (pandas, scipy, statsmodels, scikit-learn)</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Executive Summary</w:t>
      </w:r>
    </w:p>
    <w:p>
      <w:pPr>
        <w:spacing w:after="60" w:before="60"/>
      </w:pPr>
      <w:r>
        <w:t xml:space="preserve"/>
      </w:r>
    </w:p>
    <w:p>
      <w:pPr>
        <w:spacing w:after="80" w:before="80"/>
        <w:jc w:val="both"/>
      </w:pPr>
      <w:r>
        <w:rPr>
          <w:rFonts w:ascii="Arial" w:cs="Arial" w:eastAsia="Arial" w:hAnsi="Arial"/>
          <w:color w:val="333333"/>
          <w:sz w:val="22"/>
          <w:szCs w:val="22"/>
        </w:rPr>
        <w:t xml:space="preserve">This report presents findings from a statistical analysis of 50,000 student records examining the effect of generative AI tool usage on academic performance, burnout risk, and the effectiveness of institutional AI policies. Three separate analyses were conducted using Python-based statistical methods including ANOVA, Tukey's HSD post-hoc test, multiple linear regression, logistic regression, and chi-square testing.</w:t>
      </w:r>
    </w:p>
    <w:p>
      <w:pPr>
        <w:spacing w:after="60" w:before="60"/>
      </w:pPr>
      <w:r>
        <w:t xml:space="preserve"/>
      </w:r>
    </w:p>
    <w:p>
      <w:pPr>
        <w:spacing w:after="80" w:before="80"/>
        <w:jc w:val="both"/>
      </w:pPr>
      <w:r>
        <w:rPr>
          <w:rFonts w:ascii="Arial" w:cs="Arial" w:eastAsia="Arial" w:hAnsi="Arial"/>
          <w:color w:val="333333"/>
          <w:sz w:val="22"/>
          <w:szCs w:val="22"/>
        </w:rPr>
        <w:t xml:space="preserve">The central finding across all three problems is consistent: how students use AI matters far more than how much they use it. Students who use AI for debugging and troubleshooting, develop advanced prompt engineering skills, and study in institutions that allow or encourage AI use — outperform their peers across every measured outcome.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60"/>
        <w:gridCol w:w="220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1 — Academic Impact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Does AI usage improve GPA?</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ANOVA + Regression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Yes — use case and skill level are decisive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 — Burnout Risk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Which students face burnout?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Logistic Regression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STEM + high AI dependency = highest risk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3 — Policy Effectiveness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Does institutional policy matter?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ANOVA + Chi-Square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Yes — Strict_Ban consistently underperforms</w:t>
            </w:r>
          </w:p>
        </w:tc>
      </w:tr>
    </w:tbl>
    <w:p>
      <w:pPr>
        <w:spacing w:after="60" w:before="6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Problem 1 — Academic Impact</w:t>
      </w:r>
    </w:p>
    <w:p>
      <w:pPr>
        <w:spacing w:after="160" w:before="80"/>
      </w:pPr>
      <w:r>
        <w:rPr>
          <w:rFonts w:ascii="Arial" w:cs="Arial" w:eastAsia="Arial" w:hAnsi="Arial"/>
          <w:i/>
          <w:iCs/>
          <w:color w:val="2E75B6"/>
          <w:sz w:val="24"/>
          <w:szCs w:val="24"/>
        </w:rPr>
        <w:t xml:space="preserve">Does AI tool usage actually improve student GPA, or does it vary by how they use it?</w:t>
      </w:r>
    </w:p>
    <w:p>
      <w:pPr>
        <w:pStyle w:val="Heading2"/>
        <w:spacing w:after="120" w:before="240"/>
      </w:pPr>
      <w:r>
        <w:rPr>
          <w:rFonts w:ascii="Arial" w:cs="Arial" w:eastAsia="Arial" w:hAnsi="Arial"/>
          <w:b/>
          <w:bCs/>
          <w:color w:val="2E75B6"/>
          <w:sz w:val="26"/>
          <w:szCs w:val="26"/>
        </w:rPr>
        <w:t xml:space="preserve">Statistical Tests Conducted</w:t>
      </w:r>
    </w:p>
    <w:p>
      <w:pPr>
        <w:pStyle w:val="ListParagraph"/>
        <w:numPr>
          <w:ilvl w:val="0"/>
          <w:numId w:val="2"/>
        </w:numPr>
        <w:spacing w:after="60" w:before="60"/>
      </w:pPr>
      <w:r>
        <w:rPr>
          <w:rFonts w:ascii="Arial" w:cs="Arial" w:eastAsia="Arial" w:hAnsi="Arial"/>
          <w:color w:val="333333"/>
          <w:sz w:val="22"/>
          <w:szCs w:val="22"/>
        </w:rPr>
        <w:t xml:space="preserve">One-way ANOVA — tested whether Primary_Use_Case and Prompt_Engineering_Skill groups differ significantly in GPA change</w:t>
      </w:r>
    </w:p>
    <w:p>
      <w:pPr>
        <w:pStyle w:val="ListParagraph"/>
        <w:numPr>
          <w:ilvl w:val="0"/>
          <w:numId w:val="2"/>
        </w:numPr>
        <w:spacing w:after="60" w:before="60"/>
      </w:pPr>
      <w:r>
        <w:rPr>
          <w:rFonts w:ascii="Arial" w:cs="Arial" w:eastAsia="Arial" w:hAnsi="Arial"/>
          <w:color w:val="333333"/>
          <w:sz w:val="22"/>
          <w:szCs w:val="22"/>
        </w:rPr>
        <w:t xml:space="preserve">Tukey's HSD Post-Hoc Test — identified which specific group pairs are different</w:t>
      </w:r>
    </w:p>
    <w:p>
      <w:pPr>
        <w:pStyle w:val="ListParagraph"/>
        <w:numPr>
          <w:ilvl w:val="0"/>
          <w:numId w:val="2"/>
        </w:numPr>
        <w:spacing w:after="60" w:before="60"/>
      </w:pPr>
      <w:r>
        <w:rPr>
          <w:rFonts w:ascii="Arial" w:cs="Arial" w:eastAsia="Arial" w:hAnsi="Arial"/>
          <w:color w:val="333333"/>
          <w:sz w:val="22"/>
          <w:szCs w:val="22"/>
        </w:rPr>
        <w:t xml:space="preserve">Multiple Linear Regression — controlled for all variables simultaneously to isolate true predictors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ANOVA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60"/>
        <w:gridCol w:w="32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 Tested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F-Statistic</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Conclusion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Primary_Use_Case vs GPA Change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422.67</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&lt; 0.0001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Reject H0 — groups differ significantly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Prompt_Engineering_Skill vs GPA Change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561.47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&lt; 0.0001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Reject H0 — groups differ significantly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8F4FD" w:val="clear"/>
            <w:tcMar>
              <w:top w:type="dxa" w:w="100"/>
              <w:left w:type="dxa" w:w="200"/>
              <w:bottom w:type="dxa" w:w="100"/>
              <w:right w:type="dxa" w:w="200"/>
            </w:tcMar>
          </w:tcPr>
          <w:p>
            <w:pPr>
              <w:spacing w:after="40" w:before="40"/>
            </w:pPr>
            <w:r>
              <w:rPr>
                <w:rFonts w:ascii="Arial" w:cs="Arial" w:eastAsia="Arial" w:hAnsi="Arial"/>
                <w:b/>
                <w:bCs/>
                <w:color w:val="1F4E79"/>
                <w:sz w:val="22"/>
                <w:szCs w:val="22"/>
              </w:rPr>
              <w:t xml:space="preserve">Interpretation: </w:t>
            </w:r>
            <w:r>
              <w:rPr>
                <w:rFonts w:ascii="Arial" w:cs="Arial" w:eastAsia="Arial" w:hAnsi="Arial"/>
                <w:color w:val="333333"/>
                <w:sz w:val="22"/>
                <w:szCs w:val="22"/>
              </w:rPr>
              <w:t xml:space="preserve">Both the type of AI use and the student's prompt skill level have a statistically significant effect on GPA change. The F-statistics of 422 and 561 are unusually large, indicating the group differences are not random noise — they are strong, systematic effects.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Key Findings from Tukey's Post-Hoc &amp; Regression</w:t>
      </w:r>
    </w:p>
    <w:p>
      <w:pPr>
        <w:spacing w:after="60" w:before="60"/>
      </w:pPr>
      <w:r>
        <w:t xml:space="preserve"/>
      </w:r>
    </w:p>
    <w:p>
      <w:pPr>
        <w:spacing w:after="80" w:before="200"/>
      </w:pPr>
      <w:r>
        <w:rPr>
          <w:rFonts w:ascii="Arial" w:cs="Arial" w:eastAsia="Arial" w:hAnsi="Arial"/>
          <w:b/>
          <w:bCs/>
          <w:color w:val="404040"/>
          <w:sz w:val="24"/>
          <w:szCs w:val="24"/>
        </w:rPr>
        <w:t xml:space="preserve">Finding 1 — Use Case Is the Strongest Predictor</w:t>
      </w:r>
    </w:p>
    <w:p>
      <w:pPr>
        <w:pStyle w:val="ListParagraph"/>
        <w:numPr>
          <w:ilvl w:val="0"/>
          <w:numId w:val="2"/>
        </w:numPr>
        <w:spacing w:after="60" w:before="60"/>
      </w:pPr>
      <w:r>
        <w:rPr>
          <w:rFonts w:ascii="Arial" w:cs="Arial" w:eastAsia="Arial" w:hAnsi="Arial"/>
          <w:b/>
          <w:bCs/>
          <w:color w:val="333333"/>
          <w:sz w:val="22"/>
          <w:szCs w:val="22"/>
        </w:rPr>
        <w:t xml:space="preserve"> Students using AI for debugging showed the highest GPA improvement. Regression coefficient: +0.0485 (p &lt; 0.001).</w:t>
      </w:r>
      <w:r>
        <w:rPr>
          <w:rFonts w:ascii="Arial" w:cs="Arial" w:eastAsia="Arial" w:hAnsi="Arial"/>
          <w:color w:val="333333"/>
          <w:sz w:val="22"/>
          <w:szCs w:val="22"/>
        </w:rPr>
        <w:t xml:space="preserve">Debugging/Troubleshooting:</w:t>
      </w:r>
    </w:p>
    <w:p>
      <w:pPr>
        <w:pStyle w:val="ListParagraph"/>
        <w:numPr>
          <w:ilvl w:val="0"/>
          <w:numId w:val="2"/>
        </w:numPr>
        <w:spacing w:after="60" w:before="60"/>
      </w:pPr>
      <w:r>
        <w:rPr>
          <w:rFonts w:ascii="Arial" w:cs="Arial" w:eastAsia="Arial" w:hAnsi="Arial"/>
          <w:b/>
          <w:bCs/>
          <w:color w:val="333333"/>
          <w:sz w:val="22"/>
          <w:szCs w:val="22"/>
        </w:rPr>
        <w:t xml:space="preserve"> Consistently the worst-performing use case. Regression coefficient: -0.0668 (p &lt; 0.001). This was the strongest and most consistent negative finding across all three tests.</w:t>
      </w:r>
      <w:r>
        <w:rPr>
          <w:rFonts w:ascii="Arial" w:cs="Arial" w:eastAsia="Arial" w:hAnsi="Arial"/>
          <w:color w:val="333333"/>
          <w:sz w:val="22"/>
          <w:szCs w:val="22"/>
        </w:rPr>
        <w:t xml:space="preserve">Direct_Answer_Generation:</w:t>
      </w:r>
    </w:p>
    <w:p>
      <w:pPr>
        <w:pStyle w:val="ListParagraph"/>
        <w:numPr>
          <w:ilvl w:val="0"/>
          <w:numId w:val="2"/>
        </w:numPr>
        <w:spacing w:after="60" w:before="60"/>
      </w:pPr>
      <w:r>
        <w:rPr>
          <w:rFonts w:ascii="Arial" w:cs="Arial" w:eastAsia="Arial" w:hAnsi="Arial"/>
          <w:color w:val="333333"/>
          <w:sz w:val="22"/>
          <w:szCs w:val="22"/>
        </w:rPr>
        <w:t xml:space="preserve">All other use cases (Creative_Writing, Research_Assistance, Learning_Concepts) fell between these two extremes and were statistically distinguishable from each other.</w:t>
      </w:r>
    </w:p>
    <w:p>
      <w:pPr>
        <w:spacing w:after="60" w:before="60"/>
      </w:pPr>
      <w:r>
        <w:t xml:space="preserve"/>
      </w:r>
    </w:p>
    <w:p>
      <w:pPr>
        <w:spacing w:after="80" w:before="200"/>
      </w:pPr>
      <w:r>
        <w:rPr>
          <w:rFonts w:ascii="Arial" w:cs="Arial" w:eastAsia="Arial" w:hAnsi="Arial"/>
          <w:b/>
          <w:bCs/>
          <w:color w:val="404040"/>
          <w:sz w:val="24"/>
          <w:szCs w:val="24"/>
        </w:rPr>
        <w:t xml:space="preserve">Finding 2 — Prompt Engineering Skill Matters</w:t>
      </w:r>
    </w:p>
    <w:p>
      <w:pPr>
        <w:pStyle w:val="ListParagraph"/>
        <w:numPr>
          <w:ilvl w:val="0"/>
          <w:numId w:val="2"/>
        </w:numPr>
        <w:spacing w:after="60" w:before="60"/>
      </w:pPr>
      <w:r>
        <w:rPr>
          <w:rFonts w:ascii="Arial" w:cs="Arial" w:eastAsia="Arial" w:hAnsi="Arial"/>
          <w:color w:val="333333"/>
          <w:sz w:val="22"/>
          <w:szCs w:val="22"/>
        </w:rPr>
        <w:t xml:space="preserve">Advanced prompt skill students significantly outperformed both Beginner and Intermediate.</w:t>
      </w:r>
    </w:p>
    <w:p>
      <w:pPr>
        <w:pStyle w:val="ListParagraph"/>
        <w:numPr>
          <w:ilvl w:val="0"/>
          <w:numId w:val="2"/>
        </w:numPr>
        <w:spacing w:after="60" w:before="60"/>
      </w:pPr>
      <w:r>
        <w:rPr>
          <w:rFonts w:ascii="Arial" w:cs="Arial" w:eastAsia="Arial" w:hAnsi="Arial"/>
          <w:color w:val="333333"/>
          <w:sz w:val="22"/>
          <w:szCs w:val="22"/>
        </w:rPr>
        <w:t xml:space="preserve">Beginner and Intermediate students performed identically (coefficient: -0.0606 each, p &lt; 0.001), suggesting the skill gap is binary — either you develop advanced skills, or you don't benefit much more than a beginner.</w:t>
      </w:r>
    </w:p>
    <w:p>
      <w:pPr>
        <w:spacing w:after="60" w:before="60"/>
      </w:pPr>
      <w:r>
        <w:t xml:space="preserve"/>
      </w:r>
    </w:p>
    <w:p>
      <w:pPr>
        <w:spacing w:after="80" w:before="200"/>
      </w:pPr>
      <w:r>
        <w:rPr>
          <w:rFonts w:ascii="Arial" w:cs="Arial" w:eastAsia="Arial" w:hAnsi="Arial"/>
          <w:b/>
          <w:bCs/>
          <w:color w:val="404040"/>
          <w:sz w:val="24"/>
          <w:szCs w:val="24"/>
        </w:rPr>
        <w:t xml:space="preserve">Finding 3 — Year of Study Is the Largest Individual Predictor</w:t>
      </w:r>
    </w:p>
    <w:p>
      <w:pPr>
        <w:pStyle w:val="ListParagraph"/>
        <w:numPr>
          <w:ilvl w:val="0"/>
          <w:numId w:val="2"/>
        </w:numPr>
        <w:spacing w:after="60" w:before="60"/>
      </w:pPr>
      <w:r>
        <w:rPr>
          <w:rFonts w:ascii="Arial" w:cs="Arial" w:eastAsia="Arial" w:hAnsi="Arial"/>
          <w:color w:val="333333"/>
          <w:sz w:val="22"/>
          <w:szCs w:val="22"/>
        </w:rPr>
        <w:t xml:space="preserve">Graduate: +0.1197 | Senior: +0.1101 | Junior: +0.0934 | Sophomore: +0.0443 — all significant.</w:t>
      </w:r>
    </w:p>
    <w:p>
      <w:pPr>
        <w:pStyle w:val="ListParagraph"/>
        <w:numPr>
          <w:ilvl w:val="0"/>
          <w:numId w:val="2"/>
        </w:numPr>
        <w:spacing w:after="60" w:before="60"/>
      </w:pPr>
      <w:r>
        <w:rPr>
          <w:rFonts w:ascii="Arial" w:cs="Arial" w:eastAsia="Arial" w:hAnsi="Arial"/>
          <w:color w:val="333333"/>
          <w:sz w:val="22"/>
          <w:szCs w:val="22"/>
        </w:rPr>
        <w:t xml:space="preserve">This makes intuitive sense: more experienced students know how to use AI as a tool rather than a crutch.</w:t>
      </w:r>
    </w:p>
    <w:p>
      <w:pPr>
        <w:spacing w:after="60" w:before="60"/>
      </w:pPr>
      <w:r>
        <w:t xml:space="preserve"/>
      </w:r>
    </w:p>
    <w:p>
      <w:pPr>
        <w:spacing w:after="80" w:before="200"/>
      </w:pPr>
      <w:r>
        <w:rPr>
          <w:rFonts w:ascii="Arial" w:cs="Arial" w:eastAsia="Arial" w:hAnsi="Arial"/>
          <w:b/>
          <w:bCs/>
          <w:color w:val="404040"/>
          <w:sz w:val="24"/>
          <w:szCs w:val="24"/>
        </w:rPr>
        <w:t xml:space="preserve">Finding 4 — Weekly AI Hours Have No Effect</w:t>
      </w:r>
    </w:p>
    <w:p>
      <w:pPr>
        <w:pStyle w:val="ListParagraph"/>
        <w:numPr>
          <w:ilvl w:val="0"/>
          <w:numId w:val="2"/>
        </w:numPr>
        <w:spacing w:after="60" w:before="60"/>
      </w:pPr>
      <w:r>
        <w:rPr>
          <w:rFonts w:ascii="Arial" w:cs="Arial" w:eastAsia="Arial" w:hAnsi="Arial"/>
          <w:color w:val="333333"/>
          <w:sz w:val="22"/>
          <w:szCs w:val="22"/>
        </w:rPr>
        <w:t xml:space="preserve">After controlling for all other variables, weekly AI hours had a coefficient of essentially zero (0.000008) with p = 0.370.</w:t>
      </w:r>
    </w:p>
    <w:p>
      <w:pPr>
        <w:pStyle w:val="ListParagraph"/>
        <w:numPr>
          <w:ilvl w:val="0"/>
          <w:numId w:val="2"/>
        </w:numPr>
        <w:spacing w:after="60" w:before="60"/>
      </w:pPr>
      <w:r>
        <w:rPr>
          <w:rFonts w:ascii="Arial" w:cs="Arial" w:eastAsia="Arial" w:hAnsi="Arial"/>
          <w:color w:val="333333"/>
          <w:sz w:val="22"/>
          <w:szCs w:val="22"/>
        </w:rPr>
        <w:t xml:space="preserve">This is one of the most important findings: more time spent on AI does not automatically produce better outcomes. Behavior drives results, not hours.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8F4FD" w:val="clear"/>
            <w:tcMar>
              <w:top w:type="dxa" w:w="100"/>
              <w:left w:type="dxa" w:w="200"/>
              <w:bottom w:type="dxa" w:w="100"/>
              <w:right w:type="dxa" w:w="200"/>
            </w:tcMar>
          </w:tcPr>
          <w:p>
            <w:pPr>
              <w:spacing w:after="40" w:before="40"/>
            </w:pPr>
            <w:r>
              <w:rPr>
                <w:rFonts w:ascii="Arial" w:cs="Arial" w:eastAsia="Arial" w:hAnsi="Arial"/>
                <w:b/>
                <w:bCs/>
                <w:color w:val="1F4E79"/>
                <w:sz w:val="22"/>
                <w:szCs w:val="22"/>
              </w:rPr>
              <w:t xml:space="preserve">Bottom Line: </w:t>
            </w:r>
            <w:r>
              <w:rPr>
                <w:rFonts w:ascii="Arial" w:cs="Arial" w:eastAsia="Arial" w:hAnsi="Arial"/>
                <w:color w:val="333333"/>
                <w:sz w:val="22"/>
                <w:szCs w:val="22"/>
              </w:rPr>
              <w:t xml:space="preserve">The data does not support the idea that simply using more AI leads to better grades. What predicts academic improvement is using AI in the right way — for debugging and active problem-solving — while developing strong prompt engineering skills. Passive use (asking for direct answers) is associated with lower GPA change even after controlling for other variables.</w:t>
            </w:r>
          </w:p>
        </w:tc>
      </w:tr>
    </w:tbl>
    <w:p>
      <w:pPr>
        <w:spacing w:after="60" w:before="6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Problem 2 — Burnout &amp; Wellbeing Risk</w:t>
      </w:r>
    </w:p>
    <w:p>
      <w:pPr>
        <w:spacing w:after="160" w:before="80"/>
      </w:pPr>
      <w:r>
        <w:rPr>
          <w:rFonts w:ascii="Arial" w:cs="Arial" w:eastAsia="Arial" w:hAnsi="Arial"/>
          <w:i/>
          <w:iCs/>
          <w:color w:val="2E75B6"/>
          <w:sz w:val="24"/>
          <w:szCs w:val="24"/>
        </w:rPr>
        <w:t xml:space="preserve">Which student profiles are at highest risk of burnout, and can we predict it early?</w:t>
      </w:r>
    </w:p>
    <w:p>
      <w:pPr>
        <w:pStyle w:val="Heading2"/>
        <w:spacing w:after="120" w:before="240"/>
      </w:pPr>
      <w:r>
        <w:rPr>
          <w:rFonts w:ascii="Arial" w:cs="Arial" w:eastAsia="Arial" w:hAnsi="Arial"/>
          <w:b/>
          <w:bCs/>
          <w:color w:val="2E75B6"/>
          <w:sz w:val="26"/>
          <w:szCs w:val="26"/>
        </w:rPr>
        <w:t xml:space="preserve">Statistical Tests Conducted</w:t>
      </w:r>
    </w:p>
    <w:p>
      <w:pPr>
        <w:pStyle w:val="ListParagraph"/>
        <w:numPr>
          <w:ilvl w:val="0"/>
          <w:numId w:val="2"/>
        </w:numPr>
        <w:spacing w:after="60" w:before="60"/>
      </w:pPr>
      <w:r>
        <w:rPr>
          <w:rFonts w:ascii="Arial" w:cs="Arial" w:eastAsia="Arial" w:hAnsi="Arial"/>
          <w:color w:val="333333"/>
          <w:sz w:val="22"/>
          <w:szCs w:val="22"/>
        </w:rPr>
        <w:t xml:space="preserve">Logistic Regression — classified students into Low, Medium, or High burnout risk using behavioral and demographic features</w:t>
      </w:r>
    </w:p>
    <w:p>
      <w:pPr>
        <w:pStyle w:val="ListParagraph"/>
        <w:numPr>
          <w:ilvl w:val="0"/>
          <w:numId w:val="2"/>
        </w:numPr>
        <w:spacing w:after="60" w:before="60"/>
      </w:pPr>
      <w:r>
        <w:rPr>
          <w:rFonts w:ascii="Arial" w:cs="Arial" w:eastAsia="Arial" w:hAnsi="Arial"/>
          <w:color w:val="333333"/>
          <w:sz w:val="22"/>
          <w:szCs w:val="22"/>
        </w:rPr>
        <w:t xml:space="preserve">Confusion Matrix — evaluated prediction accuracy against 10,000 unseen test students</w:t>
      </w:r>
    </w:p>
    <w:p>
      <w:pPr>
        <w:pStyle w:val="ListParagraph"/>
        <w:numPr>
          <w:ilvl w:val="0"/>
          <w:numId w:val="2"/>
        </w:numPr>
        <w:spacing w:after="60" w:before="60"/>
      </w:pPr>
      <w:r>
        <w:rPr>
          <w:rFonts w:ascii="Arial" w:cs="Arial" w:eastAsia="Arial" w:hAnsi="Arial"/>
          <w:color w:val="333333"/>
          <w:sz w:val="22"/>
          <w:szCs w:val="22"/>
        </w:rPr>
        <w:t xml:space="preserve">Feature Importance Chart — identified which variables most strongly predict burnout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Model Performance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5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Context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Overall Accuracy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53%</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Vs. 33% random baseline for 3 categories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Training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40,000 students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80% of dataset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Test Set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10,000 students</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20% of dataset, never seen during training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Biggest Weakness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Low vs Medium confusion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Similar profiles — acceptable for a baseline model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8F4FD" w:val="clear"/>
            <w:tcMar>
              <w:top w:type="dxa" w:w="100"/>
              <w:left w:type="dxa" w:w="200"/>
              <w:bottom w:type="dxa" w:w="100"/>
              <w:right w:type="dxa" w:w="200"/>
            </w:tcMar>
          </w:tcPr>
          <w:p>
            <w:pPr>
              <w:spacing w:after="40" w:before="40"/>
            </w:pPr>
            <w:r>
              <w:rPr>
                <w:rFonts w:ascii="Arial" w:cs="Arial" w:eastAsia="Arial" w:hAnsi="Arial"/>
                <w:b/>
                <w:bCs/>
                <w:color w:val="1F4E79"/>
                <w:sz w:val="22"/>
                <w:szCs w:val="22"/>
              </w:rPr>
              <w:t xml:space="preserve">Note: </w:t>
            </w:r>
            <w:r>
              <w:rPr>
                <w:rFonts w:ascii="Arial" w:cs="Arial" w:eastAsia="Arial" w:hAnsi="Arial"/>
                <w:color w:val="333333"/>
                <w:sz w:val="22"/>
                <w:szCs w:val="22"/>
              </w:rPr>
              <w:t xml:space="preserve">53% accuracy on a 3-class problem is meaningfully better than chance (33%). The model's primary limitation is distinguishing Low from Medium burnout — two groups that are genuinely similar. Missing High burnout students is the more critical gap for real-world intervention.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Key Findings — Who Is At Risk</w:t>
      </w:r>
    </w:p>
    <w:p>
      <w:pPr>
        <w:spacing w:after="60" w:before="60"/>
      </w:pPr>
      <w:r>
        <w:t xml:space="preserve"/>
      </w:r>
    </w:p>
    <w:p>
      <w:pPr>
        <w:spacing w:after="80" w:before="200"/>
      </w:pPr>
      <w:r>
        <w:rPr>
          <w:rFonts w:ascii="Arial" w:cs="Arial" w:eastAsia="Arial" w:hAnsi="Arial"/>
          <w:b/>
          <w:bCs/>
          <w:color w:val="404040"/>
          <w:sz w:val="24"/>
          <w:szCs w:val="24"/>
        </w:rPr>
        <w:t xml:space="preserve">Highest Risk Profile</w:t>
      </w:r>
    </w:p>
    <w:p>
      <w:pPr>
        <w:pStyle w:val="ListParagraph"/>
        <w:numPr>
          <w:ilvl w:val="0"/>
          <w:numId w:val="2"/>
        </w:numPr>
        <w:spacing w:after="60" w:before="60"/>
      </w:pPr>
      <w:r>
        <w:rPr>
          <w:rFonts w:ascii="Arial" w:cs="Arial" w:eastAsia="Arial" w:hAnsi="Arial"/>
          <w:color w:val="333333"/>
          <w:sz w:val="22"/>
          <w:szCs w:val="22"/>
        </w:rPr>
        <w:t xml:space="preserve">STEM students are the most at-risk major category (strongest positive feature coefficient).</w:t>
      </w:r>
    </w:p>
    <w:p>
      <w:pPr>
        <w:pStyle w:val="ListParagraph"/>
        <w:numPr>
          <w:ilvl w:val="0"/>
          <w:numId w:val="2"/>
        </w:numPr>
        <w:spacing w:after="60" w:before="60"/>
      </w:pPr>
      <w:r>
        <w:rPr>
          <w:rFonts w:ascii="Arial" w:cs="Arial" w:eastAsia="Arial" w:hAnsi="Arial"/>
          <w:color w:val="333333"/>
          <w:sz w:val="22"/>
          <w:szCs w:val="22"/>
        </w:rPr>
        <w:t xml:space="preserve">High perceived AI dependency is a strong predictor of burnout — students who feel they cannot function without AI show higher burnout rates.</w:t>
      </w:r>
    </w:p>
    <w:p>
      <w:pPr>
        <w:pStyle w:val="ListParagraph"/>
        <w:numPr>
          <w:ilvl w:val="0"/>
          <w:numId w:val="2"/>
        </w:numPr>
        <w:spacing w:after="60" w:before="60"/>
      </w:pPr>
      <w:r>
        <w:rPr>
          <w:rFonts w:ascii="Arial" w:cs="Arial" w:eastAsia="Arial" w:hAnsi="Arial"/>
          <w:color w:val="333333"/>
          <w:sz w:val="22"/>
          <w:szCs w:val="22"/>
        </w:rPr>
        <w:t xml:space="preserve">More traditional study hours also increases burnout risk, suggesting that students who combine heavy AI use with heavy traditional study are overloading themselves.</w:t>
      </w:r>
    </w:p>
    <w:p>
      <w:pPr>
        <w:pStyle w:val="ListParagraph"/>
        <w:numPr>
          <w:ilvl w:val="0"/>
          <w:numId w:val="2"/>
        </w:numPr>
        <w:spacing w:after="60" w:before="60"/>
      </w:pPr>
      <w:r>
        <w:rPr>
          <w:rFonts w:ascii="Arial" w:cs="Arial" w:eastAsia="Arial" w:hAnsi="Arial"/>
          <w:color w:val="333333"/>
          <w:sz w:val="22"/>
          <w:szCs w:val="22"/>
        </w:rPr>
        <w:t xml:space="preserve">Junior and Senior year students show slightly higher burnout, though the effect size for year of study was small.</w:t>
      </w:r>
    </w:p>
    <w:p>
      <w:pPr>
        <w:spacing w:after="60" w:before="60"/>
      </w:pPr>
      <w:r>
        <w:t xml:space="preserve"/>
      </w:r>
    </w:p>
    <w:p>
      <w:pPr>
        <w:spacing w:after="80" w:before="200"/>
      </w:pPr>
      <w:r>
        <w:rPr>
          <w:rFonts w:ascii="Arial" w:cs="Arial" w:eastAsia="Arial" w:hAnsi="Arial"/>
          <w:b/>
          <w:bCs/>
          <w:color w:val="404040"/>
          <w:sz w:val="24"/>
          <w:szCs w:val="24"/>
        </w:rPr>
        <w:t xml:space="preserve">Lowest Risk Profile</w:t>
      </w:r>
    </w:p>
    <w:p>
      <w:pPr>
        <w:pStyle w:val="ListParagraph"/>
        <w:numPr>
          <w:ilvl w:val="0"/>
          <w:numId w:val="2"/>
        </w:numPr>
        <w:spacing w:after="60" w:before="60"/>
      </w:pPr>
      <w:r>
        <w:rPr>
          <w:rFonts w:ascii="Arial" w:cs="Arial" w:eastAsia="Arial" w:hAnsi="Arial"/>
          <w:color w:val="333333"/>
          <w:sz w:val="22"/>
          <w:szCs w:val="22"/>
        </w:rPr>
        <w:t xml:space="preserve">Medical and Business students show the lowest burnout risk (strongest negative coefficients).</w:t>
      </w:r>
    </w:p>
    <w:p>
      <w:pPr>
        <w:pStyle w:val="ListParagraph"/>
        <w:numPr>
          <w:ilvl w:val="0"/>
          <w:numId w:val="2"/>
        </w:numPr>
        <w:spacing w:after="60" w:before="60"/>
      </w:pPr>
      <w:r>
        <w:rPr>
          <w:rFonts w:ascii="Arial" w:cs="Arial" w:eastAsia="Arial" w:hAnsi="Arial"/>
          <w:color w:val="333333"/>
          <w:sz w:val="22"/>
          <w:szCs w:val="22"/>
        </w:rPr>
        <w:t xml:space="preserve">Sophomore year students trend toward lower burnout — consistent with being earlier in their academic journey before pressure accumulates.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8F4FD" w:val="clear"/>
            <w:tcMar>
              <w:top w:type="dxa" w:w="100"/>
              <w:left w:type="dxa" w:w="200"/>
              <w:bottom w:type="dxa" w:w="100"/>
              <w:right w:type="dxa" w:w="200"/>
            </w:tcMar>
          </w:tcPr>
          <w:p>
            <w:pPr>
              <w:spacing w:after="40" w:before="40"/>
            </w:pPr>
            <w:r>
              <w:rPr>
                <w:rFonts w:ascii="Arial" w:cs="Arial" w:eastAsia="Arial" w:hAnsi="Arial"/>
                <w:b/>
                <w:bCs/>
                <w:color w:val="1F4E79"/>
                <w:sz w:val="22"/>
                <w:szCs w:val="22"/>
              </w:rPr>
              <w:t xml:space="preserve">Bottom Line: </w:t>
            </w:r>
            <w:r>
              <w:rPr>
                <w:rFonts w:ascii="Arial" w:cs="Arial" w:eastAsia="Arial" w:hAnsi="Arial"/>
                <w:color w:val="333333"/>
                <w:sz w:val="22"/>
                <w:szCs w:val="22"/>
              </w:rPr>
              <w:t xml:space="preserve">STEM students in upper years who report high AI dependency and carry heavy traditional study loads represent the highest-risk burnout profile. Institutions looking to intervene early should prioritize this group. The model is a baseline — not a finished product — and would benefit from additional features like sleep patterns, financial stress, and social support data.</w:t>
            </w:r>
          </w:p>
        </w:tc>
      </w:tr>
    </w:tbl>
    <w:p>
      <w:pPr>
        <w:spacing w:after="60" w:before="6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Problem 3 — Institutional Policy Effectiveness</w:t>
      </w:r>
    </w:p>
    <w:p>
      <w:pPr>
        <w:spacing w:after="160" w:before="80"/>
      </w:pPr>
      <w:r>
        <w:rPr>
          <w:rFonts w:ascii="Arial" w:cs="Arial" w:eastAsia="Arial" w:hAnsi="Arial"/>
          <w:i/>
          <w:iCs/>
          <w:color w:val="2E75B6"/>
          <w:sz w:val="24"/>
          <w:szCs w:val="24"/>
        </w:rPr>
        <w:t xml:space="preserve">Does the institution's AI policy actually influence student outcomes — and is it working?</w:t>
      </w:r>
    </w:p>
    <w:p>
      <w:pPr>
        <w:pStyle w:val="Heading2"/>
        <w:spacing w:after="120" w:before="240"/>
      </w:pPr>
      <w:r>
        <w:rPr>
          <w:rFonts w:ascii="Arial" w:cs="Arial" w:eastAsia="Arial" w:hAnsi="Arial"/>
          <w:b/>
          <w:bCs/>
          <w:color w:val="2E75B6"/>
          <w:sz w:val="26"/>
          <w:szCs w:val="26"/>
        </w:rPr>
        <w:t xml:space="preserve">Statistical Tests Conducted</w:t>
      </w:r>
    </w:p>
    <w:p>
      <w:pPr>
        <w:pStyle w:val="ListParagraph"/>
        <w:numPr>
          <w:ilvl w:val="0"/>
          <w:numId w:val="2"/>
        </w:numPr>
        <w:spacing w:after="60" w:before="60"/>
      </w:pPr>
      <w:r>
        <w:rPr>
          <w:rFonts w:ascii="Arial" w:cs="Arial" w:eastAsia="Arial" w:hAnsi="Arial"/>
          <w:color w:val="333333"/>
          <w:sz w:val="22"/>
          <w:szCs w:val="22"/>
        </w:rPr>
        <w:t xml:space="preserve">One-way ANOVA — tested GPA Change and Skill Retention Score differences across policy groups</w:t>
      </w:r>
    </w:p>
    <w:p>
      <w:pPr>
        <w:pStyle w:val="ListParagraph"/>
        <w:numPr>
          <w:ilvl w:val="0"/>
          <w:numId w:val="2"/>
        </w:numPr>
        <w:spacing w:after="60" w:before="60"/>
      </w:pPr>
      <w:r>
        <w:rPr>
          <w:rFonts w:ascii="Arial" w:cs="Arial" w:eastAsia="Arial" w:hAnsi="Arial"/>
          <w:color w:val="333333"/>
          <w:sz w:val="22"/>
          <w:szCs w:val="22"/>
        </w:rPr>
        <w:t xml:space="preserve">Tukey's HSD Post-Hoc Test — identified which specific policy pairs produce significantly different outcomes</w:t>
      </w:r>
    </w:p>
    <w:p>
      <w:pPr>
        <w:pStyle w:val="ListParagraph"/>
        <w:numPr>
          <w:ilvl w:val="0"/>
          <w:numId w:val="2"/>
        </w:numPr>
        <w:spacing w:after="60" w:before="60"/>
      </w:pPr>
      <w:r>
        <w:rPr>
          <w:rFonts w:ascii="Arial" w:cs="Arial" w:eastAsia="Arial" w:hAnsi="Arial"/>
          <w:color w:val="333333"/>
          <w:sz w:val="22"/>
          <w:szCs w:val="22"/>
        </w:rPr>
        <w:t xml:space="preserve">Chi-Square Test — tested whether Burnout Risk Level distribution differs significantly across policy groups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Policy Groups in Dataset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Policy Type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Actively_Encouraged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Institution promotes and supports AI use with no restrictions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Allowed_With_Citation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AI permitted but students must disclose and cite AI assistance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Strict_Ban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AI use is prohibited — students expected to work without AI tools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ANOVA &amp; Tukey's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 Metric</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ANOVA Result</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Tukey Finding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GPA Change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Significant (p &lt; 0.001)</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Strict_Ban significantly lower than both others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Skill Retention Score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Significant (p &lt; 0.001)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Strict_Ban ~1 point below Actively_Encouraged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Burnout Risk (Chi-Square)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Significant (p &lt; 0.001)</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Strict_Ban has 29.8% High burnout vs 23.8% for others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Key Findings</w:t>
      </w:r>
    </w:p>
    <w:p>
      <w:pPr>
        <w:spacing w:after="60" w:before="60"/>
      </w:pPr>
      <w:r>
        <w:t xml:space="preserve"/>
      </w:r>
    </w:p>
    <w:p>
      <w:pPr>
        <w:spacing w:after="80" w:before="200"/>
      </w:pPr>
      <w:r>
        <w:rPr>
          <w:rFonts w:ascii="Arial" w:cs="Arial" w:eastAsia="Arial" w:hAnsi="Arial"/>
          <w:b/>
          <w:bCs/>
          <w:color w:val="404040"/>
          <w:sz w:val="24"/>
          <w:szCs w:val="24"/>
        </w:rPr>
        <w:t xml:space="preserve">Finding 1 — Actively_Encouraged and Allowed_With_Citation Are Equivalent</w:t>
      </w:r>
    </w:p>
    <w:p>
      <w:pPr>
        <w:pStyle w:val="ListParagraph"/>
        <w:numPr>
          <w:ilvl w:val="0"/>
          <w:numId w:val="2"/>
        </w:numPr>
        <w:spacing w:after="60" w:before="60"/>
      </w:pPr>
      <w:r>
        <w:rPr>
          <w:rFonts w:ascii="Arial" w:cs="Arial" w:eastAsia="Arial" w:hAnsi="Arial"/>
          <w:color w:val="333333"/>
          <w:sz w:val="22"/>
          <w:szCs w:val="22"/>
        </w:rPr>
        <w:t xml:space="preserve">Tukey's test found no statistically significant difference between these two policies on any metric.</w:t>
      </w:r>
    </w:p>
    <w:p>
      <w:pPr>
        <w:pStyle w:val="ListParagraph"/>
        <w:numPr>
          <w:ilvl w:val="0"/>
          <w:numId w:val="2"/>
        </w:numPr>
        <w:spacing w:after="60" w:before="60"/>
      </w:pPr>
      <w:r>
        <w:rPr>
          <w:rFonts w:ascii="Arial" w:cs="Arial" w:eastAsia="Arial" w:hAnsi="Arial"/>
          <w:color w:val="333333"/>
          <w:sz w:val="22"/>
          <w:szCs w:val="22"/>
        </w:rPr>
        <w:t xml:space="preserve">This means requiring citation does not hurt outcomes — institutions can enforce academic integrity without sacrificing student performance.</w:t>
      </w:r>
    </w:p>
    <w:p>
      <w:pPr>
        <w:spacing w:after="60" w:before="60"/>
      </w:pPr>
      <w:r>
        <w:t xml:space="preserve"/>
      </w:r>
    </w:p>
    <w:p>
      <w:pPr>
        <w:spacing w:after="80" w:before="200"/>
      </w:pPr>
      <w:r>
        <w:rPr>
          <w:rFonts w:ascii="Arial" w:cs="Arial" w:eastAsia="Arial" w:hAnsi="Arial"/>
          <w:b/>
          <w:bCs/>
          <w:color w:val="404040"/>
          <w:sz w:val="24"/>
          <w:szCs w:val="24"/>
        </w:rPr>
        <w:t xml:space="preserve">Finding 2 — Strict_Ban Consistently Underperforms</w:t>
      </w:r>
    </w:p>
    <w:p>
      <w:pPr>
        <w:pStyle w:val="ListParagraph"/>
        <w:numPr>
          <w:ilvl w:val="0"/>
          <w:numId w:val="2"/>
        </w:numPr>
        <w:spacing w:after="60" w:before="60"/>
      </w:pPr>
      <w:r>
        <w:rPr>
          <w:rFonts w:ascii="Arial" w:cs="Arial" w:eastAsia="Arial" w:hAnsi="Arial"/>
          <w:color w:val="333333"/>
          <w:sz w:val="22"/>
          <w:szCs w:val="22"/>
        </w:rPr>
        <w:t xml:space="preserve">Lowest average GPA change of the three policy groups.</w:t>
      </w:r>
    </w:p>
    <w:p>
      <w:pPr>
        <w:pStyle w:val="ListParagraph"/>
        <w:numPr>
          <w:ilvl w:val="0"/>
          <w:numId w:val="2"/>
        </w:numPr>
        <w:spacing w:after="60" w:before="60"/>
      </w:pPr>
      <w:r>
        <w:rPr>
          <w:rFonts w:ascii="Arial" w:cs="Arial" w:eastAsia="Arial" w:hAnsi="Arial"/>
          <w:color w:val="333333"/>
          <w:sz w:val="22"/>
          <w:szCs w:val="22"/>
        </w:rPr>
        <w:t xml:space="preserve">Lowest Skill Retention Score — approximately 1 point below the other two policies.</w:t>
      </w:r>
    </w:p>
    <w:p>
      <w:pPr>
        <w:pStyle w:val="ListParagraph"/>
        <w:numPr>
          <w:ilvl w:val="0"/>
          <w:numId w:val="2"/>
        </w:numPr>
        <w:spacing w:after="60" w:before="60"/>
      </w:pPr>
      <w:r>
        <w:rPr>
          <w:rFonts w:ascii="Arial" w:cs="Arial" w:eastAsia="Arial" w:hAnsi="Arial"/>
          <w:color w:val="333333"/>
          <w:sz w:val="22"/>
          <w:szCs w:val="22"/>
        </w:rPr>
        <w:t xml:space="preserve">Highest proportion of High burnout students: 29.8% vs 23.8% in other groups.</w:t>
      </w:r>
    </w:p>
    <w:p>
      <w:pPr>
        <w:pStyle w:val="ListParagraph"/>
        <w:numPr>
          <w:ilvl w:val="0"/>
          <w:numId w:val="2"/>
        </w:numPr>
        <w:spacing w:after="60" w:before="60"/>
      </w:pPr>
      <w:r>
        <w:rPr>
          <w:rFonts w:ascii="Arial" w:cs="Arial" w:eastAsia="Arial" w:hAnsi="Arial"/>
          <w:color w:val="333333"/>
          <w:sz w:val="22"/>
          <w:szCs w:val="22"/>
        </w:rPr>
        <w:t xml:space="preserve">Lowest proportion of Low burnout students: 30.3% vs approximately 34% in other groups.</w:t>
      </w:r>
    </w:p>
    <w:p>
      <w:pPr>
        <w:spacing w:after="60" w:before="60"/>
      </w:pPr>
      <w:r>
        <w:t xml:space="preserve"/>
      </w:r>
    </w:p>
    <w:p>
      <w:pPr>
        <w:spacing w:after="80" w:before="200"/>
      </w:pPr>
      <w:r>
        <w:rPr>
          <w:rFonts w:ascii="Arial" w:cs="Arial" w:eastAsia="Arial" w:hAnsi="Arial"/>
          <w:b/>
          <w:bCs/>
          <w:color w:val="404040"/>
          <w:sz w:val="24"/>
          <w:szCs w:val="24"/>
        </w:rPr>
        <w:t xml:space="preserve">Finding 3 — The Practical Gap on Skill Retention Is Modest</w:t>
      </w:r>
    </w:p>
    <w:p>
      <w:pPr>
        <w:pStyle w:val="ListParagraph"/>
        <w:numPr>
          <w:ilvl w:val="0"/>
          <w:numId w:val="2"/>
        </w:numPr>
        <w:spacing w:after="60" w:before="60"/>
      </w:pPr>
      <w:r>
        <w:rPr>
          <w:rFonts w:ascii="Arial" w:cs="Arial" w:eastAsia="Arial" w:hAnsi="Arial"/>
          <w:color w:val="333333"/>
          <w:sz w:val="22"/>
          <w:szCs w:val="22"/>
        </w:rPr>
        <w:t xml:space="preserve">While statistically significant (confirmed by ANOVA), the ~1 point gap in Skill Retention Score is real but modest. With 50,000 records, even small differences become statistically detectable.</w:t>
      </w:r>
    </w:p>
    <w:p>
      <w:pPr>
        <w:pStyle w:val="ListParagraph"/>
        <w:numPr>
          <w:ilvl w:val="0"/>
          <w:numId w:val="2"/>
        </w:numPr>
        <w:spacing w:after="60" w:before="60"/>
      </w:pPr>
      <w:r>
        <w:rPr>
          <w:rFonts w:ascii="Arial" w:cs="Arial" w:eastAsia="Arial" w:hAnsi="Arial"/>
          <w:color w:val="333333"/>
          <w:sz w:val="22"/>
          <w:szCs w:val="22"/>
        </w:rPr>
        <w:t xml:space="preserve">The burnout and GPA findings provide stronger practical evidence against Strict_Ban than the skill retention gap alone.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8F4FD" w:val="clear"/>
            <w:tcMar>
              <w:top w:type="dxa" w:w="100"/>
              <w:left w:type="dxa" w:w="200"/>
              <w:bottom w:type="dxa" w:w="100"/>
              <w:right w:type="dxa" w:w="200"/>
            </w:tcMar>
          </w:tcPr>
          <w:p>
            <w:pPr>
              <w:spacing w:after="40" w:before="40"/>
            </w:pPr>
            <w:r>
              <w:rPr>
                <w:rFonts w:ascii="Arial" w:cs="Arial" w:eastAsia="Arial" w:hAnsi="Arial"/>
                <w:b/>
                <w:bCs/>
                <w:color w:val="1F4E79"/>
                <w:sz w:val="22"/>
                <w:szCs w:val="22"/>
              </w:rPr>
              <w:t xml:space="preserve">Bottom Line: </w:t>
            </w:r>
            <w:r>
              <w:rPr>
                <w:rFonts w:ascii="Arial" w:cs="Arial" w:eastAsia="Arial" w:hAnsi="Arial"/>
                <w:color w:val="333333"/>
                <w:sz w:val="22"/>
                <w:szCs w:val="22"/>
              </w:rPr>
              <w:t xml:space="preserve">Institutional AI policy has a measurable and statistically significant effect on student outcomes. Strict_Ban is not protecting students — it is associated with worse academic performance, lower skill retention, and higher burnout. Allowing AI with citation requirements produces outcomes indistinguishable from full encouragement, suggesting this is the optimal policy: it preserves academic integrity while not disadvantaging students.</w:t>
            </w:r>
          </w:p>
        </w:tc>
      </w:tr>
    </w:tbl>
    <w:p>
      <w:pPr>
        <w:spacing w:after="60" w:before="6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Overall Conclusions &amp; Recommendations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What the Data Is Telling Us</w:t>
      </w:r>
    </w:p>
    <w:p>
      <w:pPr>
        <w:spacing w:after="80" w:before="80"/>
        <w:jc w:val="both"/>
      </w:pPr>
      <w:r>
        <w:rPr>
          <w:rFonts w:ascii="Arial" w:cs="Arial" w:eastAsia="Arial" w:hAnsi="Arial"/>
          <w:color w:val="333333"/>
          <w:sz w:val="22"/>
          <w:szCs w:val="22"/>
        </w:rPr>
        <w:t xml:space="preserve">Across all three problems, a consistent picture emerges: the quality and context of AI use is what drives outcomes, not the quantity. Students who use AI actively and skillfully — for debugging, with advanced prompting, in supportive institutional environments — outperform peers who use AI passively, heavily, or under restrictive policies.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Recommendations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Audience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 Basis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Students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Focus AI use on debugging and active problem-solving, not answer generation. Invest in developing advanced prompt engineering skills.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Problem 1 — strongest GPA predictors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Institutions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Adopt Allowed_With_Citation policy at minimum. Strict bans are associated with worse outcomes without clear protective benefit.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Problem 3 — Tukey's + Chi-Square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Advisors / Counselors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Flag STEM students in Junior/Senior years with high AI dependency for early burnout intervention.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Problem 2 — Logistic Regression feature importance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Researchers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Future models should incorporate sleep, financial stress, and social support data to improve burnout prediction beyond the current 53% baseline.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Problem 2 — model limitations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Limitations</w:t>
      </w:r>
    </w:p>
    <w:p>
      <w:pPr>
        <w:pStyle w:val="ListParagraph"/>
        <w:numPr>
          <w:ilvl w:val="0"/>
          <w:numId w:val="2"/>
        </w:numPr>
        <w:spacing w:after="60" w:before="60"/>
      </w:pPr>
      <w:r>
        <w:rPr>
          <w:rFonts w:ascii="Arial" w:cs="Arial" w:eastAsia="Arial" w:hAnsi="Arial"/>
          <w:color w:val="333333"/>
          <w:sz w:val="22"/>
          <w:szCs w:val="22"/>
        </w:rPr>
        <w:t xml:space="preserve">This is observational data — we cannot establish causation, only association. A student who uses AI for debugging may already be a stronger student before AI enters the picture.</w:t>
      </w:r>
    </w:p>
    <w:p>
      <w:pPr>
        <w:pStyle w:val="ListParagraph"/>
        <w:numPr>
          <w:ilvl w:val="0"/>
          <w:numId w:val="2"/>
        </w:numPr>
        <w:spacing w:after="60" w:before="60"/>
      </w:pPr>
      <w:r>
        <w:rPr>
          <w:rFonts w:ascii="Arial" w:cs="Arial" w:eastAsia="Arial" w:hAnsi="Arial"/>
          <w:color w:val="333333"/>
          <w:sz w:val="22"/>
          <w:szCs w:val="22"/>
        </w:rPr>
        <w:t xml:space="preserve">The burnout model achieves 53% accuracy — meaningful but not deployment-ready. Additional features would be needed for practical early warning systems.</w:t>
      </w:r>
    </w:p>
    <w:p>
      <w:pPr>
        <w:pStyle w:val="ListParagraph"/>
        <w:numPr>
          <w:ilvl w:val="0"/>
          <w:numId w:val="2"/>
        </w:numPr>
        <w:spacing w:after="60" w:before="60"/>
      </w:pPr>
      <w:r>
        <w:rPr>
          <w:rFonts w:ascii="Arial" w:cs="Arial" w:eastAsia="Arial" w:hAnsi="Arial"/>
          <w:color w:val="333333"/>
          <w:sz w:val="22"/>
          <w:szCs w:val="22"/>
        </w:rPr>
        <w:t xml:space="preserve">The dataset is synthetic or anonymized — real-world results may vary across institutions with different demographics, course structures, and AI tools available.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Analytical Methods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One-way ANOVA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1 &amp; 3</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Test whether group means differ significantly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Tukey's HSD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 &amp; 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Identify which specific group pairs differ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Multiple Linear Regression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1</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Isolate each variable's true effect while controlling for others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Logistic Regression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Predict categorical burnout level from behavioral/demographic features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Confusion Matrix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2</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333333"/>
                <w:sz w:val="20"/>
                <w:szCs w:val="20"/>
              </w:rPr>
              <w:t xml:space="preserve">Evaluate model prediction accuracy across all 3 burnout categories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Chi-Square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Test association between policy type and burnout risk distribution</w:t>
            </w:r>
          </w:p>
        </w:tc>
      </w:tr>
    </w:tbl>
    <w:p>
      <w:pPr>
        <w:spacing w:after="60" w:before="60"/>
      </w:pPr>
      <w:r>
        <w:t xml:space="preserve"/>
      </w:r>
    </w:p>
    <w:p>
      <w:pPr>
        <w:spacing w:after="60" w:before="60"/>
      </w:pPr>
      <w:r>
        <w:t xml:space="preserve"/>
      </w:r>
    </w:p>
    <w:p>
      <w:pPr>
        <w:spacing w:after="60" w:before="60"/>
      </w:pPr>
      <w:r>
        <w:t xml:space="preserve"/>
      </w:r>
    </w:p>
    <w:p>
      <w:pPr>
        <w:pBdr>
          <w:top w:val="single" w:color="CCCCCC" w:sz="4" w:space="4"/>
        </w:pBdr>
        <w:spacing w:after="80" w:before="240"/>
        <w:jc w:val="center"/>
      </w:pPr>
      <w:r>
        <w:rPr>
          <w:rFonts w:ascii="Arial" w:cs="Arial" w:eastAsia="Arial" w:hAnsi="Arial"/>
          <w:i/>
          <w:iCs/>
          <w:color w:val="888888"/>
          <w:sz w:val="18"/>
          <w:szCs w:val="18"/>
        </w:rPr>
        <w:t xml:space="preserve">Analysis conducted in Python using pandas, scipy, statsmodels, and scikit-learn. Dataset: ai_student_impact_dataset_1.csv (50,000 records, 16 columns).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2026-06-07T08:42:51.648Z</dcterms:created>
  <dcterms:modified xsi:type="dcterms:W3CDTF">2026-06-07T08:42:51.648Z</dcterms:modified>
</cp:coreProperties>
</file>

<file path=docProps/custom.xml><?xml version="1.0" encoding="utf-8"?>
<Properties xmlns="http://schemas.openxmlformats.org/officeDocument/2006/custom-properties" xmlns:vt="http://schemas.openxmlformats.org/officeDocument/2006/docPropsVTypes"/>
</file>