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00"/>
        <w:gridCol w:w="3900"/>
      </w:tblGrid>
      <w:tr>
        <w:tc>
          <w:tcPr>
            <w:tcW w:type="dxa" w:w="6900"/>
            <w:tcBorders>
              <w:top w:val="none" w:color="FFFFFF" w:sz="0"/>
              <w:left w:val="none" w:color="FFFFFF" w:sz="0"/>
              <w:bottom w:val="none" w:color="FFFFFF" w:sz="0"/>
              <w:right w:val="none" w:color="FFFFFF" w:sz="0"/>
            </w:tcBorders>
            <w:shd w:fill="4B2E83" w:color="auto" w:val="clear"/>
            <w:tcMar>
              <w:top w:type="dxa" w:w="110"/>
              <w:left w:type="dxa" w:w="160"/>
              <w:bottom w:type="dxa" w:w="110"/>
              <w:right w:type="dxa" w:w="80"/>
            </w:tcMar>
            <w:vAlign w:val="center"/>
          </w:tcPr>
          <w:p>
            <w:pPr>
              <w:spacing w:after="20"/>
            </w:pPr>
            <w:r>
              <w:rPr>
                <w:rFonts w:ascii="Calibri" w:cs="Calibri" w:eastAsia="Calibri" w:hAnsi="Calibri"/>
                <w:b/>
                <w:bCs/>
                <w:color w:val="FFFFFF"/>
                <w:sz w:val="34"/>
                <w:szCs w:val="34"/>
              </w:rPr>
              <w:t xml:space="preserve">Dell Technologies Inc.</w:t>
            </w:r>
            <w:r>
              <w:rPr>
                <w:rFonts w:ascii="Calibri" w:cs="Calibri" w:eastAsia="Calibri" w:hAnsi="Calibri"/>
                <w:b/>
                <w:bCs/>
                <w:color w:val="B7A57A"/>
                <w:sz w:val="26"/>
                <w:szCs w:val="26"/>
              </w:rPr>
              <w:t xml:space="preserve">  (NYSE: DELL)</w:t>
            </w:r>
          </w:p>
          <w:p>
            <w:r>
              <w:rPr>
                <w:rFonts w:ascii="Calibri" w:cs="Calibri" w:eastAsia="Calibri" w:hAnsi="Calibri"/>
                <w:color w:val="FFFFFF"/>
                <w:sz w:val="16"/>
                <w:szCs w:val="16"/>
              </w:rPr>
              <w:t xml:space="preserve">Sector: Information Technology  |  Benchmark: XLK Sector ETF  |  Horizon: 2 Years</w:t>
            </w:r>
          </w:p>
        </w:tc>
        <w:tc>
          <w:tcPr>
            <w:tcW w:type="dxa" w:w="3900"/>
            <w:tcBorders>
              <w:top w:val="none" w:color="FFFFFF" w:sz="0"/>
              <w:left w:val="none" w:color="FFFFFF" w:sz="0"/>
              <w:bottom w:val="none" w:color="FFFFFF" w:sz="0"/>
              <w:right w:val="none" w:color="FFFFFF" w:sz="0"/>
            </w:tcBorders>
            <w:shd w:fill="4B2E83" w:color="auto" w:val="clear"/>
            <w:tcMar>
              <w:top w:type="dxa" w:w="110"/>
              <w:left w:type="dxa" w:w="80"/>
              <w:bottom w:type="dxa" w:w="110"/>
              <w:right w:type="dxa" w:w="160"/>
            </w:tcMar>
            <w:vAlign w:val="center"/>
          </w:tcPr>
          <w:p>
            <w:pPr>
              <w:spacing w:after="10"/>
              <w:jc w:val="right"/>
            </w:pPr>
            <w:r>
              <w:rPr>
                <w:rFonts w:ascii="Calibri" w:cs="Calibri" w:eastAsia="Calibri" w:hAnsi="Calibri"/>
                <w:b/>
                <w:bCs/>
                <w:color w:val="B7A57A"/>
                <w:sz w:val="26"/>
                <w:szCs w:val="26"/>
              </w:rPr>
              <w:t xml:space="preserve">BUY: OUTPERFORM XLK</w:t>
            </w:r>
          </w:p>
          <w:p>
            <w:pPr>
              <w:jc w:val="right"/>
            </w:pPr>
            <w:r>
              <w:rPr>
                <w:rFonts w:ascii="Calibri" w:cs="Calibri" w:eastAsia="Calibri" w:hAnsi="Calibri"/>
                <w:color w:val="FFFFFF"/>
                <w:sz w:val="16"/>
                <w:szCs w:val="16"/>
              </w:rPr>
              <w:t xml:space="preserve">Don Mo  |  October 5, 2026</w:t>
            </w:r>
          </w:p>
        </w:tc>
      </w:tr>
    </w:tbl>
    <w:p>
      <w:pPr>
        <w:spacing w:after="50"/>
      </w:pP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250"/>
        <w:gridCol w:w="1300"/>
        <w:gridCol w:w="1300"/>
        <w:gridCol w:w="1250"/>
        <w:gridCol w:w="1350"/>
        <w:gridCol w:w="1700"/>
        <w:gridCol w:w="1400"/>
      </w:tblGrid>
      <w:tr>
        <w:tc>
          <w:tcPr>
            <w:tcW w:type="dxa" w:w="12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Price (Oct 2, 2026)</w:t>
            </w:r>
          </w:p>
        </w:tc>
        <w:tc>
          <w:tcPr>
            <w:tcW w:type="dxa" w:w="12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2-Yr Price Target</w:t>
            </w:r>
          </w:p>
        </w:tc>
        <w:tc>
          <w:tcPr>
            <w:tcW w:type="dxa" w:w="13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2-Yr Total Return</w:t>
            </w:r>
          </w:p>
        </w:tc>
        <w:tc>
          <w:tcPr>
            <w:tcW w:type="dxa" w:w="13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XLK Hurdle (2-Yr)</w:t>
            </w:r>
          </w:p>
        </w:tc>
        <w:tc>
          <w:tcPr>
            <w:tcW w:type="dxa" w:w="12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Market Cap</w:t>
            </w:r>
          </w:p>
        </w:tc>
        <w:tc>
          <w:tcPr>
            <w:tcW w:type="dxa" w:w="13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Enterprise Value</w:t>
            </w:r>
          </w:p>
        </w:tc>
        <w:tc>
          <w:tcPr>
            <w:tcW w:type="dxa" w:w="17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Fwd P/E: DELL vs XLK</w:t>
            </w:r>
          </w:p>
        </w:tc>
        <w:tc>
          <w:tcPr>
            <w:tcW w:type="dxa" w:w="14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color w:val="595959"/>
                <w:sz w:val="14"/>
                <w:szCs w:val="14"/>
              </w:rPr>
              <w:t xml:space="preserve">52-Week Range</w:t>
            </w:r>
          </w:p>
        </w:tc>
      </w:tr>
      <w:tr>
        <w:tc>
          <w:tcPr>
            <w:tcW w:type="dxa" w:w="12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$562.52</w:t>
            </w:r>
          </w:p>
        </w:tc>
        <w:tc>
          <w:tcPr>
            <w:tcW w:type="dxa" w:w="12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$909</w:t>
            </w:r>
          </w:p>
        </w:tc>
        <w:tc>
          <w:tcPr>
            <w:tcW w:type="dxa" w:w="13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+62.5%</w:t>
            </w:r>
          </w:p>
        </w:tc>
        <w:tc>
          <w:tcPr>
            <w:tcW w:type="dxa" w:w="13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+54.5%</w:t>
            </w:r>
          </w:p>
        </w:tc>
        <w:tc>
          <w:tcPr>
            <w:tcW w:type="dxa" w:w="12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$357.7B</w:t>
            </w:r>
          </w:p>
        </w:tc>
        <w:tc>
          <w:tcPr>
            <w:tcW w:type="dxa" w:w="135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$380.6B</w:t>
            </w:r>
          </w:p>
        </w:tc>
        <w:tc>
          <w:tcPr>
            <w:tcW w:type="dxa" w:w="17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22.1x vs 24.8x</w:t>
            </w:r>
          </w:p>
        </w:tc>
        <w:tc>
          <w:tcPr>
            <w:tcW w:type="dxa" w:w="1400"/>
            <w:tcBorders>
              <w:top w:val="none" w:color="FFFFFF" w:sz="0"/>
              <w:left w:val="none" w:color="FFFFFF" w:sz="0"/>
              <w:bottom w:val="none" w:color="FFFFFF" w:sz="0"/>
              <w:right w:val="single" w:color="D9D2E9" w:sz="4"/>
            </w:tcBorders>
            <w:shd w:fill="E9E4F2" w:color="auto" w:val="clear"/>
            <w:tcMar>
              <w:top w:type="dxa" w:w="40"/>
              <w:left w:type="dxa" w:w="70"/>
              <w:bottom w:type="dxa" w:w="40"/>
              <w:right w:type="dxa" w:w="70"/>
            </w:tcMar>
            <w:vAlign w:val="center"/>
          </w:tcPr>
          <w:p>
            <w:pPr>
              <w:spacing w:after="0" w:before="0" w:line="228"/>
              <w:jc w:val="center"/>
            </w:pPr>
            <w:r>
              <w:rPr>
                <w:rFonts w:ascii="Calibri" w:cs="Calibri" w:eastAsia="Calibri" w:hAnsi="Calibri"/>
                <w:b/>
                <w:bCs/>
                <w:color w:val="4B2E83"/>
                <w:sz w:val="20"/>
                <w:szCs w:val="20"/>
              </w:rPr>
              <w:t xml:space="preserve">$110 - $596</w:t>
            </w:r>
          </w:p>
        </w:tc>
      </w:tr>
    </w:tbl>
    <w:p>
      <w:pPr>
        <w:keepNext/>
        <w:pBdr>
          <w:bottom w:val="single" w:color="B7A57A" w:sz="8" w:space="1"/>
        </w:pBdr>
        <w:spacing w:after="40" w:before="90"/>
      </w:pPr>
      <w:r>
        <w:rPr>
          <w:rFonts w:ascii="Calibri" w:cs="Calibri" w:eastAsia="Calibri" w:hAnsi="Calibri"/>
          <w:b/>
          <w:bCs/>
          <w:color w:val="4B2E83"/>
          <w:sz w:val="20"/>
          <w:szCs w:val="20"/>
        </w:rPr>
        <w:t xml:space="preserve">COMPANY OVERVIEW</w:t>
      </w:r>
    </w:p>
    <w:p>
      <w:pPr>
        <w:spacing w:after="50" w:before="0" w:line="245"/>
        <w:jc w:val="both"/>
      </w:pPr>
      <w:r>
        <w:rPr>
          <w:rFonts w:ascii="Calibri" w:cs="Calibri" w:eastAsia="Calibri" w:hAnsi="Calibri"/>
          <w:sz w:val="18"/>
          <w:szCs w:val="18"/>
        </w:rPr>
        <w:t xml:space="preserve">Dell Technologies is the </w:t>
      </w:r>
      <w:r>
        <w:rPr>
          <w:rFonts w:ascii="Calibri" w:cs="Calibri" w:eastAsia="Calibri" w:hAnsi="Calibri"/>
          <w:b/>
          <w:bCs/>
          <w:sz w:val="18"/>
          <w:szCs w:val="18"/>
        </w:rPr>
        <w:t xml:space="preserve">#1 server vendor worldwide</w:t>
      </w:r>
      <w:r>
        <w:rPr>
          <w:rFonts w:ascii="Calibri" w:cs="Calibri" w:eastAsia="Calibri" w:hAnsi="Calibri"/>
          <w:sz w:val="18"/>
          <w:szCs w:val="18"/>
        </w:rPr>
        <w:t xml:space="preserve"> (IDC, Q2 2026) and the #3 PC maker. The Infrastructure Solutions Group (ISG: AI-optimized servers, traditional servers &amp; networking, storage) produced 68% of Q2 FY27 revenue, and the Client Solutions Group (CSG: commercial and consumer PCs) produced 32%. In the quarter ended July 31, 2026, revenue rose 58% to a record </w:t>
      </w:r>
      <w:r>
        <w:rPr>
          <w:rFonts w:ascii="Calibri" w:cs="Calibri" w:eastAsia="Calibri" w:hAnsi="Calibri"/>
          <w:b/>
          <w:bCs/>
          <w:sz w:val="18"/>
          <w:szCs w:val="18"/>
        </w:rPr>
        <w:t xml:space="preserve">$47.0B</w:t>
      </w:r>
      <w:r>
        <w:rPr>
          <w:rFonts w:ascii="Calibri" w:cs="Calibri" w:eastAsia="Calibri" w:hAnsi="Calibri"/>
          <w:sz w:val="18"/>
          <w:szCs w:val="18"/>
        </w:rPr>
        <w:t xml:space="preserve"> and non-GAAP EPS rose 203% to </w:t>
      </w:r>
      <w:r>
        <w:rPr>
          <w:rFonts w:ascii="Calibri" w:cs="Calibri" w:eastAsia="Calibri" w:hAnsi="Calibri"/>
          <w:b/>
          <w:bCs/>
          <w:sz w:val="18"/>
          <w:szCs w:val="18"/>
        </w:rPr>
        <w:t xml:space="preserve">$7.04</w:t>
      </w:r>
      <w:r>
        <w:rPr>
          <w:rFonts w:ascii="Calibri" w:cs="Calibri" w:eastAsia="Calibri" w:hAnsi="Calibri"/>
          <w:sz w:val="18"/>
          <w:szCs w:val="18"/>
        </w:rPr>
        <w:t xml:space="preserve">, led by $16.4B of AI-server revenue (+100%). Management raised FY27 guidance to </w:t>
      </w:r>
      <w:r>
        <w:rPr>
          <w:rFonts w:ascii="Calibri" w:cs="Calibri" w:eastAsia="Calibri" w:hAnsi="Calibri"/>
          <w:b/>
          <w:bCs/>
          <w:sz w:val="18"/>
          <w:szCs w:val="18"/>
        </w:rPr>
        <w:t xml:space="preserve">$192.0B of revenue (+69%) and $25.50 of non-GAAP EPS (+148%)</w:t>
      </w:r>
      <w:r>
        <w:rPr>
          <w:rFonts w:ascii="Calibri" w:cs="Calibri" w:eastAsia="Calibri" w:hAnsi="Calibri"/>
          <w:sz w:val="18"/>
          <w:szCs w:val="18"/>
        </w:rPr>
        <w:t xml:space="preserve">, up from $167.0B and $17.90 one quarter earlier. At $562.52, DELL trades at 22.1x FY27 EPS, a discount to XLK's 24.8x.</w:t>
      </w:r>
    </w:p>
    <w:p>
      <w:pPr>
        <w:keepNext/>
        <w:pBdr>
          <w:bottom w:val="single" w:color="B7A57A" w:sz="8" w:space="1"/>
        </w:pBdr>
        <w:spacing w:after="40" w:before="90"/>
      </w:pPr>
      <w:r>
        <w:rPr>
          <w:rFonts w:ascii="Calibri" w:cs="Calibri" w:eastAsia="Calibri" w:hAnsi="Calibri"/>
          <w:b/>
          <w:bCs/>
          <w:color w:val="4B2E83"/>
          <w:sz w:val="20"/>
          <w:szCs w:val="20"/>
        </w:rPr>
        <w:t xml:space="preserve">INVESTMENT THESIS</w:t>
      </w:r>
    </w:p>
    <w:p>
      <w:pPr>
        <w:pStyle w:val="ListParagraph"/>
        <w:numPr>
          <w:ilvl w:val="0"/>
          <w:numId w:val="2"/>
        </w:numPr>
        <w:spacing w:after="45" w:before="20" w:line="245"/>
        <w:jc w:val="both"/>
      </w:pPr>
      <w:r>
        <w:rPr>
          <w:rFonts w:ascii="Calibri" w:cs="Calibri" w:eastAsia="Calibri" w:hAnsi="Calibri"/>
          <w:b/>
          <w:bCs/>
          <w:sz w:val="18"/>
          <w:szCs w:val="18"/>
        </w:rPr>
        <w:t xml:space="preserve">The sector is positioned for growth because AI infrastructure is the fastest-growing layer of tech spending.</w:t>
      </w:r>
      <w:r>
        <w:rPr>
          <w:rFonts w:ascii="Calibri" w:cs="Calibri" w:eastAsia="Calibri" w:hAnsi="Calibri"/>
          <w:sz w:val="18"/>
          <w:szCs w:val="18"/>
        </w:rPr>
        <w:t xml:space="preserve"> The Big-4 hyperscalers spent $301B on capex in 1H26. Their guidance points to $732.5B for 2026, and consensus is $934.5B for 2027 (+28%). Worldwide server revenue hit a record $166.3B in Q2 2026 (+52% YoY), and XLK's holdings carry an estimated 33.4% long-term EPS growth rate; the ETF returned 42.9% over the past year and 29.4% a year over three years (to Aug 31). Hardware is a direct recipient of that capex: Technology Hardware, Storage &amp; Peripherals is 19.1% of XLK. Demand is also broadening beyond hyperscalers to neoclouds, sovereign AI programs and enterprises, buyers that typically purchase from branded OEMs like Dell rather than directly from white-box ODMs. ODM Direct's share of server revenue fell from 60.6% to 53.9%. In IDC's words, “what will separate vendors is who can convert that demand into sales,” and Dell is converting it fastest: its server revenue grew 165%, the most among the top five vendors.</w:t>
      </w:r>
    </w:p>
    <w:p>
      <w:pPr>
        <w:pStyle w:val="ListParagraph"/>
        <w:numPr>
          <w:ilvl w:val="0"/>
          <w:numId w:val="2"/>
        </w:numPr>
        <w:spacing w:after="45" w:before="20" w:line="245"/>
        <w:jc w:val="both"/>
      </w:pPr>
      <w:r>
        <w:rPr>
          <w:rFonts w:ascii="Calibri" w:cs="Calibri" w:eastAsia="Calibri" w:hAnsi="Calibri"/>
          <w:b/>
          <w:bCs/>
          <w:sz w:val="18"/>
          <w:szCs w:val="18"/>
        </w:rPr>
        <w:t xml:space="preserve">Dell vs. XLK: more growth and more visibility, at a lower multiple.</w:t>
      </w:r>
      <w:r>
        <w:rPr>
          <w:rFonts w:ascii="Calibri" w:cs="Calibri" w:eastAsia="Calibri" w:hAnsi="Calibri"/>
          <w:sz w:val="18"/>
          <w:szCs w:val="18"/>
        </w:rPr>
        <w:t xml:space="preserve"> Dell's FY27 EPS is guided up 148%, more than 4x the 33.4% annual growth estimated for XLK's holdings, yet DELL trades at an 11% P/E discount to the ETF (PEG of 0.15 vs. 0.74). Guidance implies Q4 FY27 EPS of $7.10, a $28.40 annualized exit run-rate, so DELL is 19.8x run-rate earnings. Visibility is unusual for hardware. The $95B AI backlog is 1.3x the $74.0B FY27 AI revenue guide. After the $41.5B of AI revenue implied for 2H FY27, roughly </w:t>
      </w:r>
      <w:r>
        <w:rPr>
          <w:rFonts w:ascii="Calibri" w:cs="Calibri" w:eastAsia="Calibri" w:hAnsi="Calibri"/>
          <w:b/>
          <w:bCs/>
          <w:sz w:val="18"/>
          <w:szCs w:val="18"/>
        </w:rPr>
        <w:t xml:space="preserve">$53B rolls into FY28 before any new orders</w:t>
      </w:r>
      <w:r>
        <w:rPr>
          <w:rFonts w:ascii="Calibri" w:cs="Calibri" w:eastAsia="Calibri" w:hAnsi="Calibri"/>
          <w:sz w:val="18"/>
          <w:szCs w:val="18"/>
        </w:rPr>
        <w:t xml:space="preserve">. Trailing-12-month AI orders of $131.7B are 1.8x FY27 AI revenue, which is why estimates keep rising: FY27 EPS guidance was raised 42% in a single quarter. XLK's return rides on three megacaps (Nvidia, Apple and Microsoft are 39.4% of the fund), while DELL is a direct play on the fastest-growing part of the build-out. Year to date, DELL is </w:t>
      </w:r>
      <w:r>
        <w:rPr>
          <w:rFonts w:ascii="Calibri" w:cs="Calibri" w:eastAsia="Calibri" w:hAnsi="Calibri"/>
          <w:b/>
          <w:bCs/>
          <w:sz w:val="18"/>
          <w:szCs w:val="18"/>
        </w:rPr>
        <w:t xml:space="preserve">+347.0% vs. XLK's +38.8%</w:t>
      </w:r>
      <w:r>
        <w:rPr>
          <w:rFonts w:ascii="Calibri" w:cs="Calibri" w:eastAsia="Calibri" w:hAnsi="Calibri"/>
          <w:sz w:val="18"/>
          <w:szCs w:val="18"/>
        </w:rPr>
        <w:t xml:space="preserve">. Earnings did most of the work: FY27 EPS guidance ($25.50) is 2.5x FY26's $10.28, while the P/E rose from 12.2x to 22.1x, so our base case assumes no further multiple expansion.</w:t>
      </w:r>
    </w:p>
    <w:p>
      <w:pPr>
        <w:pStyle w:val="ListParagraph"/>
        <w:numPr>
          <w:ilvl w:val="0"/>
          <w:numId w:val="2"/>
        </w:numPr>
        <w:spacing w:after="45" w:before="20" w:line="245"/>
        <w:jc w:val="both"/>
      </w:pPr>
      <w:r>
        <w:rPr>
          <w:rFonts w:ascii="Calibri" w:cs="Calibri" w:eastAsia="Calibri" w:hAnsi="Calibri"/>
          <w:b/>
          <w:bCs/>
          <w:sz w:val="18"/>
          <w:szCs w:val="18"/>
        </w:rPr>
        <w:t xml:space="preserve">Competitive advantages over HPE, Dell's direct server competitor:</w:t>
      </w:r>
    </w:p>
    <w:p>
      <w:pPr>
        <w:pStyle w:val="ListParagraph"/>
        <w:numPr>
          <w:ilvl w:val="0"/>
          <w:numId w:val="3"/>
        </w:numPr>
        <w:spacing w:after="25" w:line="240"/>
        <w:jc w:val="both"/>
      </w:pPr>
      <w:r>
        <w:rPr>
          <w:rFonts w:ascii="Calibri" w:cs="Calibri" w:eastAsia="Calibri" w:hAnsi="Calibri"/>
          <w:b/>
          <w:bCs/>
          <w:sz w:val="18"/>
          <w:szCs w:val="18"/>
        </w:rPr>
        <w:t xml:space="preserve">Scale and share:</w:t>
      </w:r>
      <w:r>
        <w:rPr>
          <w:rFonts w:ascii="Calibri" w:cs="Calibri" w:eastAsia="Calibri" w:hAnsi="Calibri"/>
          <w:sz w:val="18"/>
          <w:szCs w:val="18"/>
        </w:rPr>
        <w:t xml:space="preserve"> Dell is #1 in servers with 13.4% share (up from 7.7%) and $22.2B of quarterly server revenue (+165%). HPE is #4 at 3.5% (down from 3.7%) with $5.9B (+46%).</w:t>
      </w:r>
    </w:p>
    <w:p>
      <w:pPr>
        <w:pStyle w:val="ListParagraph"/>
        <w:numPr>
          <w:ilvl w:val="0"/>
          <w:numId w:val="3"/>
        </w:numPr>
        <w:spacing w:after="25" w:line="240"/>
        <w:jc w:val="both"/>
      </w:pPr>
      <w:r>
        <w:rPr>
          <w:rFonts w:ascii="Calibri" w:cs="Calibri" w:eastAsia="Calibri" w:hAnsi="Calibri"/>
          <w:b/>
          <w:bCs/>
          <w:sz w:val="18"/>
          <w:szCs w:val="18"/>
        </w:rPr>
        <w:t xml:space="preserve">Order book:</w:t>
      </w:r>
      <w:r>
        <w:rPr>
          <w:rFonts w:ascii="Calibri" w:cs="Calibri" w:eastAsia="Calibri" w:hAnsi="Calibri"/>
          <w:sz w:val="18"/>
          <w:szCs w:val="18"/>
        </w:rPr>
        <w:t xml:space="preserve"> Dell booked $60.9B of AI orders in Q2 to HPE's $2.4B and holds a $95B AI backlog to HPE's $7.6B (12.5x), spread across 6,500+ AI customers.</w:t>
      </w:r>
    </w:p>
    <w:p>
      <w:pPr>
        <w:pStyle w:val="ListParagraph"/>
        <w:numPr>
          <w:ilvl w:val="0"/>
          <w:numId w:val="3"/>
        </w:numPr>
        <w:spacing w:after="25" w:line="240"/>
        <w:jc w:val="both"/>
      </w:pPr>
      <w:r>
        <w:rPr>
          <w:rFonts w:ascii="Calibri" w:cs="Calibri" w:eastAsia="Calibri" w:hAnsi="Calibri"/>
          <w:b/>
          <w:bCs/>
          <w:sz w:val="18"/>
          <w:szCs w:val="18"/>
        </w:rPr>
        <w:t xml:space="preserve">Supply-chain scale in a shortage:</w:t>
      </w:r>
      <w:r>
        <w:rPr>
          <w:rFonts w:ascii="Calibri" w:cs="Calibri" w:eastAsia="Calibri" w:hAnsi="Calibri"/>
          <w:sz w:val="18"/>
          <w:szCs w:val="18"/>
        </w:rPr>
        <w:t xml:space="preserve"> IDC expects the memory shortage to last until early 2028 and says the biggest PC makers, Dell among them, can use scale across product lines like servers “to better secure memory supply.” HPE's bookings are already outpacing shipments because of component shortages.</w:t>
      </w:r>
    </w:p>
    <w:p>
      <w:pPr>
        <w:pStyle w:val="ListParagraph"/>
        <w:numPr>
          <w:ilvl w:val="0"/>
          <w:numId w:val="3"/>
        </w:numPr>
        <w:spacing w:after="25" w:line="240"/>
        <w:jc w:val="both"/>
      </w:pPr>
      <w:r>
        <w:rPr>
          <w:rFonts w:ascii="Calibri" w:cs="Calibri" w:eastAsia="Calibri" w:hAnsi="Calibri"/>
          <w:b/>
          <w:bCs/>
          <w:sz w:val="18"/>
          <w:szCs w:val="18"/>
        </w:rPr>
        <w:t xml:space="preserve">Cost efficiency:</w:t>
      </w:r>
      <w:r>
        <w:rPr>
          <w:rFonts w:ascii="Calibri" w:cs="Calibri" w:eastAsia="Calibri" w:hAnsi="Calibri"/>
          <w:sz w:val="18"/>
          <w:szCs w:val="18"/>
        </w:rPr>
        <w:t xml:space="preserve"> Dell turns a 20.9% gross margin into an 11.5% GAAP operating margin, matching HPE's 11.4% on a 40.1% gross margin, and ISG margin expanded to 15.0% from 8.8%. HPE expects its margins to settle lower as AI mix grows, and it is still integrating Juniper.</w:t>
      </w:r>
    </w:p>
    <w:p>
      <w:pPr>
        <w:spacing w:after="50" w:before="30" w:line="245"/>
        <w:jc w:val="both"/>
      </w:pPr>
      <w:r>
        <w:rPr>
          <w:rFonts w:ascii="Calibri" w:cs="Calibri" w:eastAsia="Calibri" w:hAnsi="Calibri"/>
          <w:sz w:val="18"/>
          <w:szCs w:val="18"/>
        </w:rPr>
        <w:t xml:space="preserve">Supermicro (#2, 6.1% share) is cheaper at ~10x but is under an independent export-control review, burned $6.8B of operating cash in FY26 and issued $5.6B of equity. </w:t>
      </w:r>
      <w:r>
        <w:rPr>
          <w:rFonts w:ascii="Calibri" w:cs="Calibri" w:eastAsia="Calibri" w:hAnsi="Calibri"/>
          <w:b/>
          <w:bCs/>
          <w:sz w:val="18"/>
          <w:szCs w:val="18"/>
        </w:rPr>
        <w:t xml:space="preserve">Why not Oracle?</w:t>
      </w:r>
      <w:r>
        <w:rPr>
          <w:rFonts w:ascii="Calibri" w:cs="Calibri" w:eastAsia="Calibri" w:hAnsi="Calibri"/>
          <w:sz w:val="18"/>
          <w:szCs w:val="18"/>
        </w:rPr>
        <w:t xml:space="preserve"> Oracle (-27.0% YTD) is a buyer of AI capacity, with $28B of capex in one quarter and -$5B of free cash flow in Q1 FY27. Dell supplies that build-out without having to fund it.</w:t>
      </w:r>
    </w:p>
    <w:p>
      <w:pPr>
        <w:keepNext/>
        <w:pBdr>
          <w:bottom w:val="single" w:color="B7A57A" w:sz="8" w:space="1"/>
        </w:pBdr>
        <w:spacing w:after="40" w:before="90"/>
      </w:pPr>
      <w:r>
        <w:rPr>
          <w:rFonts w:ascii="Calibri" w:cs="Calibri" w:eastAsia="Calibri" w:hAnsi="Calibri"/>
          <w:b/>
          <w:bCs/>
          <w:color w:val="4B2E83"/>
          <w:sz w:val="20"/>
          <w:szCs w:val="20"/>
        </w:rPr>
        <w:t xml:space="preserve">VALUATION &amp; PRICE TARGET</w:t>
      </w:r>
    </w:p>
    <w:p>
      <w:pPr>
        <w:spacing w:after="50" w:before="0" w:line="245"/>
        <w:jc w:val="both"/>
      </w:pPr>
      <w:r>
        <w:rPr>
          <w:rFonts w:ascii="Calibri" w:cs="Calibri" w:eastAsia="Calibri" w:hAnsi="Calibri"/>
          <w:b/>
          <w:bCs/>
          <w:sz w:val="18"/>
          <w:szCs w:val="18"/>
        </w:rPr>
        <w:t xml:space="preserve">Base-case 2-year price target: $909.</w:t>
      </w:r>
      <w:r>
        <w:rPr>
          <w:rFonts w:ascii="Calibri" w:cs="Calibri" w:eastAsia="Calibri" w:hAnsi="Calibri"/>
          <w:sz w:val="18"/>
          <w:szCs w:val="18"/>
        </w:rPr>
        <w:t xml:space="preserve"> We model FY28E EPS +35% to $34.43, driven by the $28.40 exit run-rate, ~$53B of backlog carry-in and buybacks. FY29E EPS rises 20% to $41.31 as 2027 hyperscaler capex grows 28% and memory costs ease in early 2028. We hold the exit multiple at 22x, still below XLK. That yields a </w:t>
      </w:r>
      <w:r>
        <w:rPr>
          <w:rFonts w:ascii="Calibri" w:cs="Calibri" w:eastAsia="Calibri" w:hAnsi="Calibri"/>
          <w:b/>
          <w:bCs/>
          <w:sz w:val="18"/>
          <w:szCs w:val="18"/>
        </w:rPr>
        <w:t xml:space="preserve">62.5% two-year total return vs. 54.5% for XLK</w:t>
      </w:r>
      <w:r>
        <w:rPr>
          <w:rFonts w:ascii="Calibri" w:cs="Calibri" w:eastAsia="Calibri" w:hAnsi="Calibri"/>
          <w:sz w:val="18"/>
          <w:szCs w:val="18"/>
        </w:rPr>
        <w:t xml:space="preserve"> if the ETF repeats its 10-year pace of 24.3% a year. As a cross-check, hardware peers average 12.8x (HPE 18.2x, SMCI 10.4x, HPQ 9.9x), which would imply only $327. We believe Dell's premium is earned: its FY27 EPS growth of 148% compares with HPE's FY27 framework of 16-20%, HPQ is a PC business with shrinking units, and SMCI carries a governance discount.</w:t>
      </w:r>
    </w:p>
    <w:p>
      <w:pPr>
        <w:keepNext/>
        <w:spacing w:after="30" w:before="70"/>
      </w:pPr>
      <w:r>
        <w:rPr>
          <w:rFonts w:ascii="Calibri" w:cs="Calibri" w:eastAsia="Calibri" w:hAnsi="Calibri"/>
          <w:b/>
          <w:bCs/>
          <w:color w:val="4B2E83"/>
          <w:sz w:val="17"/>
          <w:szCs w:val="17"/>
        </w:rPr>
        <w:t xml:space="preserve">Exhibit 1: Dell 2-Year Scenarios (Oct 2026 to Oct 2028)</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100"/>
        <w:gridCol w:w="1100"/>
        <w:gridCol w:w="1000"/>
        <w:gridCol w:w="850"/>
        <w:gridCol w:w="1100"/>
        <w:gridCol w:w="1150"/>
        <w:gridCol w:w="1200"/>
        <w:gridCol w:w="2400"/>
      </w:tblGrid>
      <w:tr>
        <w:trPr>
          <w:cantSplit/>
          <w:tblHeader/>
        </w:trPr>
        <w:tc>
          <w:tcPr>
            <w:tcW w:type="dxa" w:w="9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color w:val="FFFFFF"/>
                <w:sz w:val="16"/>
                <w:szCs w:val="16"/>
              </w:rPr>
              <w:t xml:space="preserve">Scenario</w:t>
            </w:r>
          </w:p>
        </w:tc>
        <w:tc>
          <w:tcPr>
            <w:tcW w:type="dxa" w:w="11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FY28E EPS Growth</w:t>
            </w:r>
          </w:p>
        </w:tc>
        <w:tc>
          <w:tcPr>
            <w:tcW w:type="dxa" w:w="11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FY29E EPS Growth</w:t>
            </w:r>
          </w:p>
        </w:tc>
        <w:tc>
          <w:tcPr>
            <w:tcW w:type="dxa" w:w="10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FY29E EPS</w:t>
            </w:r>
          </w:p>
        </w:tc>
        <w:tc>
          <w:tcPr>
            <w:tcW w:type="dxa" w:w="85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Exit P/E</w:t>
            </w:r>
          </w:p>
        </w:tc>
        <w:tc>
          <w:tcPr>
            <w:tcW w:type="dxa" w:w="11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Oct-2028 Price</w:t>
            </w:r>
          </w:p>
        </w:tc>
        <w:tc>
          <w:tcPr>
            <w:tcW w:type="dxa" w:w="115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2-Yr Total Return</w:t>
            </w:r>
          </w:p>
        </w:tc>
        <w:tc>
          <w:tcPr>
            <w:tcW w:type="dxa" w:w="12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vs. XLK (+54.5%)</w:t>
            </w:r>
          </w:p>
        </w:tc>
        <w:tc>
          <w:tcPr>
            <w:tcW w:type="dxa" w:w="24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color w:val="FFFFFF"/>
                <w:sz w:val="16"/>
                <w:szCs w:val="16"/>
              </w:rPr>
              <w:t xml:space="preserve">What Has to Happen</w:t>
            </w:r>
          </w:p>
        </w:tc>
      </w:tr>
      <w:tr>
        <w:trPr>
          <w:cantSplit/>
        </w:trPr>
        <w:tc>
          <w:tcPr>
            <w:tcW w:type="dxa" w:w="9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Bear</w:t>
            </w:r>
          </w:p>
        </w:tc>
        <w:tc>
          <w:tcPr>
            <w:tcW w:type="dxa" w:w="11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+5%</w:t>
            </w:r>
          </w:p>
        </w:tc>
        <w:tc>
          <w:tcPr>
            <w:tcW w:type="dxa" w:w="11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-15%</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$22.76</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15x</w:t>
            </w:r>
          </w:p>
        </w:tc>
        <w:tc>
          <w:tcPr>
            <w:tcW w:type="dxa" w:w="11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$341</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-38.4%</w:t>
            </w:r>
          </w:p>
        </w:tc>
        <w:tc>
          <w:tcPr>
            <w:tcW w:type="dxa" w:w="12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-92.9 pp</w:t>
            </w:r>
          </w:p>
        </w:tc>
        <w:tc>
          <w:tcPr>
            <w:tcW w:type="dxa" w:w="24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AI capex digestion; HPE-like multiple</w:t>
            </w:r>
          </w:p>
        </w:tc>
      </w:tr>
      <w:tr>
        <w:trPr>
          <w:cantSplit/>
        </w:trPr>
        <w:tc>
          <w:tcPr>
            <w:tcW w:type="dxa" w:w="9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Base</w:t>
            </w:r>
          </w:p>
        </w:tc>
        <w:tc>
          <w:tcPr>
            <w:tcW w:type="dxa" w:w="11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+35%</w:t>
            </w:r>
          </w:p>
        </w:tc>
        <w:tc>
          <w:tcPr>
            <w:tcW w:type="dxa" w:w="11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+20%</w:t>
            </w:r>
          </w:p>
        </w:tc>
        <w:tc>
          <w:tcPr>
            <w:tcW w:type="dxa" w:w="10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$41.31</w:t>
            </w:r>
          </w:p>
        </w:tc>
        <w:tc>
          <w:tcPr>
            <w:tcW w:type="dxa" w:w="85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22x</w:t>
            </w:r>
          </w:p>
        </w:tc>
        <w:tc>
          <w:tcPr>
            <w:tcW w:type="dxa" w:w="11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$909</w:t>
            </w:r>
          </w:p>
        </w:tc>
        <w:tc>
          <w:tcPr>
            <w:tcW w:type="dxa" w:w="115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+62.5%</w:t>
            </w:r>
          </w:p>
        </w:tc>
        <w:tc>
          <w:tcPr>
            <w:tcW w:type="dxa" w:w="12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+8.0 pp</w:t>
            </w:r>
          </w:p>
        </w:tc>
        <w:tc>
          <w:tcPr>
            <w:tcW w:type="dxa" w:w="24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Backlog converts; no re-rating</w:t>
            </w:r>
          </w:p>
        </w:tc>
      </w:tr>
      <w:tr>
        <w:trPr>
          <w:cantSplit/>
        </w:trPr>
        <w:tc>
          <w:tcPr>
            <w:tcW w:type="dxa" w:w="9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left"/>
            </w:pPr>
            <w:r>
              <w:rPr>
                <w:rFonts w:ascii="Calibri" w:cs="Calibri" w:eastAsia="Calibri" w:hAnsi="Calibri"/>
                <w:b/>
                <w:bCs/>
                <w:sz w:val="16"/>
                <w:szCs w:val="16"/>
              </w:rPr>
              <w:t xml:space="preserve">Bull</w:t>
            </w:r>
          </w:p>
        </w:tc>
        <w:tc>
          <w:tcPr>
            <w:tcW w:type="dxa" w:w="11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+45%</w:t>
            </w:r>
          </w:p>
        </w:tc>
        <w:tc>
          <w:tcPr>
            <w:tcW w:type="dxa" w:w="11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+25%</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$46.22</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25x</w:t>
            </w:r>
          </w:p>
        </w:tc>
        <w:tc>
          <w:tcPr>
            <w:tcW w:type="dxa" w:w="11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$1,155</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+106.3%</w:t>
            </w:r>
          </w:p>
        </w:tc>
        <w:tc>
          <w:tcPr>
            <w:tcW w:type="dxa" w:w="12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+51.8 pp</w:t>
            </w:r>
          </w:p>
        </w:tc>
        <w:tc>
          <w:tcPr>
            <w:tcW w:type="dxa" w:w="24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left"/>
            </w:pPr>
            <w:r>
              <w:rPr>
                <w:rFonts w:ascii="Calibri" w:cs="Calibri" w:eastAsia="Calibri" w:hAnsi="Calibri"/>
                <w:b w:val="false"/>
                <w:bCs w:val="false"/>
                <w:sz w:val="16"/>
                <w:szCs w:val="16"/>
              </w:rPr>
              <w:t xml:space="preserve">Orders keep outrunning revenue; XLK multiple</w:t>
            </w:r>
          </w:p>
        </w:tc>
      </w:tr>
    </w:tbl>
    <w:p>
      <w:pPr>
        <w:spacing w:after="40" w:before="25" w:line="220"/>
      </w:pPr>
      <w:r>
        <w:rPr>
          <w:rFonts w:ascii="Calibri" w:cs="Calibri" w:eastAsia="Calibri" w:hAnsi="Calibri"/>
          <w:i/>
          <w:iCs/>
          <w:color w:val="595959"/>
          <w:sz w:val="15"/>
          <w:szCs w:val="15"/>
        </w:rPr>
        <w:t xml:space="preserve">Total return includes $5.04 of dividends (current $2.52/yr). XLK hurdle = State Street 10-yr annualized NAV return of 24.30% (as of Aug 31, 2026), compounded for two years. FY28-29 estimates are the author's.</w:t>
      </w:r>
    </w:p>
    <w:p>
      <w:pPr>
        <w:keepNext/>
        <w:pBdr>
          <w:bottom w:val="single" w:color="B7A57A" w:sz="8" w:space="1"/>
        </w:pBdr>
        <w:spacing w:after="40" w:before="90"/>
      </w:pPr>
      <w:r>
        <w:rPr>
          <w:rFonts w:ascii="Calibri" w:cs="Calibri" w:eastAsia="Calibri" w:hAnsi="Calibri"/>
          <w:b/>
          <w:bCs/>
          <w:color w:val="4B2E83"/>
          <w:sz w:val="20"/>
          <w:szCs w:val="20"/>
        </w:rPr>
        <w:t xml:space="preserve">CATALYSTS</w:t>
      </w:r>
    </w:p>
    <w:p>
      <w:pPr>
        <w:pStyle w:val="ListParagraph"/>
        <w:numPr>
          <w:ilvl w:val="0"/>
          <w:numId w:val="3"/>
        </w:numPr>
        <w:spacing w:after="25" w:line="240"/>
        <w:jc w:val="both"/>
      </w:pPr>
      <w:r>
        <w:rPr>
          <w:rFonts w:ascii="Calibri" w:cs="Calibri" w:eastAsia="Calibri" w:hAnsi="Calibri"/>
          <w:b/>
          <w:bCs/>
          <w:sz w:val="18"/>
          <w:szCs w:val="18"/>
        </w:rPr>
        <w:t xml:space="preserve">Q3 FY27 earnings (est. Nov 24, 2026):</w:t>
      </w:r>
      <w:r>
        <w:rPr>
          <w:rFonts w:ascii="Calibri" w:cs="Calibri" w:eastAsia="Calibri" w:hAnsi="Calibri"/>
          <w:sz w:val="18"/>
          <w:szCs w:val="18"/>
        </w:rPr>
        <w:t xml:space="preserve"> guidance is $49.0B of revenue (+81%) and $6.50 EPS; watch AI orders and backlog conversion.</w:t>
      </w:r>
    </w:p>
    <w:p>
      <w:pPr>
        <w:pStyle w:val="ListParagraph"/>
        <w:numPr>
          <w:ilvl w:val="0"/>
          <w:numId w:val="3"/>
        </w:numPr>
        <w:spacing w:after="25" w:line="240"/>
        <w:jc w:val="both"/>
      </w:pPr>
      <w:r>
        <w:rPr>
          <w:rFonts w:ascii="Calibri" w:cs="Calibri" w:eastAsia="Calibri" w:hAnsi="Calibri"/>
          <w:b/>
          <w:bCs/>
          <w:sz w:val="18"/>
          <w:szCs w:val="18"/>
        </w:rPr>
        <w:t xml:space="preserve">FY28 guidance (early 2027):</w:t>
      </w:r>
      <w:r>
        <w:rPr>
          <w:rFonts w:ascii="Calibri" w:cs="Calibri" w:eastAsia="Calibri" w:hAnsi="Calibri"/>
          <w:sz w:val="18"/>
          <w:szCs w:val="18"/>
        </w:rPr>
        <w:t xml:space="preserve"> first read on how much of the $95B backlog lands in FY28.</w:t>
      </w:r>
    </w:p>
    <w:p>
      <w:pPr>
        <w:pStyle w:val="ListParagraph"/>
        <w:numPr>
          <w:ilvl w:val="0"/>
          <w:numId w:val="3"/>
        </w:numPr>
        <w:spacing w:after="25" w:line="240"/>
        <w:jc w:val="both"/>
      </w:pPr>
      <w:r>
        <w:rPr>
          <w:rFonts w:ascii="Calibri" w:cs="Calibri" w:eastAsia="Calibri" w:hAnsi="Calibri"/>
          <w:b/>
          <w:bCs/>
          <w:sz w:val="18"/>
          <w:szCs w:val="18"/>
        </w:rPr>
        <w:t xml:space="preserve">2027 capex budgets:</w:t>
      </w:r>
      <w:r>
        <w:rPr>
          <w:rFonts w:ascii="Calibri" w:cs="Calibri" w:eastAsia="Calibri" w:hAnsi="Calibri"/>
          <w:sz w:val="18"/>
          <w:szCs w:val="18"/>
        </w:rPr>
        <w:t xml:space="preserve"> $934.5B hyperscaler consensus, plus continued neocloud, sovereign and enterprise wins.</w:t>
      </w:r>
    </w:p>
    <w:p>
      <w:pPr>
        <w:pStyle w:val="ListParagraph"/>
        <w:numPr>
          <w:ilvl w:val="0"/>
          <w:numId w:val="3"/>
        </w:numPr>
        <w:spacing w:after="25" w:line="240"/>
        <w:jc w:val="both"/>
      </w:pPr>
      <w:r>
        <w:rPr>
          <w:rFonts w:ascii="Calibri" w:cs="Calibri" w:eastAsia="Calibri" w:hAnsi="Calibri"/>
          <w:b/>
          <w:bCs/>
          <w:sz w:val="18"/>
          <w:szCs w:val="18"/>
        </w:rPr>
        <w:t xml:space="preserve">Early 2028:</w:t>
      </w:r>
      <w:r>
        <w:rPr>
          <w:rFonts w:ascii="Calibri" w:cs="Calibri" w:eastAsia="Calibri" w:hAnsi="Calibri"/>
          <w:sz w:val="18"/>
          <w:szCs w:val="18"/>
        </w:rPr>
        <w:t xml:space="preserve"> memory shortage expected to end. Component costs fall and inventory ($21.3B, double January's level) converts to cash.</w:t>
      </w:r>
    </w:p>
    <w:p>
      <w:pPr>
        <w:keepNext/>
        <w:pBdr>
          <w:bottom w:val="single" w:color="B7A57A" w:sz="8" w:space="1"/>
        </w:pBdr>
        <w:spacing w:after="40" w:before="90"/>
      </w:pPr>
      <w:r>
        <w:rPr>
          <w:rFonts w:ascii="Calibri" w:cs="Calibri" w:eastAsia="Calibri" w:hAnsi="Calibri"/>
          <w:b/>
          <w:bCs/>
          <w:color w:val="4B2E83"/>
          <w:sz w:val="20"/>
          <w:szCs w:val="20"/>
        </w:rPr>
        <w:t xml:space="preserve">RISKS &amp; MITIGATIONS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6500"/>
      </w:tblGrid>
      <w:tr>
        <w:trPr>
          <w:tblHeader/>
        </w:trPr>
        <w:tc>
          <w:tcPr>
            <w:tcW w:type="dxa" w:w="43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spacing w:after="0" w:before="0" w:line="228"/>
              <w:jc w:val="left"/>
            </w:pPr>
            <w:r>
              <w:rPr>
                <w:rFonts w:ascii="Calibri" w:cs="Calibri" w:eastAsia="Calibri" w:hAnsi="Calibri"/>
                <w:b/>
                <w:bCs/>
                <w:color w:val="FFFFFF"/>
                <w:sz w:val="16"/>
                <w:szCs w:val="16"/>
              </w:rPr>
              <w:t xml:space="preserve">Risk</w:t>
            </w:r>
          </w:p>
        </w:tc>
        <w:tc>
          <w:tcPr>
            <w:tcW w:type="dxa" w:w="65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spacing w:after="0" w:before="0" w:line="228"/>
              <w:jc w:val="left"/>
            </w:pPr>
            <w:r>
              <w:rPr>
                <w:rFonts w:ascii="Calibri" w:cs="Calibri" w:eastAsia="Calibri" w:hAnsi="Calibri"/>
                <w:b/>
                <w:bCs/>
                <w:color w:val="FFFFFF"/>
                <w:sz w:val="16"/>
                <w:szCs w:val="16"/>
              </w:rPr>
              <w:t xml:space="preserve">Mitigation</w:t>
            </w:r>
          </w:p>
        </w:tc>
      </w:tr>
      <w:tr>
        <w:tc>
          <w:tcPr>
            <w:tcW w:type="dxa" w:w="43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b/>
                <w:bCs/>
                <w:sz w:val="16"/>
                <w:szCs w:val="16"/>
              </w:rPr>
              <w:t xml:space="preserve">AI spending pauses</w:t>
            </w:r>
            <w:r>
              <w:rPr>
                <w:rFonts w:ascii="Calibri" w:cs="Calibri" w:eastAsia="Calibri" w:hAnsi="Calibri"/>
                <w:sz w:val="16"/>
                <w:szCs w:val="16"/>
              </w:rPr>
              <w:t xml:space="preserve"> or customers struggle to fund it (Oracle: $28B of capex in one quarter, -$5B FCF).</w:t>
            </w:r>
          </w:p>
        </w:tc>
        <w:tc>
          <w:tcPr>
            <w:tcW w:type="dxa" w:w="65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sz w:val="16"/>
                <w:szCs w:val="16"/>
              </w:rPr>
              <w:t xml:space="preserve">6,500+ AI customers across neocloud, sovereign and enterprise buyers; $95B backlog is 1.3x FY27 AI revenue; non-AI lines are also growing (traditional servers &amp; networking +122%, storage +26%, CSG +20%).</w:t>
            </w:r>
          </w:p>
        </w:tc>
      </w:tr>
      <w:tr>
        <w:tc>
          <w:tcPr>
            <w:tcW w:type="dxa" w:w="43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b/>
                <w:bCs/>
                <w:sz w:val="16"/>
                <w:szCs w:val="16"/>
              </w:rPr>
              <w:t xml:space="preserve">Memory and component inflation</w:t>
            </w:r>
            <w:r>
              <w:rPr>
                <w:rFonts w:ascii="Calibri" w:cs="Calibri" w:eastAsia="Calibri" w:hAnsi="Calibri"/>
                <w:sz w:val="16"/>
                <w:szCs w:val="16"/>
              </w:rPr>
              <w:t xml:space="preserve"> squeezes margins and cash: Q2 FCF fell 47% to $986M as inventory doubled to $21.3B.</w:t>
            </w:r>
          </w:p>
        </w:tc>
        <w:tc>
          <w:tcPr>
            <w:tcW w:type="dxa" w:w="65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sz w:val="16"/>
                <w:szCs w:val="16"/>
              </w:rPr>
              <w:t xml:space="preserve">Industry GPU-server prices are up 43.6% YoY as memory costs are passed through, and Dell's ISG margin still rose to 15.0%. IDC expects the shortage to end in early 2028, inside our horizon, which should release inventory into cash.</w:t>
            </w:r>
          </w:p>
        </w:tc>
      </w:tr>
      <w:tr>
        <w:tc>
          <w:tcPr>
            <w:tcW w:type="dxa" w:w="43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b/>
                <w:bCs/>
                <w:sz w:val="16"/>
                <w:szCs w:val="16"/>
              </w:rPr>
              <w:t xml:space="preserve">Valuation after a +347% run</w:t>
            </w:r>
            <w:r>
              <w:rPr>
                <w:rFonts w:ascii="Calibri" w:cs="Calibri" w:eastAsia="Calibri" w:hAnsi="Calibri"/>
                <w:sz w:val="16"/>
                <w:szCs w:val="16"/>
              </w:rPr>
              <w:t xml:space="preserve">: the multiple compresses.</w:t>
            </w:r>
          </w:p>
        </w:tc>
        <w:tc>
          <w:tcPr>
            <w:tcW w:type="dxa" w:w="65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sz w:val="16"/>
                <w:szCs w:val="16"/>
              </w:rPr>
              <w:t xml:space="preserve">Base case assumes no re-rating; 22.1x is below XLK's 24.8x and 19.8x run-rate EPS. Bear case (15x, -38%) shows the downside if AI spending stalls.</w:t>
            </w:r>
          </w:p>
        </w:tc>
      </w:tr>
      <w:tr>
        <w:tc>
          <w:tcPr>
            <w:tcW w:type="dxa" w:w="43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b/>
                <w:bCs/>
                <w:sz w:val="16"/>
                <w:szCs w:val="16"/>
              </w:rPr>
              <w:t xml:space="preserve">XLK hits its full 33.4% consensus EPS growth</w:t>
            </w:r>
            <w:r>
              <w:rPr>
                <w:rFonts w:ascii="Calibri" w:cs="Calibri" w:eastAsia="Calibri" w:hAnsi="Calibri"/>
                <w:sz w:val="16"/>
                <w:szCs w:val="16"/>
              </w:rPr>
              <w:t xml:space="preserve"> at a flat multiple (+78% in two years).</w:t>
            </w:r>
          </w:p>
        </w:tc>
        <w:tc>
          <w:tcPr>
            <w:tcW w:type="dxa" w:w="65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sz w:val="16"/>
                <w:szCs w:val="16"/>
              </w:rPr>
              <w:t xml:space="preserve">That outcome needs AI capex to keep surging, the same driver behind our bull case (+106%). XLK only wins if the sector's estimates are right while Dell's are wrong.</w:t>
            </w:r>
          </w:p>
        </w:tc>
      </w:tr>
      <w:tr>
        <w:tc>
          <w:tcPr>
            <w:tcW w:type="dxa" w:w="43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b/>
                <w:bCs/>
                <w:sz w:val="16"/>
                <w:szCs w:val="16"/>
              </w:rPr>
              <w:t xml:space="preserve">Leverage and PC weakness</w:t>
            </w:r>
            <w:r>
              <w:rPr>
                <w:rFonts w:ascii="Calibri" w:cs="Calibri" w:eastAsia="Calibri" w:hAnsi="Calibri"/>
                <w:sz w:val="16"/>
                <w:szCs w:val="16"/>
              </w:rPr>
              <w:t xml:space="preserve">: net debt of $22.9B, negative equity (-$1.4B) from buybacks; PC market -4.9%.</w:t>
            </w:r>
          </w:p>
        </w:tc>
        <w:tc>
          <w:tcPr>
            <w:tcW w:type="dxa" w:w="6500"/>
            <w:tcBorders>
              <w:top w:val="single" w:color="BFBFBF" w:sz="4"/>
              <w:left w:val="none" w:color="FFFFFF" w:sz="0"/>
              <w:bottom w:val="single" w:color="BFBFBF" w:sz="4"/>
              <w:right w:val="none" w:color="FFFFFF" w:sz="0"/>
            </w:tcBorders>
            <w:tcMar>
              <w:top w:type="dxa" w:w="30"/>
              <w:left w:type="dxa" w:w="70"/>
              <w:bottom w:type="dxa" w:w="30"/>
              <w:right w:type="dxa" w:w="70"/>
            </w:tcMar>
            <w:vAlign w:val="top"/>
          </w:tcPr>
          <w:p>
            <w:pPr>
              <w:spacing w:after="0" w:before="0" w:line="228"/>
              <w:jc w:val="left"/>
            </w:pPr>
            <w:r>
              <w:rPr>
                <w:rFonts w:ascii="Calibri" w:cs="Calibri" w:eastAsia="Calibri" w:hAnsi="Calibri"/>
                <w:sz w:val="16"/>
                <w:szCs w:val="16"/>
              </w:rPr>
              <w:t xml:space="preserve">Q2 adjusted FCF of $8.1B covered the record $4.3B returned to shareholders. CSG (32% of revenue) still grew 20%, with operating margin up to 7.6% from 6.4%.</w:t>
            </w:r>
          </w:p>
        </w:tc>
      </w:tr>
    </w:tbl>
    <w:p>
      <w:pPr>
        <w:keepNext/>
        <w:spacing w:after="30" w:before="70"/>
      </w:pPr>
      <w:r>
        <w:rPr>
          <w:rFonts w:ascii="Calibri" w:cs="Calibri" w:eastAsia="Calibri" w:hAnsi="Calibri"/>
          <w:b/>
          <w:bCs/>
          <w:color w:val="4B2E83"/>
          <w:sz w:val="17"/>
          <w:szCs w:val="17"/>
        </w:rPr>
        <w:t xml:space="preserve">Exhibit 2: Performance &amp; Valuation vs. Peers and XLK</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00"/>
        <w:gridCol w:w="1000"/>
        <w:gridCol w:w="1000"/>
        <w:gridCol w:w="1000"/>
        <w:gridCol w:w="1000"/>
        <w:gridCol w:w="850"/>
        <w:gridCol w:w="1150"/>
        <w:gridCol w:w="2800"/>
      </w:tblGrid>
      <w:tr>
        <w:trPr>
          <w:cantSplit/>
          <w:tblHeader/>
        </w:trPr>
        <w:tc>
          <w:tcPr>
            <w:tcW w:type="dxa" w:w="7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color w:val="FFFFFF"/>
                <w:sz w:val="16"/>
                <w:szCs w:val="16"/>
              </w:rPr>
              <w:t xml:space="preserve">Ticker</w:t>
            </w:r>
          </w:p>
        </w:tc>
        <w:tc>
          <w:tcPr>
            <w:tcW w:type="dxa" w:w="13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color w:val="FFFFFF"/>
                <w:sz w:val="16"/>
                <w:szCs w:val="16"/>
              </w:rPr>
              <w:t xml:space="preserve">Role</w:t>
            </w:r>
          </w:p>
        </w:tc>
        <w:tc>
          <w:tcPr>
            <w:tcW w:type="dxa" w:w="10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YTD Return</w:t>
            </w:r>
          </w:p>
        </w:tc>
        <w:tc>
          <w:tcPr>
            <w:tcW w:type="dxa" w:w="10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vs. XLK</w:t>
            </w:r>
          </w:p>
        </w:tc>
        <w:tc>
          <w:tcPr>
            <w:tcW w:type="dxa" w:w="10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Mkt Cap</w:t>
            </w:r>
          </w:p>
        </w:tc>
        <w:tc>
          <w:tcPr>
            <w:tcW w:type="dxa" w:w="10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EV</w:t>
            </w:r>
          </w:p>
        </w:tc>
        <w:tc>
          <w:tcPr>
            <w:tcW w:type="dxa" w:w="85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Fwd P/E</w:t>
            </w:r>
          </w:p>
        </w:tc>
        <w:tc>
          <w:tcPr>
            <w:tcW w:type="dxa" w:w="115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color w:val="FFFFFF"/>
                <w:sz w:val="16"/>
                <w:szCs w:val="16"/>
              </w:rPr>
              <w:t xml:space="preserve">EV / Run-Rate EBIT</w:t>
            </w:r>
          </w:p>
        </w:tc>
        <w:tc>
          <w:tcPr>
            <w:tcW w:type="dxa" w:w="2800"/>
            <w:tcBorders>
              <w:top w:val="none" w:color="FFFFFF" w:sz="0"/>
              <w:left w:val="none" w:color="FFFFFF" w:sz="0"/>
              <w:bottom w:val="none" w:color="FFFFFF" w:sz="0"/>
              <w:right w:val="none" w:color="FFFFFF" w:sz="0"/>
            </w:tcBorders>
            <w:shd w:fill="4B2E83"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color w:val="FFFFFF"/>
                <w:sz w:val="16"/>
                <w:szCs w:val="16"/>
              </w:rPr>
              <w:t xml:space="preserve">Key Takeaway</w:t>
            </w:r>
          </w:p>
        </w:tc>
      </w:tr>
      <w:tr>
        <w:trPr>
          <w:cantSplit/>
        </w:trPr>
        <w:tc>
          <w:tcPr>
            <w:tcW w:type="dxa" w:w="7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DELL</w:t>
            </w:r>
          </w:p>
        </w:tc>
        <w:tc>
          <w:tcPr>
            <w:tcW w:type="dxa" w:w="13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Our pick</w:t>
            </w:r>
          </w:p>
        </w:tc>
        <w:tc>
          <w:tcPr>
            <w:tcW w:type="dxa" w:w="10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+347.0%</w:t>
            </w:r>
          </w:p>
        </w:tc>
        <w:tc>
          <w:tcPr>
            <w:tcW w:type="dxa" w:w="10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+308.2 pp</w:t>
            </w:r>
          </w:p>
        </w:tc>
        <w:tc>
          <w:tcPr>
            <w:tcW w:type="dxa" w:w="10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$357.7B</w:t>
            </w:r>
          </w:p>
        </w:tc>
        <w:tc>
          <w:tcPr>
            <w:tcW w:type="dxa" w:w="10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$380.6B</w:t>
            </w:r>
          </w:p>
        </w:tc>
        <w:tc>
          <w:tcPr>
            <w:tcW w:type="dxa" w:w="85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22.1x</w:t>
            </w:r>
          </w:p>
        </w:tc>
        <w:tc>
          <w:tcPr>
            <w:tcW w:type="dxa" w:w="115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center"/>
            </w:pPr>
            <w:r>
              <w:rPr>
                <w:rFonts w:ascii="Calibri" w:cs="Calibri" w:eastAsia="Calibri" w:hAnsi="Calibri"/>
                <w:b/>
                <w:bCs/>
                <w:sz w:val="16"/>
                <w:szCs w:val="16"/>
              </w:rPr>
              <w:t xml:space="preserve">16.0x</w:t>
            </w:r>
          </w:p>
        </w:tc>
        <w:tc>
          <w:tcPr>
            <w:tcW w:type="dxa" w:w="2800"/>
            <w:tcBorders>
              <w:top w:val="single" w:color="BFBFBF" w:sz="4"/>
              <w:left w:val="none" w:color="FFFFFF" w:sz="0"/>
              <w:bottom w:val="single" w:color="BFBFBF" w:sz="4"/>
              <w:right w:val="none" w:color="FFFFFF" w:sz="0"/>
            </w:tcBorders>
            <w:shd w:fill="F4EFE1" w:color="auto" w:val="clear"/>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#1 server vendor; EPS guide +148%</w:t>
            </w:r>
          </w:p>
        </w:tc>
      </w:tr>
      <w:tr>
        <w:trPr>
          <w:cantSplit/>
        </w:trPr>
        <w:tc>
          <w:tcPr>
            <w:tcW w:type="dxa" w:w="7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HPE</w:t>
            </w:r>
          </w:p>
        </w:tc>
        <w:tc>
          <w:tcPr>
            <w:tcW w:type="dxa" w:w="13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Server peer</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+190.7%</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+151.9 pp</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$92.1B</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$106.1B</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18.2x</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13.4x</w:t>
            </w:r>
          </w:p>
        </w:tc>
        <w:tc>
          <w:tcPr>
            <w:tcW w:type="dxa" w:w="28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Losing share (3.5%); Juniper integration</w:t>
            </w:r>
          </w:p>
        </w:tc>
      </w:tr>
      <w:tr>
        <w:trPr>
          <w:cantSplit/>
        </w:trPr>
        <w:tc>
          <w:tcPr>
            <w:tcW w:type="dxa" w:w="7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SMCI</w:t>
            </w:r>
          </w:p>
        </w:tc>
        <w:tc>
          <w:tcPr>
            <w:tcW w:type="dxa" w:w="13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AI-server peer</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+49.3%</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+10.5 pp</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$28.7B</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$29.9B</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10.4x*</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4.5x†</w:t>
            </w:r>
          </w:p>
        </w:tc>
        <w:tc>
          <w:tcPr>
            <w:tcW w:type="dxa" w:w="28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Export-control review; equity raises</w:t>
            </w:r>
          </w:p>
        </w:tc>
      </w:tr>
      <w:tr>
        <w:trPr>
          <w:cantSplit/>
        </w:trPr>
        <w:tc>
          <w:tcPr>
            <w:tcW w:type="dxa" w:w="7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HPQ</w:t>
            </w:r>
          </w:p>
        </w:tc>
        <w:tc>
          <w:tcPr>
            <w:tcW w:type="dxa" w:w="13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PC peer</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+44.2%</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+5.4 pp</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$29.0B</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$34.0B</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9.9x</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8.3x</w:t>
            </w:r>
          </w:p>
        </w:tc>
        <w:tc>
          <w:tcPr>
            <w:tcW w:type="dxa" w:w="28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PC units -16%; interim CEO</w:t>
            </w:r>
          </w:p>
        </w:tc>
      </w:tr>
      <w:tr>
        <w:trPr>
          <w:cantSplit/>
        </w:trPr>
        <w:tc>
          <w:tcPr>
            <w:tcW w:type="dxa" w:w="7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bCs/>
                <w:sz w:val="16"/>
                <w:szCs w:val="16"/>
              </w:rPr>
              <w:t xml:space="preserve">ORCL</w:t>
            </w:r>
          </w:p>
        </w:tc>
        <w:tc>
          <w:tcPr>
            <w:tcW w:type="dxa" w:w="13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Other XLK case</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-27.0%</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-65.8 pp</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$431.2B</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n/a</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17.6x</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center"/>
            </w:pPr>
            <w:r>
              <w:rPr>
                <w:rFonts w:ascii="Calibri" w:cs="Calibri" w:eastAsia="Calibri" w:hAnsi="Calibri"/>
                <w:b w:val="false"/>
                <w:bCs w:val="false"/>
                <w:sz w:val="16"/>
                <w:szCs w:val="16"/>
              </w:rPr>
              <w:t xml:space="preserve">n/a</w:t>
            </w:r>
          </w:p>
        </w:tc>
        <w:tc>
          <w:tcPr>
            <w:tcW w:type="dxa" w:w="28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spacing w:after="0" w:before="0" w:line="228"/>
              <w:jc w:val="left"/>
            </w:pPr>
            <w:r>
              <w:rPr>
                <w:rFonts w:ascii="Calibri" w:cs="Calibri" w:eastAsia="Calibri" w:hAnsi="Calibri"/>
                <w:b w:val="false"/>
                <w:bCs w:val="false"/>
                <w:sz w:val="16"/>
                <w:szCs w:val="16"/>
              </w:rPr>
              <w:t xml:space="preserve">AI buyer: -$5B FCF in Q1 FY27</w:t>
            </w:r>
          </w:p>
        </w:tc>
      </w:tr>
      <w:tr>
        <w:trPr>
          <w:cantSplit/>
        </w:trPr>
        <w:tc>
          <w:tcPr>
            <w:tcW w:type="dxa" w:w="7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left"/>
            </w:pPr>
            <w:r>
              <w:rPr>
                <w:rFonts w:ascii="Calibri" w:cs="Calibri" w:eastAsia="Calibri" w:hAnsi="Calibri"/>
                <w:b/>
                <w:bCs/>
                <w:sz w:val="16"/>
                <w:szCs w:val="16"/>
              </w:rPr>
              <w:t xml:space="preserve">XLK</w:t>
            </w:r>
          </w:p>
        </w:tc>
        <w:tc>
          <w:tcPr>
            <w:tcW w:type="dxa" w:w="13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left"/>
            </w:pPr>
            <w:r>
              <w:rPr>
                <w:rFonts w:ascii="Calibri" w:cs="Calibri" w:eastAsia="Calibri" w:hAnsi="Calibri"/>
                <w:b w:val="false"/>
                <w:bCs w:val="false"/>
                <w:sz w:val="16"/>
                <w:szCs w:val="16"/>
              </w:rPr>
              <w:t xml:space="preserve">Sector ETF</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+38.8%</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w:t>
            </w:r>
          </w:p>
        </w:tc>
        <w:tc>
          <w:tcPr>
            <w:tcW w:type="dxa" w:w="10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w:t>
            </w:r>
          </w:p>
        </w:tc>
        <w:tc>
          <w:tcPr>
            <w:tcW w:type="dxa" w:w="8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24.8x</w:t>
            </w:r>
          </w:p>
        </w:tc>
        <w:tc>
          <w:tcPr>
            <w:tcW w:type="dxa" w:w="115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center"/>
            </w:pPr>
            <w:r>
              <w:rPr>
                <w:rFonts w:ascii="Calibri" w:cs="Calibri" w:eastAsia="Calibri" w:hAnsi="Calibri"/>
                <w:b w:val="false"/>
                <w:bCs w:val="false"/>
                <w:sz w:val="16"/>
                <w:szCs w:val="16"/>
              </w:rPr>
              <w:t xml:space="preserve">-</w:t>
            </w:r>
          </w:p>
        </w:tc>
        <w:tc>
          <w:tcPr>
            <w:tcW w:type="dxa" w:w="2800"/>
            <w:tcBorders>
              <w:top w:val="single" w:color="BFBFBF" w:sz="4"/>
              <w:left w:val="none" w:color="FFFFFF" w:sz="0"/>
              <w:bottom w:val="single" w:color="BFBFBF" w:sz="4"/>
              <w:right w:val="none" w:color="FFFFFF" w:sz="0"/>
            </w:tcBorders>
            <w:tcMar>
              <w:top w:type="dxa" w:w="30"/>
              <w:left w:type="dxa" w:w="70"/>
              <w:bottom w:type="dxa" w:w="30"/>
              <w:right w:type="dxa" w:w="70"/>
            </w:tcMar>
            <w:vAlign w:val="center"/>
          </w:tcPr>
          <w:p>
            <w:pPr>
              <w:keepNext w:val="false"/>
              <w:spacing w:after="0" w:before="0" w:line="228"/>
              <w:jc w:val="left"/>
            </w:pPr>
            <w:r>
              <w:rPr>
                <w:rFonts w:ascii="Calibri" w:cs="Calibri" w:eastAsia="Calibri" w:hAnsi="Calibri"/>
                <w:b w:val="false"/>
                <w:bCs w:val="false"/>
                <w:sz w:val="16"/>
                <w:szCs w:val="16"/>
              </w:rPr>
              <w:t xml:space="preserve">39% in NVDA, AAPL, MSFT</w:t>
            </w:r>
          </w:p>
        </w:tc>
      </w:tr>
    </w:tbl>
    <w:p>
      <w:pPr>
        <w:spacing w:after="40" w:before="25" w:line="220"/>
      </w:pPr>
      <w:r>
        <w:rPr>
          <w:rFonts w:ascii="Calibri" w:cs="Calibri" w:eastAsia="Calibri" w:hAnsi="Calibri"/>
          <w:i/>
          <w:iCs/>
          <w:color w:val="595959"/>
          <w:sz w:val="15"/>
          <w:szCs w:val="15"/>
        </w:rPr>
        <w:t xml:space="preserve">YTD = price return from start-of-2026 reference price to Oct 2, 2026 close. Fwd P/E = price / next-FY non-GAAP EPS guidance (DELL FY27 $25.50; HPE FY26 $3.80 and HPQ FY26 $3.24 midpoints; ORCL FY27 $8.10); XLK FY1 P/E as reported by State Street. *SMCI gives no full-year EPS guide, so Q1 FY27 guidance midpoint x4 is used. EV/EBIT = EV / (latest-quarter non-GAAP operating income x4); †SMCI uses Q4 adjusted EBITDA x4.</w:t>
      </w:r>
    </w:p>
    <w:p>
      <w:pPr>
        <w:spacing w:after="40" w:before="25" w:line="220"/>
      </w:pPr>
      <w:r>
        <w:rPr>
          <w:rFonts w:ascii="Calibri" w:cs="Calibri" w:eastAsia="Calibri" w:hAnsi="Calibri"/>
          <w:i/>
          <w:iCs/>
          <w:color w:val="595959"/>
          <w:sz w:val="15"/>
          <w:szCs w:val="15"/>
        </w:rPr>
        <w:t xml:space="preserve">Sources: Dell Q1 and Q2 FY27, HPE Q3 FY26, HP Inc. Q3 FY26 and Supermicro Q4 FY26 earnings releases (SEC Form 8-K); IDC Worldwide Quarterly Server Tracker and PC data (Q2 2026); State Street XLK fund page (Oct 1, 2026); IO Fund (hyperscaler capex; FactSet and Goldman Sachs Research); Oracle Q1 FY27 earnings call; prices at Oct 2, 2026 close; start-of-year prices from MarketBeat.</w:t>
      </w:r>
    </w:p>
    <w:sectPr>
      <w:pgSz w:w="12240" w:h="15840" w:orient="portrait"/>
      <w:pgMar w:top="64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85754D"/>
      </w:rPr>
    </w:lvl>
  </w:abstractNum>
  <w:abstractNum w:abstractNumId="3" w15:restartNumberingAfterBreak="0">
    <w:multiLevelType w:val="hybridMultilevel"/>
    <w:lvl w:ilvl="0" w15:tentative="1">
      <w:start w:val="1"/>
      <w:numFmt w:val="decimal"/>
      <w:lvlText w:val="%1."/>
      <w:lvlJc w:val="left"/>
      <w:pPr>
        <w:ind w:left="260" w:hanging="260"/>
      </w:pPr>
      <w:rPr>
        <w:b/>
        <w:bCs/>
        <w:color w:val="4B2E8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Dell Technologies (DELL): Outperform XLK</dc:title>
  <dc:creator>Don Mo</dc:creator>
  <cp:lastModifiedBy>Un-named</cp:lastModifiedBy>
  <cp:revision>1</cp:revision>
  <dcterms:created xsi:type="dcterms:W3CDTF">2026-10-05T19:09:04.475Z</dcterms:created>
  <dcterms:modified xsi:type="dcterms:W3CDTF">2026-10-05T19:09:04.476Z</dcterms:modified>
</cp:coreProperties>
</file>

<file path=docProps/custom.xml><?xml version="1.0" encoding="utf-8"?>
<Properties xmlns="http://schemas.openxmlformats.org/officeDocument/2006/custom-properties" xmlns:vt="http://schemas.openxmlformats.org/officeDocument/2006/docPropsVTypes"/>
</file>