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84C48A" w14:textId="06DADB0F" w:rsidR="00193086" w:rsidRDefault="00193086" w:rsidP="00193086">
      <w:pPr>
        <w:spacing w:after="0"/>
        <w:rPr>
          <w:rFonts w:ascii="Times New Roman" w:hAnsi="Times New Roman" w:cs="Times New Roman"/>
          <w:b/>
          <w:bCs/>
          <w:sz w:val="28"/>
          <w:szCs w:val="28"/>
        </w:rPr>
      </w:pPr>
    </w:p>
    <w:p w14:paraId="1512885F" w14:textId="030667A7" w:rsidR="00A12F4E" w:rsidRDefault="00A12F4E" w:rsidP="00193086">
      <w:pPr>
        <w:spacing w:after="0"/>
        <w:rPr>
          <w:rFonts w:ascii="Times New Roman" w:hAnsi="Times New Roman" w:cs="Times New Roman"/>
          <w:b/>
          <w:bCs/>
          <w:sz w:val="28"/>
          <w:szCs w:val="28"/>
        </w:rPr>
      </w:pPr>
    </w:p>
    <w:p w14:paraId="27C31B8E" w14:textId="77777777" w:rsidR="00A12F4E" w:rsidRDefault="00A12F4E" w:rsidP="00193086">
      <w:pPr>
        <w:spacing w:after="0"/>
        <w:rPr>
          <w:rFonts w:ascii="Times New Roman" w:hAnsi="Times New Roman" w:cs="Times New Roman"/>
          <w:b/>
          <w:bCs/>
          <w:sz w:val="28"/>
          <w:szCs w:val="28"/>
        </w:rPr>
      </w:pPr>
    </w:p>
    <w:p w14:paraId="0B3BE7CF" w14:textId="4C60C35A" w:rsidR="00A12F4E" w:rsidRPr="00A12F4E" w:rsidRDefault="00193086" w:rsidP="00A12F4E">
      <w:pPr>
        <w:spacing w:after="0"/>
        <w:jc w:val="center"/>
        <w:rPr>
          <w:rFonts w:ascii="Times New Roman" w:hAnsi="Times New Roman" w:cs="Times New Roman"/>
          <w:sz w:val="28"/>
          <w:szCs w:val="28"/>
        </w:rPr>
      </w:pPr>
      <w:r w:rsidRPr="00A12F4E">
        <w:rPr>
          <w:rFonts w:ascii="Times New Roman" w:hAnsi="Times New Roman" w:cs="Times New Roman"/>
          <w:sz w:val="28"/>
          <w:szCs w:val="28"/>
        </w:rPr>
        <w:t>Long-term trajectories of fuel and stand structure in experimentally-treated dry forests of central Washingt</w:t>
      </w:r>
      <w:r w:rsidR="00A12F4E" w:rsidRPr="00A12F4E">
        <w:rPr>
          <w:rFonts w:ascii="Times New Roman" w:hAnsi="Times New Roman" w:cs="Times New Roman"/>
          <w:sz w:val="28"/>
          <w:szCs w:val="28"/>
        </w:rPr>
        <w:t>on</w:t>
      </w:r>
    </w:p>
    <w:p w14:paraId="37333A0C" w14:textId="4346BCD8" w:rsidR="00A12F4E" w:rsidRPr="00A12F4E" w:rsidRDefault="00A12F4E" w:rsidP="00A12F4E">
      <w:pPr>
        <w:spacing w:after="0"/>
        <w:jc w:val="center"/>
        <w:rPr>
          <w:rFonts w:ascii="Times New Roman" w:hAnsi="Times New Roman" w:cs="Times New Roman"/>
          <w:sz w:val="28"/>
          <w:szCs w:val="28"/>
        </w:rPr>
      </w:pPr>
    </w:p>
    <w:p w14:paraId="79B903F7" w14:textId="57FEC4CC" w:rsidR="00A12F4E" w:rsidRPr="00A12F4E" w:rsidRDefault="00A12F4E" w:rsidP="00A12F4E">
      <w:pPr>
        <w:spacing w:after="0"/>
        <w:jc w:val="center"/>
        <w:rPr>
          <w:rFonts w:ascii="Times New Roman" w:hAnsi="Times New Roman" w:cs="Times New Roman"/>
          <w:sz w:val="24"/>
          <w:szCs w:val="24"/>
        </w:rPr>
      </w:pPr>
      <w:r w:rsidRPr="00A12F4E">
        <w:rPr>
          <w:rFonts w:ascii="Times New Roman" w:hAnsi="Times New Roman" w:cs="Times New Roman"/>
          <w:sz w:val="24"/>
          <w:szCs w:val="24"/>
        </w:rPr>
        <w:t>Don Radcliffe</w:t>
      </w:r>
    </w:p>
    <w:p w14:paraId="09B70CD2" w14:textId="49DA03DB" w:rsidR="00A12F4E" w:rsidRPr="00A12F4E" w:rsidRDefault="00A12F4E" w:rsidP="00A12F4E">
      <w:pPr>
        <w:spacing w:after="0"/>
        <w:jc w:val="center"/>
        <w:rPr>
          <w:rFonts w:ascii="Times New Roman" w:hAnsi="Times New Roman" w:cs="Times New Roman"/>
          <w:sz w:val="24"/>
          <w:szCs w:val="24"/>
        </w:rPr>
      </w:pPr>
      <w:r w:rsidRPr="00A12F4E">
        <w:rPr>
          <w:rFonts w:ascii="Times New Roman" w:hAnsi="Times New Roman" w:cs="Times New Roman"/>
          <w:sz w:val="24"/>
          <w:szCs w:val="24"/>
        </w:rPr>
        <w:t>University of Washington School of Environmental and Forest Sciences</w:t>
      </w:r>
    </w:p>
    <w:p w14:paraId="57276CD8" w14:textId="2B9142A5" w:rsidR="00A12F4E" w:rsidRPr="00A12F4E" w:rsidRDefault="00A12F4E" w:rsidP="00A12F4E">
      <w:pPr>
        <w:spacing w:after="0"/>
        <w:jc w:val="center"/>
        <w:rPr>
          <w:rFonts w:ascii="Times New Roman" w:hAnsi="Times New Roman" w:cs="Times New Roman"/>
          <w:sz w:val="24"/>
          <w:szCs w:val="24"/>
        </w:rPr>
      </w:pPr>
      <w:r>
        <w:rPr>
          <w:rFonts w:ascii="Times New Roman" w:hAnsi="Times New Roman" w:cs="Times New Roman"/>
          <w:sz w:val="24"/>
          <w:szCs w:val="24"/>
        </w:rPr>
        <w:t>March 4</w:t>
      </w:r>
      <w:r w:rsidRPr="00A12F4E">
        <w:rPr>
          <w:rFonts w:ascii="Times New Roman" w:hAnsi="Times New Roman" w:cs="Times New Roman"/>
          <w:sz w:val="24"/>
          <w:szCs w:val="24"/>
          <w:vertAlign w:val="superscript"/>
        </w:rPr>
        <w:t>th</w:t>
      </w:r>
      <w:r>
        <w:rPr>
          <w:rFonts w:ascii="Times New Roman" w:hAnsi="Times New Roman" w:cs="Times New Roman"/>
          <w:sz w:val="24"/>
          <w:szCs w:val="24"/>
        </w:rPr>
        <w:t>, 2022</w:t>
      </w:r>
    </w:p>
    <w:p w14:paraId="09ED65B6" w14:textId="7363A771" w:rsidR="00A12F4E" w:rsidRDefault="00A12F4E" w:rsidP="00A12F4E">
      <w:pPr>
        <w:spacing w:after="0"/>
        <w:jc w:val="center"/>
        <w:rPr>
          <w:rFonts w:ascii="Times New Roman" w:hAnsi="Times New Roman" w:cs="Times New Roman"/>
          <w:sz w:val="28"/>
          <w:szCs w:val="28"/>
        </w:rPr>
      </w:pPr>
    </w:p>
    <w:p w14:paraId="511BA052" w14:textId="2BE256D0" w:rsidR="00A12F4E" w:rsidRDefault="00A12F4E" w:rsidP="00A12F4E">
      <w:pPr>
        <w:spacing w:after="0"/>
        <w:jc w:val="center"/>
        <w:rPr>
          <w:rFonts w:ascii="Times New Roman" w:hAnsi="Times New Roman" w:cs="Times New Roman"/>
          <w:sz w:val="28"/>
          <w:szCs w:val="28"/>
        </w:rPr>
      </w:pPr>
    </w:p>
    <w:p w14:paraId="2529280E" w14:textId="36F2674B" w:rsidR="00A12F4E" w:rsidRDefault="00A12F4E" w:rsidP="00A12F4E">
      <w:pPr>
        <w:spacing w:after="0"/>
        <w:jc w:val="center"/>
        <w:rPr>
          <w:rFonts w:ascii="Times New Roman" w:hAnsi="Times New Roman" w:cs="Times New Roman"/>
          <w:sz w:val="28"/>
          <w:szCs w:val="28"/>
        </w:rPr>
      </w:pPr>
    </w:p>
    <w:p w14:paraId="0C7189A8" w14:textId="7ABAAA99" w:rsidR="00A12F4E" w:rsidRDefault="00A12F4E" w:rsidP="00A12F4E">
      <w:pPr>
        <w:spacing w:after="0"/>
        <w:jc w:val="center"/>
        <w:rPr>
          <w:rFonts w:ascii="Times New Roman" w:hAnsi="Times New Roman" w:cs="Times New Roman"/>
          <w:sz w:val="28"/>
          <w:szCs w:val="28"/>
        </w:rPr>
      </w:pPr>
    </w:p>
    <w:p w14:paraId="662FB51A" w14:textId="4F439AA9" w:rsidR="00A12F4E" w:rsidRDefault="00A12F4E" w:rsidP="00A12F4E">
      <w:pPr>
        <w:spacing w:after="0"/>
        <w:jc w:val="center"/>
        <w:rPr>
          <w:rFonts w:ascii="Times New Roman" w:hAnsi="Times New Roman" w:cs="Times New Roman"/>
          <w:sz w:val="28"/>
          <w:szCs w:val="28"/>
        </w:rPr>
      </w:pPr>
    </w:p>
    <w:p w14:paraId="6F9114AB" w14:textId="2BD2C4B5" w:rsidR="00A12F4E" w:rsidRDefault="00A12F4E" w:rsidP="00A12F4E">
      <w:pPr>
        <w:spacing w:after="0"/>
        <w:jc w:val="center"/>
        <w:rPr>
          <w:rFonts w:ascii="Times New Roman" w:hAnsi="Times New Roman" w:cs="Times New Roman"/>
          <w:sz w:val="28"/>
          <w:szCs w:val="28"/>
        </w:rPr>
      </w:pPr>
    </w:p>
    <w:p w14:paraId="4FD10C79" w14:textId="21D86B0E" w:rsidR="00A12F4E" w:rsidRDefault="00A12F4E" w:rsidP="00A12F4E">
      <w:pPr>
        <w:spacing w:after="0"/>
        <w:jc w:val="center"/>
        <w:rPr>
          <w:rFonts w:ascii="Times New Roman" w:hAnsi="Times New Roman" w:cs="Times New Roman"/>
          <w:sz w:val="28"/>
          <w:szCs w:val="28"/>
        </w:rPr>
      </w:pPr>
    </w:p>
    <w:p w14:paraId="068FBD8C" w14:textId="536765F2" w:rsidR="00A12F4E" w:rsidRDefault="00A12F4E" w:rsidP="00A12F4E">
      <w:pPr>
        <w:spacing w:after="0"/>
        <w:jc w:val="center"/>
        <w:rPr>
          <w:rFonts w:ascii="Times New Roman" w:hAnsi="Times New Roman" w:cs="Times New Roman"/>
          <w:sz w:val="28"/>
          <w:szCs w:val="28"/>
        </w:rPr>
      </w:pPr>
    </w:p>
    <w:p w14:paraId="40BED6B2" w14:textId="743F4613" w:rsidR="00A12F4E" w:rsidRDefault="00A12F4E" w:rsidP="00A12F4E">
      <w:pPr>
        <w:spacing w:after="0"/>
        <w:jc w:val="center"/>
        <w:rPr>
          <w:rFonts w:ascii="Times New Roman" w:hAnsi="Times New Roman" w:cs="Times New Roman"/>
          <w:sz w:val="28"/>
          <w:szCs w:val="28"/>
        </w:rPr>
      </w:pPr>
    </w:p>
    <w:p w14:paraId="3A7037D2" w14:textId="7E1A42EF" w:rsidR="00A12F4E" w:rsidRDefault="00A12F4E" w:rsidP="00A12F4E">
      <w:pPr>
        <w:spacing w:after="0"/>
        <w:jc w:val="center"/>
        <w:rPr>
          <w:rFonts w:ascii="Times New Roman" w:hAnsi="Times New Roman" w:cs="Times New Roman"/>
          <w:sz w:val="28"/>
          <w:szCs w:val="28"/>
        </w:rPr>
      </w:pPr>
    </w:p>
    <w:p w14:paraId="5086CE3F" w14:textId="5EA337CD" w:rsidR="00A12F4E" w:rsidRDefault="00A12F4E" w:rsidP="00A12F4E">
      <w:pPr>
        <w:spacing w:after="0"/>
        <w:jc w:val="center"/>
        <w:rPr>
          <w:rFonts w:ascii="Times New Roman" w:hAnsi="Times New Roman" w:cs="Times New Roman"/>
          <w:sz w:val="28"/>
          <w:szCs w:val="28"/>
        </w:rPr>
      </w:pPr>
    </w:p>
    <w:p w14:paraId="36A0A969" w14:textId="4C8FF73D" w:rsidR="00A12F4E" w:rsidRDefault="00A12F4E" w:rsidP="00A12F4E">
      <w:pPr>
        <w:spacing w:after="0"/>
        <w:jc w:val="center"/>
        <w:rPr>
          <w:rFonts w:ascii="Times New Roman" w:hAnsi="Times New Roman" w:cs="Times New Roman"/>
          <w:sz w:val="28"/>
          <w:szCs w:val="28"/>
        </w:rPr>
      </w:pPr>
    </w:p>
    <w:p w14:paraId="4A0CADAF" w14:textId="636FFA33" w:rsidR="00A12F4E" w:rsidRDefault="00A12F4E" w:rsidP="00A12F4E">
      <w:pPr>
        <w:spacing w:after="0"/>
        <w:jc w:val="center"/>
        <w:rPr>
          <w:rFonts w:ascii="Times New Roman" w:hAnsi="Times New Roman" w:cs="Times New Roman"/>
          <w:sz w:val="28"/>
          <w:szCs w:val="28"/>
        </w:rPr>
      </w:pPr>
    </w:p>
    <w:p w14:paraId="59DE5862" w14:textId="41F189FC" w:rsidR="00A12F4E" w:rsidRDefault="00A12F4E" w:rsidP="00A12F4E">
      <w:pPr>
        <w:spacing w:after="0"/>
        <w:jc w:val="center"/>
        <w:rPr>
          <w:rFonts w:ascii="Times New Roman" w:hAnsi="Times New Roman" w:cs="Times New Roman"/>
          <w:sz w:val="28"/>
          <w:szCs w:val="28"/>
        </w:rPr>
      </w:pPr>
    </w:p>
    <w:p w14:paraId="6A474EFA" w14:textId="4CADC322" w:rsidR="00A12F4E" w:rsidRDefault="00A12F4E" w:rsidP="00A12F4E">
      <w:pPr>
        <w:spacing w:after="0"/>
        <w:jc w:val="center"/>
        <w:rPr>
          <w:rFonts w:ascii="Times New Roman" w:hAnsi="Times New Roman" w:cs="Times New Roman"/>
          <w:sz w:val="28"/>
          <w:szCs w:val="28"/>
        </w:rPr>
      </w:pPr>
    </w:p>
    <w:p w14:paraId="4123C1EC" w14:textId="13D35B05" w:rsidR="00A12F4E" w:rsidRDefault="00A12F4E" w:rsidP="00A12F4E">
      <w:pPr>
        <w:spacing w:after="0"/>
        <w:jc w:val="center"/>
        <w:rPr>
          <w:rFonts w:ascii="Times New Roman" w:hAnsi="Times New Roman" w:cs="Times New Roman"/>
          <w:sz w:val="28"/>
          <w:szCs w:val="28"/>
        </w:rPr>
      </w:pPr>
    </w:p>
    <w:p w14:paraId="2E5791F4" w14:textId="70870DE3" w:rsidR="00A12F4E" w:rsidRDefault="00A12F4E" w:rsidP="00A12F4E">
      <w:pPr>
        <w:spacing w:after="0"/>
        <w:jc w:val="center"/>
        <w:rPr>
          <w:rFonts w:ascii="Times New Roman" w:hAnsi="Times New Roman" w:cs="Times New Roman"/>
          <w:sz w:val="28"/>
          <w:szCs w:val="28"/>
        </w:rPr>
      </w:pPr>
    </w:p>
    <w:p w14:paraId="082CABEA" w14:textId="34CBD998" w:rsidR="00A12F4E" w:rsidRDefault="00A12F4E" w:rsidP="00A12F4E">
      <w:pPr>
        <w:spacing w:after="0"/>
        <w:jc w:val="center"/>
        <w:rPr>
          <w:rFonts w:ascii="Times New Roman" w:hAnsi="Times New Roman" w:cs="Times New Roman"/>
          <w:sz w:val="28"/>
          <w:szCs w:val="28"/>
        </w:rPr>
      </w:pPr>
    </w:p>
    <w:p w14:paraId="0B676ECB" w14:textId="1A121BAB" w:rsidR="00A12F4E" w:rsidRDefault="00A12F4E" w:rsidP="00A12F4E">
      <w:pPr>
        <w:spacing w:after="0"/>
        <w:jc w:val="center"/>
        <w:rPr>
          <w:rFonts w:ascii="Times New Roman" w:hAnsi="Times New Roman" w:cs="Times New Roman"/>
          <w:sz w:val="28"/>
          <w:szCs w:val="28"/>
        </w:rPr>
      </w:pPr>
    </w:p>
    <w:p w14:paraId="43BC3242" w14:textId="25E0DE3A" w:rsidR="00A12F4E" w:rsidRDefault="00A12F4E" w:rsidP="00A12F4E">
      <w:pPr>
        <w:spacing w:after="0"/>
        <w:jc w:val="center"/>
        <w:rPr>
          <w:rFonts w:ascii="Times New Roman" w:hAnsi="Times New Roman" w:cs="Times New Roman"/>
          <w:sz w:val="28"/>
          <w:szCs w:val="28"/>
        </w:rPr>
      </w:pPr>
    </w:p>
    <w:p w14:paraId="3EBA1F27" w14:textId="0549EAF8" w:rsidR="00A12F4E" w:rsidRDefault="00A12F4E" w:rsidP="00A12F4E">
      <w:pPr>
        <w:spacing w:after="0"/>
        <w:jc w:val="center"/>
        <w:rPr>
          <w:rFonts w:ascii="Times New Roman" w:hAnsi="Times New Roman" w:cs="Times New Roman"/>
          <w:sz w:val="28"/>
          <w:szCs w:val="28"/>
        </w:rPr>
      </w:pPr>
    </w:p>
    <w:p w14:paraId="7FC7F0B9" w14:textId="7B850112" w:rsidR="00A12F4E" w:rsidRDefault="00A12F4E" w:rsidP="00A12F4E">
      <w:pPr>
        <w:spacing w:after="0"/>
        <w:jc w:val="center"/>
        <w:rPr>
          <w:rFonts w:ascii="Times New Roman" w:hAnsi="Times New Roman" w:cs="Times New Roman"/>
          <w:sz w:val="28"/>
          <w:szCs w:val="28"/>
        </w:rPr>
      </w:pPr>
    </w:p>
    <w:p w14:paraId="388701A8" w14:textId="2E575616" w:rsidR="00A12F4E" w:rsidRDefault="00A12F4E" w:rsidP="00A12F4E">
      <w:pPr>
        <w:spacing w:after="0"/>
        <w:jc w:val="center"/>
        <w:rPr>
          <w:rFonts w:ascii="Times New Roman" w:hAnsi="Times New Roman" w:cs="Times New Roman"/>
          <w:sz w:val="28"/>
          <w:szCs w:val="28"/>
        </w:rPr>
      </w:pPr>
    </w:p>
    <w:p w14:paraId="678E4B7A" w14:textId="58F27E15" w:rsidR="00A12F4E" w:rsidRDefault="00A12F4E" w:rsidP="00A12F4E">
      <w:pPr>
        <w:spacing w:after="0"/>
        <w:jc w:val="center"/>
        <w:rPr>
          <w:rFonts w:ascii="Times New Roman" w:hAnsi="Times New Roman" w:cs="Times New Roman"/>
          <w:sz w:val="28"/>
          <w:szCs w:val="28"/>
        </w:rPr>
      </w:pPr>
    </w:p>
    <w:p w14:paraId="69DBC1A5" w14:textId="2EA0C4DD" w:rsidR="00A12F4E" w:rsidRDefault="00A12F4E" w:rsidP="00A12F4E">
      <w:pPr>
        <w:spacing w:after="0"/>
        <w:jc w:val="center"/>
        <w:rPr>
          <w:rFonts w:ascii="Times New Roman" w:hAnsi="Times New Roman" w:cs="Times New Roman"/>
          <w:sz w:val="28"/>
          <w:szCs w:val="28"/>
        </w:rPr>
      </w:pPr>
    </w:p>
    <w:p w14:paraId="68AD17AB" w14:textId="77777777" w:rsidR="00A12F4E" w:rsidRDefault="00A12F4E" w:rsidP="00A12F4E">
      <w:pPr>
        <w:spacing w:after="0"/>
        <w:jc w:val="center"/>
        <w:rPr>
          <w:rFonts w:ascii="Times New Roman" w:hAnsi="Times New Roman" w:cs="Times New Roman"/>
          <w:sz w:val="28"/>
          <w:szCs w:val="28"/>
        </w:rPr>
      </w:pPr>
    </w:p>
    <w:p w14:paraId="06BC998C" w14:textId="0C5B47C2" w:rsidR="00A12F4E" w:rsidRDefault="00A12F4E" w:rsidP="00A12F4E">
      <w:pPr>
        <w:spacing w:after="0"/>
        <w:jc w:val="center"/>
        <w:rPr>
          <w:rFonts w:ascii="Times New Roman" w:hAnsi="Times New Roman" w:cs="Times New Roman"/>
          <w:sz w:val="28"/>
          <w:szCs w:val="28"/>
        </w:rPr>
      </w:pPr>
    </w:p>
    <w:p w14:paraId="24DCA449" w14:textId="3F9750F2" w:rsidR="00A12F4E" w:rsidRDefault="00A12F4E" w:rsidP="00A12F4E">
      <w:pPr>
        <w:spacing w:after="0"/>
        <w:jc w:val="center"/>
        <w:rPr>
          <w:rFonts w:ascii="Times New Roman" w:hAnsi="Times New Roman" w:cs="Times New Roman"/>
          <w:sz w:val="28"/>
          <w:szCs w:val="28"/>
        </w:rPr>
      </w:pPr>
    </w:p>
    <w:p w14:paraId="1D8124BD" w14:textId="1E8BFEBD" w:rsidR="00386BF8" w:rsidRPr="00386BF8" w:rsidRDefault="00386BF8" w:rsidP="00477139">
      <w:pPr>
        <w:spacing w:after="0"/>
        <w:rPr>
          <w:rFonts w:ascii="Times New Roman" w:hAnsi="Times New Roman" w:cs="Times New Roman"/>
          <w:color w:val="FF0000"/>
          <w:sz w:val="24"/>
          <w:szCs w:val="24"/>
        </w:rPr>
      </w:pPr>
      <w:r>
        <w:rPr>
          <w:rFonts w:ascii="Times New Roman" w:hAnsi="Times New Roman" w:cs="Times New Roman"/>
          <w:color w:val="FF0000"/>
          <w:sz w:val="24"/>
          <w:szCs w:val="24"/>
        </w:rPr>
        <w:lastRenderedPageBreak/>
        <w:t>Questions/comments are in red.  To this point I’ve worked much more on implementation and visualization of the statistical methods than I have on writing down and deeply thinking through interpretations of the results</w:t>
      </w:r>
      <w:r w:rsidR="0093526C">
        <w:rPr>
          <w:rFonts w:ascii="Times New Roman" w:hAnsi="Times New Roman" w:cs="Times New Roman"/>
          <w:color w:val="FF0000"/>
          <w:sz w:val="24"/>
          <w:szCs w:val="24"/>
        </w:rPr>
        <w:t>.</w:t>
      </w:r>
    </w:p>
    <w:p w14:paraId="72D888B4" w14:textId="77777777" w:rsidR="00386BF8" w:rsidRDefault="00386BF8" w:rsidP="00477139">
      <w:pPr>
        <w:spacing w:after="0"/>
        <w:rPr>
          <w:rFonts w:ascii="Times New Roman" w:hAnsi="Times New Roman" w:cs="Times New Roman"/>
          <w:b/>
          <w:bCs/>
          <w:sz w:val="24"/>
          <w:szCs w:val="24"/>
        </w:rPr>
      </w:pPr>
    </w:p>
    <w:p w14:paraId="1D51DF1B" w14:textId="7E6B3B8D" w:rsidR="00A12F4E" w:rsidRPr="00477139" w:rsidRDefault="00A12F4E" w:rsidP="00477139">
      <w:pPr>
        <w:spacing w:after="0"/>
        <w:rPr>
          <w:rFonts w:ascii="Times New Roman" w:hAnsi="Times New Roman" w:cs="Times New Roman"/>
          <w:b/>
          <w:bCs/>
          <w:sz w:val="24"/>
          <w:szCs w:val="24"/>
        </w:rPr>
      </w:pPr>
      <w:r w:rsidRPr="00477139">
        <w:rPr>
          <w:rFonts w:ascii="Times New Roman" w:hAnsi="Times New Roman" w:cs="Times New Roman"/>
          <w:b/>
          <w:bCs/>
          <w:sz w:val="24"/>
          <w:szCs w:val="24"/>
        </w:rPr>
        <w:t>Abstract</w:t>
      </w:r>
    </w:p>
    <w:p w14:paraId="54D3FD72" w14:textId="12C259C0" w:rsidR="00477139" w:rsidRPr="00477139" w:rsidRDefault="00477139" w:rsidP="00477139">
      <w:pPr>
        <w:spacing w:after="0"/>
        <w:rPr>
          <w:rFonts w:ascii="Times New Roman" w:hAnsi="Times New Roman" w:cs="Times New Roman"/>
          <w:sz w:val="24"/>
          <w:szCs w:val="24"/>
        </w:rPr>
      </w:pPr>
      <w:r>
        <w:rPr>
          <w:rFonts w:ascii="Times New Roman" w:hAnsi="Times New Roman" w:cs="Times New Roman"/>
          <w:sz w:val="28"/>
          <w:szCs w:val="28"/>
        </w:rPr>
        <w:tab/>
      </w:r>
      <w:r>
        <w:rPr>
          <w:rFonts w:ascii="Times New Roman" w:hAnsi="Times New Roman" w:cs="Times New Roman"/>
          <w:sz w:val="24"/>
          <w:szCs w:val="24"/>
        </w:rPr>
        <w:t xml:space="preserve">Abstract text here. </w:t>
      </w:r>
    </w:p>
    <w:p w14:paraId="57520E80" w14:textId="0203167A" w:rsidR="00A12F4E" w:rsidRDefault="00A12F4E" w:rsidP="00A12F4E">
      <w:pPr>
        <w:spacing w:after="0"/>
        <w:jc w:val="center"/>
        <w:rPr>
          <w:rFonts w:ascii="Times New Roman" w:hAnsi="Times New Roman" w:cs="Times New Roman"/>
          <w:sz w:val="28"/>
          <w:szCs w:val="28"/>
        </w:rPr>
      </w:pPr>
    </w:p>
    <w:p w14:paraId="4B81EEDB" w14:textId="4F7BB5EA" w:rsidR="00A12F4E" w:rsidRPr="00477139" w:rsidRDefault="00A12F4E" w:rsidP="00A12F4E">
      <w:pPr>
        <w:spacing w:after="0"/>
        <w:rPr>
          <w:rFonts w:ascii="Times New Roman" w:hAnsi="Times New Roman" w:cs="Times New Roman"/>
          <w:b/>
          <w:bCs/>
          <w:sz w:val="24"/>
          <w:szCs w:val="24"/>
        </w:rPr>
      </w:pPr>
      <w:r w:rsidRPr="00477139">
        <w:rPr>
          <w:rFonts w:ascii="Times New Roman" w:hAnsi="Times New Roman" w:cs="Times New Roman"/>
          <w:b/>
          <w:bCs/>
          <w:sz w:val="24"/>
          <w:szCs w:val="24"/>
        </w:rPr>
        <w:t>Introduction</w:t>
      </w:r>
    </w:p>
    <w:p w14:paraId="4E7F762B" w14:textId="77777777" w:rsidR="00193086" w:rsidRDefault="00193086" w:rsidP="00193086">
      <w:pPr>
        <w:spacing w:after="0"/>
        <w:rPr>
          <w:rFonts w:ascii="Times New Roman" w:hAnsi="Times New Roman" w:cs="Times New Roman"/>
          <w:sz w:val="24"/>
          <w:szCs w:val="24"/>
        </w:rPr>
      </w:pPr>
    </w:p>
    <w:p w14:paraId="0AE540B1" w14:textId="5F72E0C8" w:rsidR="00193086" w:rsidRDefault="00193086" w:rsidP="00193086">
      <w:pPr>
        <w:spacing w:after="0"/>
        <w:ind w:firstLine="720"/>
        <w:rPr>
          <w:rFonts w:ascii="Times New Roman" w:hAnsi="Times New Roman" w:cs="Times New Roman"/>
          <w:sz w:val="24"/>
          <w:szCs w:val="24"/>
        </w:rPr>
      </w:pPr>
      <w:r>
        <w:rPr>
          <w:rFonts w:ascii="Times New Roman" w:hAnsi="Times New Roman" w:cs="Times New Roman"/>
          <w:sz w:val="24"/>
          <w:szCs w:val="24"/>
        </w:rPr>
        <w:t xml:space="preserve">Severe wildfire is increasing in dry forests of western North America, often threatening forest persistence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{"citationItems":[{"id":"ITEM-1","itemData":{"DOI":"10.1093/biosci/biaa061","ISSN":"15253244","abstract":"Changing disturbance regimes and climate can overcome forest ecosystem resilience. Following high-severity fire, forest recovery may be compromised by lack of tree seed sources, warmer and drier postfire climate, or short-interval reburning. A potential outcome of the loss of resilience is the conversion of the prefire forest to a different forest type or nonforest vegetation. Conversion implies major, extensive, and enduring changes in dominant species, life forms, or functions, with impacts on ecosystem services. In the present article, we synthesize a growing body of evidence of fire-driven conversion and our understanding of its causes across western North America. We assess our capacity to predict conversion and highlight important uncertainties. Increasing forest vulnerability to changing fire activity and climate compels shifts in management approaches, and we propose key themes for applied research coproduced by scientists and managers to support decision-making in an era when the prefire forest may not return.","author":[{"dropping-particle":"","family":"Coop","given":"Jonathan D.","non-dropping-particle":"","parse-names":false,"suffix":""},{"dropping-particle":"","family":"Parks","given":"Sean A.","non-dropping-particle":"","parse-names":false,"suffix":""},{"dropping-particle":"","family":"Stevens-Rumann","given":"Camille S.","non-dropping-particle":"","parse-names":false,"suffix":""},{"dropping-particle":"","family":"Crausbay","given":"Shelley D.","non-dropping-particle":"","parse-names":false,"suffix":""},{"dropping-particle":"","family":"Higuera","given":"Philip E.","non-dropping-particle":"","parse-names":false,"suffix":""},{"dropping-particle":"","family":"Hurteau","given":"Matthew D.","non-dropping-particle":"","parse-names":false,"suffix":""},{"dropping-particle":"","family":"Tepley","given":"Alan","non-dropping-particle":"","parse-names":false,"suffix":""},{"dropping-particle":"","family":"Whitman","given":"Ellen","non-dropping-particle":"","parse-names":false,"suffix":""},{"dropping-particle":"","family":"Assal","given":"Timothy","non-dropping-particle":"","parse-names":false,"suffix":""},{"dropping-particle":"","family":"Collins","given":"Brandon M.","non-dropping-particle":"","parse-names":false,"suffix":""},{"dropping-particle":"","family":"Davis","given":"Kimberley T.","non-dropping-particle":"","parse-names":false,"suffix":""},{"dropping-particle":"","family":"Dobrowski","given":"Solomon","non-dropping-particle":"","parse-names":false,"suffix":""},{"dropping-particle":"","family":"Falk","given":"Donald A.","non-dropping-particle":"","parse-names":false,"suffix":""},{"dropping-particle":"","family":"Fornwalt","given":"Paula J.","non-dropping-particle":"","parse-names":false,"suffix":""},{"dropping-particle":"","family":"Fulé","given":"Peter Z.","non-dropping-particle":"","parse-names":false,"suffix":""},{"dropping-particle":"","family":"Harvey","given":"Brian J.","non-dropping-particle":"","parse-names":false,"suffix":""},{"dropping-particle":"","family":"Kane","given":"Van R.","non-dropping-particle":"","parse-names":false,"suffix":""},{"dropping-particle":"","family":"Littlefield","given":"Caitlin E.","non-dropping-particle":"","parse-names":false,"suffix":""},{"dropping-particle":"","family":"Margolis","given":"Ellis Q.","non-dropping-particle":"","parse-names":false,"suffix":""},{"dropping-particle":"","family":"North","given":"Malcolm","non-dropping-particle":"","parse-names":false,"suffix":""},{"dropping-particle":"","family":"Parisien","given":"Marc André","non-dropping-particle":"","parse-names":false,"suffix":""},{"dropping-particle":"","family":"Prichard","given":"Susan","non-dropping-particle":"","parse-names":false,"suffix":""},{"dropping-particle":"","family":"Rodman","given":"Kyle C.","non-dropping-particle":"","parse-names":false,"suffix":""}],"container-title":"BioScience","id":"ITEM-1","issue":"8","issued":{"date-parts":[["2020","8","1"]]},"note":"·        A direct outcome of declining forest resilience to fire is an increase in the proportion of a burned landscape with postfire vegetatin that diverges considerably from its ‘prefire state’ \n·        ‘Where altered postfire begetation is spatially extensive and temporally enduring (ie longer than known historical postfire recovery time) such changes may be referenced to as conversion’ \no   Number of words synonomous with converstion \n·        Fire driven forest conversion is a two stage process \no   Major beg shifts from high sev fire \no   Inhibited recovery \n·        Ultimate duration of contemporary changes canoot be known \n·        Biological legacies, droughts, reburns \n·        We don’t know a lot about episodic tree regen \n·        Figure 7: High sev reburns perpetuate and expand flammable shrub cover at the expense of forest – Biscuit fire \no   Has been seen in multiple areas of the US \n·        Projection of loss of forest cover and expansion of shrubland \n·        Process based models (mechanistic) could study no-analog conditions \n·        Human activities and climate change may have led to disequilibrium \n·        Loss of western forests could lad to drying of other parts of the world \no   Carbon loss, hydro dynamics \no   Normal species tradeoffs \n·        Past decade, consensus built around three part concept of management responses, expressed in terms of resisting, accepting, or directly changing ecosystems \n·        Four central themes towards an array of coproduced science to support decisions around wildfire-driven forest conversion \no   Characterizing vulnerablitity to fire driven conversion \no   Providing plausible future ecological scenarios \no   Assess feasibility of directing or resisting conversion \no   Understanding the social and ecological consequences","page":"659-673","publisher":"Oxford University Press","title":"Wildfire-Driven Forest Conversion in Western North American Landscapes","type":"article","volume":"70"},"uris":["http://www.mendeley.com/documents/?uuid=a85fdcff-4e61-3f82-9bab-45d56a91d42b"]}],"mendeley":{"formattedCitation":"(Coop et al. 2020)","plainTextFormattedCitation":"(Coop et al. 2020)","previouslyFormattedCitation":"(Coop et al. 2020)"},"properties":{"noteIndex":0},"schema":"https://github.com/citation-style-language/schema/raw/master/csl-citation.json"}</w:instrText>
      </w:r>
      <w:r>
        <w:rPr>
          <w:rFonts w:ascii="Times New Roman" w:hAnsi="Times New Roman" w:cs="Times New Roman"/>
          <w:sz w:val="24"/>
          <w:szCs w:val="24"/>
        </w:rPr>
        <w:fldChar w:fldCharType="separate"/>
      </w:r>
      <w:r w:rsidRPr="00900C42">
        <w:rPr>
          <w:rFonts w:ascii="Times New Roman" w:hAnsi="Times New Roman" w:cs="Times New Roman"/>
          <w:noProof/>
          <w:sz w:val="24"/>
          <w:szCs w:val="24"/>
        </w:rPr>
        <w:t>(Coop et al. 2020)</w:t>
      </w:r>
      <w:r>
        <w:rPr>
          <w:rFonts w:ascii="Times New Roman" w:hAnsi="Times New Roman" w:cs="Times New Roman"/>
          <w:sz w:val="24"/>
          <w:szCs w:val="24"/>
        </w:rPr>
        <w:fldChar w:fldCharType="end"/>
      </w:r>
      <w:r>
        <w:rPr>
          <w:rFonts w:ascii="Times New Roman" w:hAnsi="Times New Roman" w:cs="Times New Roman"/>
          <w:sz w:val="24"/>
          <w:szCs w:val="24"/>
        </w:rPr>
        <w:t xml:space="preserve"> and human community stability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{"citationItems":[{"id":"ITEM-1","itemData":{"DOI":"10.1073/pnas.1718850115","ISSN":"10916490","PMID":"29531054","abstract":"The wildland-urban interface (WUI) is the area where houses and wildland vegetation meet or intermingle, and where wildfire problems are most pronounced. Here we report that the WUI in the United States grew rapidly from 1990 to 2010 in terms of both number of new houses (from 30.8 to 43.4 million; 41% growth) and land area (from 581,000 to 770,000 km2; 33% growth), making it the fastest-growing land use type in the conterminous United States. The vast majority of new WUI areas were the result of new housing (97%), not related to an increase in wildland vegetation. Within the perimeter of recent wildfires (1990–2015), there were 286,000 houses in 2010, compared with 177,000 in 1990. Furthermore, WUI growth often results in more wildfire ignitions, putting more lives and houses at risk. Wildfire problems will not abate if recent housing growth trends continue.","author":[{"dropping-particle":"","family":"Radeloff","given":"Volker C.","non-dropping-particle":"","parse-names":false,"suffix":""},{"dropping-particle":"","family":"Helmers","given":"David P.","non-dropping-particle":"","parse-names":false,"suffix":""},{"dropping-particle":"","family":"Anu Kramer","given":"H.","non-dropping-particle":"","parse-names":false,"suffix":""},{"dropping-particle":"","family":"Mockrin","given":"Miranda H.","non-dropping-particle":"","parse-names":false,"suffix":""},{"dropping-particle":"","family":"Alexandre","given":"Patricia M.","non-dropping-particle":"","parse-names":false,"suffix":""},{"dropping-particle":"","family":"Bar-Massada","given":"Avi","non-dropping-particle":"","parse-names":false,"suffix":""},{"dropping-particle":"","family":"Butsic","given":"Van","non-dropping-particle":"","parse-names":false,"suffix":""},{"dropping-particle":"","family":"Hawbaker","given":"Todd J.","non-dropping-particle":"","parse-names":false,"suffix":""},{"dropping-particle":"","family":"Martinuzzi","given":"Sebastián","non-dropping-particle":"","parse-names":false,"suffix":""},{"dropping-particle":"","family":"Syphard","given":"Alexandra D.","non-dropping-particle":"","parse-names":false,"suffix":""},{"dropping-particle":"","family":"Stewart","given":"Susan I.","non-dropping-particle":"","parse-names":false,"suffix":""}],"container-title":"Proceedings of the National Academy of Sciences of the United States of America","id":"ITEM-1","issue":"13","issued":{"date-parts":[["2018","3","27"]]},"page":"3314-3319","publisher":"National Academy of Sciences","title":"Rapid growth of the US wildland-urban interface raises wildfire risk","type":"article-journal","volume":"115"},"uris":["http://www.mendeley.com/documents/?uuid=ffa644c3-703f-3a67-ada8-24ee119122d2"]}],"mendeley":{"formattedCitation":"(Radeloff et al. 2018)","plainTextFormattedCitation":"(Radeloff et al. 2018)","previouslyFormattedCitation":"(Radeloff et al. 2018)"},"properties":{"noteIndex":0},"schema":"https://github.com/citation-style-language/schema/raw/master/csl-citation.json"}</w:instrText>
      </w:r>
      <w:r>
        <w:rPr>
          <w:rFonts w:ascii="Times New Roman" w:hAnsi="Times New Roman" w:cs="Times New Roman"/>
          <w:sz w:val="24"/>
          <w:szCs w:val="24"/>
        </w:rPr>
        <w:fldChar w:fldCharType="separate"/>
      </w:r>
      <w:r w:rsidRPr="00900C42">
        <w:rPr>
          <w:rFonts w:ascii="Times New Roman" w:hAnsi="Times New Roman" w:cs="Times New Roman"/>
          <w:noProof/>
          <w:sz w:val="24"/>
          <w:szCs w:val="24"/>
        </w:rPr>
        <w:t>(Radeloff et al. 2018)</w:t>
      </w:r>
      <w:r>
        <w:rPr>
          <w:rFonts w:ascii="Times New Roman" w:hAnsi="Times New Roman" w:cs="Times New Roman"/>
          <w:sz w:val="24"/>
          <w:szCs w:val="24"/>
        </w:rPr>
        <w:fldChar w:fldCharType="end"/>
      </w:r>
      <w:r>
        <w:rPr>
          <w:rFonts w:ascii="Times New Roman" w:hAnsi="Times New Roman" w:cs="Times New Roman"/>
          <w:sz w:val="24"/>
          <w:szCs w:val="24"/>
        </w:rPr>
        <w:t xml:space="preserve">.  Climate change, expanding human development, and fire suppression are contributing to the increasing trend in severe wildfire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{"citationItems":[{"id":"ITEM-1","itemData":{"DOI":"10.1002/EAP.2432","ISSN":"1939-5582","abstract":"Forest landscapes across western North America (wNA) have experienced extensive changes over the last two centuries, while climatic warming has become a global reality over the last four decades. Resulting interactions between historical increases in forested area and density and recent rapid warming, increasing insect mortality, and wildfire burned areas, are now leading to substantial abrupt landscape alterations. These outcomes are forcing forest planners and managers to identify strategies that can modify future outcomes that are ecologically and/or socially undesirable. Past forest management, including widespread harvest of fire- and climate-tolerant large old trees and old forests, fire exclusion (both Indigenous and lightning ignitions), and highly effective wildfire suppression have contributed to the current state of wNA forests. These practices were successful at meeting short-term demands, but they match poorly to modern realities. Hagmann et al. review a century of observations and multi-scale, multi-proxy, research evidence that details widespread changes in forested landscapes and wildfire regimes since the influx of European colonists. Over the preceding 10 millennia, large areas of wNA were already settled and proactively managed with intentional burning by Indigenous tribes. Prichard et al. then review the research on management practices historically applied by Indigenous tribes and currently applied by some managers to intentionally manage forests for resilient conditions. They address 10 questions surrounding the application and relevance of these management practices. Here, we highlight the main findings of both papers and offer recommendations for management. We discuss progress paralysis that often occurs with strict adherence to the precautionary principle; offer insights for dealing with the common problem of irreducible uncertainty and suggestions for reframing management and policy direction; and identify key knowledge gaps and research needs.","author":[{"dropping-particle":"","family":"Hessburg","given":"Paul F.","non-dropping-particle":"","parse-names":false,"suffix":""},{"dropping-particle":"","family":"Prichard","given":"Susan J.","non-dropping-particle":"","parse-names":false,"suffix":""},{"dropping-particle":"","family":"Hagmann","given":"R. Keala","non-dropping-particle":"","parse-names":false,"suffix":""},{"dropping-particle":"","family":"Povak","given":"Nicholas A.","non-dropping-particle":"","parse-names":false,"suffix":""},{"dropping-particle":"","family":"Lake","given":"Frank K.","non-dropping-particle":"","parse-names":false,"suffix":""}],"container-title":"Ecological Applications","id":"ITEM-1","issued":{"date-parts":[["2021"]]},"page":"e02432","publisher":"John Wiley &amp; Sons, Ltd","title":"Wildfire and climate change adaptation of western North American forests: a case for intentional management","type":"article-journal"},"uris":["http://www.mendeley.com/documents/?uuid=4c69222b-6b25-3c2c-a2cf-9e2769d01434"]}],"mendeley":{"formattedCitation":"(Hessburg et al. 2021)","plainTextFormattedCitation":"(Hessburg et al. 2021)","previouslyFormattedCitation":"(Hessburg et al. 2021)"},"properties":{"noteIndex":0},"schema":"https://github.com/citation-style-language/schema/raw/master/csl-citation.json"}</w:instrText>
      </w:r>
      <w:r>
        <w:rPr>
          <w:rFonts w:ascii="Times New Roman" w:hAnsi="Times New Roman" w:cs="Times New Roman"/>
          <w:sz w:val="24"/>
          <w:szCs w:val="24"/>
        </w:rPr>
        <w:fldChar w:fldCharType="separate"/>
      </w:r>
      <w:r w:rsidRPr="005B79B4">
        <w:rPr>
          <w:rFonts w:ascii="Times New Roman" w:hAnsi="Times New Roman" w:cs="Times New Roman"/>
          <w:noProof/>
          <w:sz w:val="24"/>
          <w:szCs w:val="24"/>
        </w:rPr>
        <w:t>(Hessburg et al. 2021)</w:t>
      </w:r>
      <w:r>
        <w:rPr>
          <w:rFonts w:ascii="Times New Roman" w:hAnsi="Times New Roman" w:cs="Times New Roman"/>
          <w:sz w:val="24"/>
          <w:szCs w:val="24"/>
        </w:rPr>
        <w:fldChar w:fldCharType="end"/>
      </w:r>
      <w:r>
        <w:rPr>
          <w:rFonts w:ascii="Times New Roman" w:hAnsi="Times New Roman" w:cs="Times New Roman"/>
          <w:sz w:val="24"/>
          <w:szCs w:val="24"/>
        </w:rPr>
        <w:t xml:space="preserve">.  Fire suppression and exclusion of Indigenous fire in dry forests has led to uncharacteristic stand conditions, including increased fuel load and continuity, relative to pre-colonization levels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{"citationItems":[{"id":"ITEM-1","itemData":{"DOI":"10.1002/EAP.2431","ISSN":"1939-5582","abstract":"Implementation of wildfire- and climate-adaptation strategies in seasonally dry forests of western North America is impeded by numerous constraints and uncertainties. After more than a century of resource and land use change, some question the need for proactive management, particularly given novel social, ecological, and climatic conditions. To address this question, we first provide a framework for assessing changes in landscape conditions and fire regimes. Using this framework, we then evaluate evidence of change in contemporary conditions relative to those maintained by active fire regimes, i.e., those uninterrupted by a century or more of human-induced fire exclusion. The cumulative results of more than a century of research document a persistent and substantial fire deficit and widespread alterations to ecological structures and functions. These changes are not necessarily apparent at all spatial scales or in all dimensions of fire regimes and forest and nonforest conditions. Nonetheless, loss of the once abundant influence of low- and moderate-severity fires suggests that even the least fire-prone ecosystems may be affected by alteration of the surrounding landscape and, consequently, ecosystem functions. Vegetation spatial patterns in fire-excluded forested landscapes no longer reflect the heterogeneity maintained by interacting fires of active fire regimes. Live and dead vegetation (surface and canopy fuels) is generally more abundant and continuous than before European colonization. As a result, current conditions are more vulnerable to the direct and indirect effects of seasonal and episodic increases in drought and fire, especially under a rapidly warming climate. Long-term fire exclusion and contemporaneous social-ecological influences continue to extensively modify seasonally dry forested landscapes. Management that realigns or adapts fire-excluded conditions to seasonal and episodic increases in drought and fire can moderate ecosystem transitions as forests and human communities adapt to changing climatic and disturbance regimes. As adaptation strategies are developed, evaluated, and implemented, objective scientific evaluation of ongoing research and monitoring can aid differentiation of warranted and unwarranted uncertainties.","author":[{"dropping-particle":"","family":"Hagmann","given":"R. K.","non-dropping-particle":"","parse-names":false,"suffix":""},{"dropping-particle":"","family":"Hessburg","given":"P. F.","non-dropping-particle":"","parse-names":false,"suffix":""},{"dropping-particle":"","family":"Prichard","given":"S. J.","non-dropping-particle":"","parse-names":false,"suffix":""},{"dropping-particle":"","family":"Povak","given":"N. A.","non-dropping-particle":"","parse-names":false,"suffix":""},{"dropping-particle":"","family":"Brown","given":"P. M.","non-dropping-particle":"","parse-names":false,"suffix":""},{"dropping-particle":"","family":"Fulé","given":"P. Z.","non-dropping-particle":"","parse-names":false,"suffix":""},{"dropping-particle":"","family":"Keane","given":"R. E.","non-dropping-particle":"","parse-names":false,"suffix":""},{"dropping-particle":"","family":"Knapp","given":"E. E.","non-dropping-particle":"","parse-names":false,"suffix":""},{"dropping-particle":"","family":"Lydersen","given":"J. M.","non-dropping-particle":"","parse-names":false,"suffix":""},{"dropping-particle":"","family":"Metlen","given":"K. L.","non-dropping-particle":"","parse-names":false,"suffix":""},{"dropping-particle":"","family":"Reilly","given":"M. J.","non-dropping-particle":"","parse-names":false,"suffix":""},{"dropping-particle":"","family":"Meador","given":"A. J. Sánchez","non-dropping-particle":"","parse-names":false,"suffix":""},{"dropping-particle":"","family":"Stephens","given":"S. L.","non-dropping-particle":"","parse-names":false,"suffix":""},{"dropping-particle":"","family":"Stevens","given":"J. T.","non-dropping-particle":"","parse-names":false,"suffix":""},{"dropping-particle":"","family":"Taylor","given":"A. H.","non-dropping-particle":"","parse-names":false,"suffix":""},{"dropping-particle":"","family":"Yocom","given":"L. L.","non-dropping-particle":"","parse-names":false,"suffix":""},{"dropping-particle":"","family":"Battaglia","given":"M. A.","non-dropping-particle":"","parse-names":false,"suffix":""},{"dropping-particle":"","family":"Churchill","given":"D. J.","non-dropping-particle":"","parse-names":false,"suffix":""},{"dropping-particle":"","family":"Daniels","given":"L. D.","non-dropping-particle":"","parse-names":false,"suffix":""},{"dropping-particle":"","family":"Falk","given":"D. A.","non-dropping-particle":"","parse-names":false,"suffix":""},{"dropping-particle":"","family":"Henson","given":"P.","non-dropping-particle":"","parse-names":false,"suffix":""},{"dropping-particle":"","family":"Johnston","given":"J. D.","non-dropping-particle":"","parse-names":false,"suffix":""},{"dropping-particle":"","family":"Krawchuk","given":"M. A.","non-dropping-particle":"","parse-names":false,"suffix":""},{"dropping-particle":"","family":"Levine","given":"C. R.","non-dropping-particle":"","parse-names":false,"suffix":""},{"dropping-particle":"","family":"Meigs","given":"G. W.","non-dropping-particle":"","parse-names":false,"suffix":""},{"dropping-particle":"","family":"Merschel","given":"A. G.","non-dropping-particle":"","parse-names":false,"suffix":""},{"dropping-particle":"","family":"North","given":"M. P.","non-dropping-particle":"","parse-names":false,"suffix":""},{"dropping-particle":"","family":"Safford","given":"H. D.","non-dropping-particle":"","parse-names":false,"suffix":""},{"dropping-particle":"","family":"Swetnam","given":"T. W.","non-dropping-particle":"","parse-names":false,"suffix":""},{"dropping-particle":"","family":"Waltz","given":"A. E. M.","non-dropping-particle":"","parse-names":false,"suffix":""}],"container-title":"Ecological Applications","id":"ITEM-1","issue":"0","issued":{"date-parts":[["2021","10","12"]]},"page":"e02431","publisher":"John Wiley &amp; Sons, Ltd","title":"Evidence for widespread changes in the structure, composition, and fire regimes of western North American forests","type":"article-journal","volume":"0"},"uris":["http://www.mendeley.com/documents/?uuid=68c350e6-afd0-3a0a-8d3c-dbda78a48ce4"]}],"mendeley":{"formattedCitation":"(Hagmann et al. 2021)","plainTextFormattedCitation":"(Hagmann et al. 2021)","previouslyFormattedCitation":"(Hagmann et al. 2021)"},"properties":{"noteIndex":0},"schema":"https://github.com/citation-style-language/schema/raw/master/csl-citation.json"}</w:instrText>
      </w:r>
      <w:r>
        <w:rPr>
          <w:rFonts w:ascii="Times New Roman" w:hAnsi="Times New Roman" w:cs="Times New Roman"/>
          <w:sz w:val="24"/>
          <w:szCs w:val="24"/>
        </w:rPr>
        <w:fldChar w:fldCharType="separate"/>
      </w:r>
      <w:r w:rsidRPr="005700F4">
        <w:rPr>
          <w:rFonts w:ascii="Times New Roman" w:hAnsi="Times New Roman" w:cs="Times New Roman"/>
          <w:noProof/>
          <w:sz w:val="24"/>
          <w:szCs w:val="24"/>
        </w:rPr>
        <w:t>(Hagmann et al. 2021)</w:t>
      </w:r>
      <w:r>
        <w:rPr>
          <w:rFonts w:ascii="Times New Roman" w:hAnsi="Times New Roman" w:cs="Times New Roman"/>
          <w:sz w:val="24"/>
          <w:szCs w:val="24"/>
        </w:rPr>
        <w:fldChar w:fldCharType="end"/>
      </w:r>
      <w:r>
        <w:rPr>
          <w:rFonts w:ascii="Times New Roman" w:hAnsi="Times New Roman" w:cs="Times New Roman"/>
          <w:sz w:val="24"/>
          <w:szCs w:val="24"/>
        </w:rPr>
        <w:t xml:space="preserve">.  Therefore, fuel treatments are considered an integral tool for of dry forest restoration planning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{"citationItems":[{"id":"ITEM-1","itemData":{"DOI":"10.5849/jof.10-006","ISSN":"00221201","author":[{"dropping-particle":"","family":"Franklin","given":"Jerry F.","non-dropping-particle":"","parse-names":false,"suffix":""},{"dropping-particle":"","family":"Johnson","given":"K. Norman","non-dropping-particle":"","parse-names":false,"suffix":""}],"container-title":"Journal of Forestry","id":"ITEM-1","issue":"8","issued":{"date-parts":[["2012","12","18"]]},"note":"On dry forest sites, the strategy calls for silv treatments that retain and release older trees, reduce stand densities, shift compsiiton towards fire and drought tolerant tree species, and incorporate spatial heterogeneity at multiple spatial scales\n\nImmediate goals:\nincreased ecological integrity and resilience, provision of wood products to local communities\n\n~\n\nRecent successes with thinning of plantations in west cascades and fuels reduction in WUI have helped build public trust\n\nEmphases:\n-Programs with singular resource objectives generally marginalize other values\n-restoration should focus on increasing resilience with eye towards future, not past conditions\n-Restoration efforts shoiuld prioritize the most degraded environments\n\nDry Forest and Moist Forest more definitive classifications than eastside vs westside, as determined by plant associations\n-both exist on both sides\n\nThe age at which a forest is deemed 'older' is a social decision\n\nOlder trees are not simply larger versions of younger trees\n\nDiameter limits can have negative consequences\n\nElements of their dry forest restoration strategy are already in place\n-stand level treatments\n-retention of dense forest patches at landscape levels\n-retention and nurturing of older trees\n\nSelection of retention age is important, authors think trees develop old growth characteristics at 150\n\nRetaining some area in untreated or lightly treated condition is a challenging landscape level planning compodent of their strategy\n\nCredible adaptive mannagement will be an important element\n\nMill closures are a challenge\n\nOutside the NWFP area, there's a current diameter limit of 21 inches\n-increasingly exemptions are given for big young firs\n\nGoals for Dry forest\n\n- thining 20-30% of landscape in next 20 years, reflects logistic constraints and a singular focus on fire, which can be reduced at 1% thin/year as per Finney et al 2007\n\n-network of dense patches\n\n-will require investment from timber sale revenue or appropriated funds\n\n-Maintenence after initial mechanical treatments could be done with rx fire\n\n\nAgency personnel have proven very capable of developing and implementing ecological forestry harvests\n\nThey advocate a comprehensive 20 year plan","page":"429-439","title":"A Restoration Framework for Federal Forests in the Pacific Northwest","type":"article-journal","volume":"110"},"uris":["http://www.mendeley.com/documents/?uuid=0c936071-b058-38fe-a667-1937e4e66ed0"]}],"mendeley":{"formattedCitation":"(Franklin and Johnson 2012)","plainTextFormattedCitation":"(Franklin and Johnson 2012)","previouslyFormattedCitation":"(Franklin and Johnson 2012)"},"properties":{"noteIndex":0},"schema":"https://github.com/citation-style-language/schema/raw/master/csl-citation.json"}</w:instrText>
      </w:r>
      <w:r>
        <w:rPr>
          <w:rFonts w:ascii="Times New Roman" w:hAnsi="Times New Roman" w:cs="Times New Roman"/>
          <w:sz w:val="24"/>
          <w:szCs w:val="24"/>
        </w:rPr>
        <w:fldChar w:fldCharType="separate"/>
      </w:r>
      <w:r w:rsidRPr="005700F4">
        <w:rPr>
          <w:rFonts w:ascii="Times New Roman" w:hAnsi="Times New Roman" w:cs="Times New Roman"/>
          <w:noProof/>
          <w:sz w:val="24"/>
          <w:szCs w:val="24"/>
        </w:rPr>
        <w:t>(Franklin and Johnson 2012)</w:t>
      </w:r>
      <w:r>
        <w:rPr>
          <w:rFonts w:ascii="Times New Roman" w:hAnsi="Times New Roman" w:cs="Times New Roman"/>
          <w:sz w:val="24"/>
          <w:szCs w:val="24"/>
        </w:rPr>
        <w:fldChar w:fldCharType="end"/>
      </w:r>
      <w:r>
        <w:rPr>
          <w:rFonts w:ascii="Times New Roman" w:hAnsi="Times New Roman" w:cs="Times New Roman"/>
          <w:sz w:val="24"/>
          <w:szCs w:val="24"/>
        </w:rPr>
        <w:t xml:space="preserve">.  Fuel treatments can also be effective at reducing wildfire severity in a wide range of weather conditions, particularly treatments that include prescribed burning, when wildfire occurs less than ten years following treatment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{"citationItems":[{"id":"ITEM-1","itemData":{"DOI":"10.1002/EAP.2433","ISSN":"1939-5582","abstract":"We review science-based adaptation strategies for western North American (wNA) forests that include restoring active fire regimes and fostering resilient structure and composition of forested landscapes. As part of the review, we address common questions associated with climate adaptation and realignment treatments that run counter to a broad consensus in the literature. These include the following: (1) Are the effects of fire exclusion overstated? If so, are treatments unwarranted and even counterproductive? (2) Is forest thinning alone sufficient to mitigate wildfire hazard? (3) Can forest thinning and prescribed burning solve the problem? (4) Should active forest management, including forest thinning, be concentrated in the wildland urban interface (WUI)? (5) Can wildfires on their own do the work of fuel treatments? (6) Is the primary objective of fuel reduction treatments to assist in future firefighting response and containment? (7) Do fuel treatments work under extreme fire weather? (8) Is the scale of the problem too great? Can we ever catch up? (9) Will planting more trees mitigate climate change in wNA forests? And (10) is post-fire management needed or even ecologically justified? Based on our review of the scientific evidence, a range of proactive management actions are justified and necessary to keep pace with changing climatic and wildfire regimes and declining forest heterogeneity after severe wildfires. Science-based adaptation options include the use of managed wildfire, prescribed burning, and coupled mechanical thinning and prescribed burning as is consistent with land management allocations and forest conditions. Although some current models of fire management in wNA are averse to short-term risks and uncertainties, the long-term environmental, social, and cultural consequences of wildfire management primarily grounded in fire suppression are well documented, highlighting an urgency to invest in intentional forest management and restoration of active fire regimes.","author":[{"dropping-particle":"","family":"Prichard","given":"Susan J.","non-dropping-particle":"","parse-names":false,"suffix":""},{"dropping-particle":"","family":"Hessburg","given":"Paul F.","non-dropping-particle":"","parse-names":false,"suffix":""},{"dropping-particle":"","family":"Hagmann","given":"R. Keala","non-dropping-particle":"","parse-names":false,"suffix":""},{"dropping-particle":"","family":"Povak","given":"Nicholas A.","non-dropping-particle":"","parse-names":false,"suffix":""},{"dropping-particle":"","family":"Dobrowski","given":"Solomon Z.","non-dropping-particle":"","parse-names":false,"suffix":""},{"dropping-particle":"","family":"Hurteau","given":"Matthew D.","non-dropping-particle":"","parse-names":false,"suffix":""},{"dropping-particle":"","family":"Kane","given":"Van R.","non-dropping-particle":"","parse-names":false,"suffix":""},{"dropping-particle":"","family":"Keane","given":"Robert E.","non-dropping-particle":"","parse-names":false,"suffix":""},{"dropping-particle":"","family":"Kobziar","given":"Leda N.","non-dropping-particle":"","parse-names":false,"suffix":""},{"dropping-particle":"","family":"Kolden","given":"Crystal A.","non-dropping-particle":"","parse-names":false,"suffix":""},{"dropping-particle":"","family":"North","given":"Malcolm","non-dropping-particle":"","parse-names":false,"suffix":""},{"dropping-particle":"","family":"Parks","given":"Sean A.","non-dropping-particle":"","parse-names":false,"suffix":""},{"dropping-particle":"","family":"Safford","given":"Hugh D.","non-dropping-particle":"","parse-names":false,"suffix":""},{"dropping-particle":"","family":"Stevens","given":"Jens T.","non-dropping-particle":"","parse-names":false,"suffix":""},{"dropping-particle":"","family":"Yocom","given":"Larissa L.","non-dropping-particle":"","parse-names":false,"suffix":""},{"dropping-particle":"","family":"Churchill","given":"Derek J.","non-dropping-particle":"","parse-names":false,"suffix":""},{"dropping-particle":"","family":"Gray","given":"Robert W.","non-dropping-particle":"","parse-names":false,"suffix":""},{"dropping-particle":"","family":"Huffman","given":"David W.","non-dropping-particle":"","parse-names":false,"suffix":""},{"dropping-particle":"","family":"Lake","given":"Frank K.","non-dropping-particle":"","parse-names":false,"suffix":""},{"dropping-particle":"","family":"Khatri-Chhetri","given":"Pratima","non-dropping-particle":"","parse-names":false,"suffix":""}],"container-title":"Ecological Applications","id":"ITEM-1","issue":"0","issued":{"date-parts":[["2021","10","13"]]},"page":"e02433","publisher":"John Wiley &amp; Sons, Ltd","title":"Adapting western North American forests to climate change and wildfires: 10 common questions","type":"article-journal","volume":"0"},"uris":["http://www.mendeley.com/documents/?uuid=b50cd93f-65e6-31fc-b831-71a863ed0553"]}],"mendeley":{"formattedCitation":"(Prichard et al. 2021)","plainTextFormattedCitation":"(Prichard et al. 2021)","previouslyFormattedCitation":"(Prichard et al. 2021)"},"properties":{"noteIndex":0},"schema":"https://github.com/citation-style-language/schema/raw/master/csl-citation.json"}</w:instrText>
      </w:r>
      <w:r>
        <w:rPr>
          <w:rFonts w:ascii="Times New Roman" w:hAnsi="Times New Roman" w:cs="Times New Roman"/>
          <w:sz w:val="24"/>
          <w:szCs w:val="24"/>
        </w:rPr>
        <w:fldChar w:fldCharType="separate"/>
      </w:r>
      <w:r w:rsidRPr="0018791F">
        <w:rPr>
          <w:rFonts w:ascii="Times New Roman" w:hAnsi="Times New Roman" w:cs="Times New Roman"/>
          <w:noProof/>
          <w:sz w:val="24"/>
          <w:szCs w:val="24"/>
        </w:rPr>
        <w:t>(Prichard et al. 2021)</w:t>
      </w:r>
      <w:r>
        <w:rPr>
          <w:rFonts w:ascii="Times New Roman" w:hAnsi="Times New Roman" w:cs="Times New Roman"/>
          <w:sz w:val="24"/>
          <w:szCs w:val="24"/>
        </w:rPr>
        <w:fldChar w:fldCharType="end"/>
      </w:r>
      <w:r>
        <w:rPr>
          <w:rFonts w:ascii="Times New Roman" w:hAnsi="Times New Roman" w:cs="Times New Roman"/>
          <w:sz w:val="24"/>
          <w:szCs w:val="24"/>
        </w:rPr>
        <w:t>.</w:t>
      </w:r>
    </w:p>
    <w:p w14:paraId="17EF7D73" w14:textId="5E5144A5" w:rsidR="00193086" w:rsidRDefault="00193086" w:rsidP="00193086">
      <w:pPr>
        <w:spacing w:after="0"/>
        <w:ind w:firstLine="720"/>
        <w:rPr>
          <w:rFonts w:ascii="Times New Roman" w:hAnsi="Times New Roman" w:cs="Times New Roman"/>
          <w:sz w:val="24"/>
          <w:szCs w:val="24"/>
        </w:rPr>
      </w:pPr>
      <w:r>
        <w:rPr>
          <w:rFonts w:ascii="Times New Roman" w:hAnsi="Times New Roman" w:cs="Times New Roman"/>
          <w:sz w:val="24"/>
          <w:szCs w:val="24"/>
        </w:rPr>
        <w:t>Although the short-term effects of fuel treatments on fuel loads are well studied, t</w:t>
      </w:r>
      <w:r w:rsidRPr="007A127E">
        <w:rPr>
          <w:rFonts w:ascii="Times New Roman" w:hAnsi="Times New Roman" w:cs="Times New Roman"/>
          <w:sz w:val="24"/>
          <w:szCs w:val="24"/>
        </w:rPr>
        <w:t>he longer-term (&gt; 5 years)</w:t>
      </w:r>
      <w:r>
        <w:rPr>
          <w:rFonts w:ascii="Times New Roman" w:hAnsi="Times New Roman" w:cs="Times New Roman"/>
          <w:sz w:val="24"/>
          <w:szCs w:val="24"/>
        </w:rPr>
        <w:t xml:space="preserve"> </w:t>
      </w:r>
      <w:r w:rsidRPr="007A127E">
        <w:rPr>
          <w:rFonts w:ascii="Times New Roman" w:hAnsi="Times New Roman" w:cs="Times New Roman"/>
          <w:sz w:val="24"/>
          <w:szCs w:val="24"/>
        </w:rPr>
        <w:t>dynamics of fuel</w:t>
      </w:r>
      <w:r>
        <w:rPr>
          <w:rFonts w:ascii="Times New Roman" w:hAnsi="Times New Roman" w:cs="Times New Roman"/>
          <w:sz w:val="24"/>
          <w:szCs w:val="24"/>
        </w:rPr>
        <w:t xml:space="preserve"> </w:t>
      </w:r>
      <w:r w:rsidRPr="007A127E">
        <w:rPr>
          <w:rFonts w:ascii="Times New Roman" w:hAnsi="Times New Roman" w:cs="Times New Roman"/>
          <w:sz w:val="24"/>
          <w:szCs w:val="24"/>
        </w:rPr>
        <w:t xml:space="preserve">treatments are </w:t>
      </w:r>
      <w:r>
        <w:rPr>
          <w:rFonts w:ascii="Times New Roman" w:hAnsi="Times New Roman" w:cs="Times New Roman"/>
          <w:sz w:val="24"/>
          <w:szCs w:val="24"/>
        </w:rPr>
        <w:t>not well understood</w:t>
      </w:r>
      <w:r w:rsidRPr="007A127E">
        <w:rPr>
          <w:rFonts w:ascii="Times New Roman" w:hAnsi="Times New Roman" w:cs="Times New Roman"/>
          <w:sz w:val="24"/>
          <w:szCs w:val="24"/>
        </w:rPr>
        <w:t xml:space="preserve">.  </w:t>
      </w:r>
      <w:r>
        <w:rPr>
          <w:rFonts w:ascii="Times New Roman" w:hAnsi="Times New Roman" w:cs="Times New Roman"/>
          <w:sz w:val="24"/>
          <w:szCs w:val="24"/>
        </w:rPr>
        <w:t xml:space="preserve">Most studies that have empirically addressed long-term fuel and stand structure dynamics on the stand scale have found that most variables are statistically indistinguishable from controls and/or pretreatment values, with high variability within and among treatment units </w:t>
      </w:r>
      <w:r>
        <w:rPr>
          <w:rFonts w:ascii="Times New Roman" w:hAnsi="Times New Roman" w:cs="Times New Roman"/>
          <w:sz w:val="24"/>
          <w:szCs w:val="24"/>
        </w:rPr>
        <w:fldChar w:fldCharType="begin" w:fldLock="1"/>
      </w:r>
      <w:r w:rsidR="004C7F48">
        <w:rPr>
          <w:rFonts w:ascii="Times New Roman" w:hAnsi="Times New Roman" w:cs="Times New Roman"/>
          <w:sz w:val="24"/>
          <w:szCs w:val="24"/>
        </w:rPr>
        <w:instrText>ADDIN CSL_CITATION {"citationItems":[{"id":"ITEM-1","itemData":{"DOI":"10.3390/F12101306","abstract":"Fire exclusion and a lengthening fire season has resulted in an era of megafires. Fuel reduction treatments in forested ecosystems are designed to guard against future extreme wildfire behavior. Treatments create a heterogenous landscape and facilitate ecosystem function and resilience in fire-adapted forests of the western United States. Despite widespread recognition that repeated fuel treatments are needed to maintain desired stand characteristics over time, few field studies have evaluated treatment longevity. The Blue Mountains Fire and Fire Surrogate site in northeastern Oregon presented an opportunity to investigate woody fuel loading 15–17 years after four treatments: mechanical thin, prescribed burn, both thin and burn, and no treatment control. The principal findings were: (1) fine fuel load 15 years post-burn remained slightly below pre-treatment values; (2) rotten coarse fuel load was reduced post-burn, but sound coarse fuel was not altered by any active treatment; and (3) total woody fuel load 15–17 years post-treatment was similar to pre-treatment values. Understanding surface fuel loading is essential for predicting fire behavior. Overall, the effects of fuel reduction treatments on woody surface fuels were transitory in dry mixed conifer forests. Frequent maintenance treatments are recommended to protect values at risk in areas with high fire hazards. Quantifying the persistence of changes in forest conditions aids in the planning and analysis of future fuel treatments, along with scheduling maintenance of existing treated areas.","author":[{"dropping-particle":"","family":"Morici","given":"Kat E.","non-dropping-particle":"","parse-names":false,"suffix":""},{"dropping-particle":"","family":"Bailey","given":"John D.","non-dropping-particle":"","parse-names":false,"suffix":""}],"container-title":"Forests 2021, Vol. 12, Page 1306","id":"ITEM-1","issue":"10","issued":{"date-parts":[["2021","9","25"]]},"page":"1306","publisher":"Multidisciplinary Digital Publishing Institute","title":"Long-Term Effects of Fuel Reduction Treatments on Surface Fuel Loading in the Blue Mountains of Oregon","type":"article-journal","volume":"12"},"uris":["http://www.mendeley.com/documents/?uuid=9c1f5d0b-324a-3ea2-97f3-09421a6081df"]},{"id":"ITEM-2","itemData":{"DOI":"10.3389/ffgc.2020.00078","ISSN":"2624893X","abstract":"Fuels reduction treatments to mitigate fire behavior are common in ponderosa pine ecosystems of the western United States. While initial impacts of fuel treatments have been reported, less is known about treatment longevity as live and dead fuels change with time. We analyzed fuel dynamics in ponderosa pine–Douglas-fir forests 21–23 years following experimental fuel reduction designed as two independent studies of cutting combined with burning: one tested a commercial thinning strategy, while a second tested a retention shelterwood strategy to reduce fuels while also restoring ponderosa pine forests. Treated units were harvested in 1992 and half of the units were prescribed burned 1 to 2 years later. After 22 to 23 years post-treatment, few differences in fuel load persist and all treatments have increased ladder fuels in the form of live saplings and seedlings. Canopy fuel loads were lower in treated units compared to untreated control units; however, no other canopy fuel metric differed between treatments. The only persistent difference in surface fuels was in the retention shelterwood, where 1 h fuels were lower in the treated units compared to control units. Crown fire hazard varied greatly, but means were similar between treatments. The increased hazard was driven by increases in live surface fuels from seedlings and saplings in the retention shelterwood, which increased canopy bulk density and reduced canopy base height. The overstory was still dominated by ponderosa pine 22–23 years later for all treatments, but the smaller size classes were primarily Douglas-fir, suggesting that without future disturbance, dominance will shift from pine to Douglas-fir dominated forests. The exception to this was the cut+fall burn treatment in the commercial thinning, where ponderosa pine outnumbered Douglas-fir trees across all size classes. The treatments that included a broadcast prescribed burn killed many existing seedlings and saplings. Our findings support other studies showing fuel reduction and restoration treatments are most successful with a combination of cutting and burning strategies, but also show that fuel treatments in low-elevation dry forests will likely not remain effective for much longer than historical mean fire return intervals.","author":[{"dropping-particle":"","family":"Hood","given":"Sharon M.","non-dropping-particle":"","parse-names":false,"suffix":""},{"dropping-particle":"","family":"Keyes","given":"Christopher R.","non-dropping-particle":"","parse-names":false,"suffix":""},{"dropping-particle":"","family":"Bowen","given":"Katelynn J.","non-dropping-particle":"","parse-names":false,"suffix":""},{"dropping-particle":"","family":"Lutes","given":"Duncan C.","non-dropping-particle":"","parse-names":false,"suffix":""},{"dropping-particle":"","family":"Seielstad","given":"Carl","non-dropping-particle":"","parse-names":false,"suffix":""}],"container-title":"Frontiers in Forests and Global Change","id":"ITEM-2","issued":{"date-parts":[["2020","7","2"]]},"page":"78","publisher":"Frontiers Media SA","title":"Fuel Treatment Longevity in Ponderosa Pine-Dominated Forest 24 Years After Cutting and Prescribed Burning","type":"article-journal","volume":"3"},"uris":["http://www.mendeley.com/documents/?uuid=ec57e04d-6642-384d-9db2-3a58945675c1"]},{"id":"ITEM-3","itemData":{"DOI":"10.1016/j.foreco.2012.08.030","ISSN":"03781127","abstract":"Understanding the longevity of fuel treatments in terms of their ability to maintain fire behavior and effects within a desired range is an important question. The objective of this study was to determine how fuels, forest structure, and predicted fire behavior changed 7-years after initial treatments. Three different treatments: mechanical only, mechanical plus fire, and prescribed fire only, as well as untreated control, were each randomly applied to 3 of 12 experimental units. Many aspects of the initial fuel treatments changed in 7 years. The overall hazard of the control units increased significantly indicating continued passive management has further increased already high fire hazards. Mechanical only fire hazard decreased after 7 years and are now similar to the two fire treatments, which both maintained low hazards throughout the study. Tree density declined significantly 7 years after the initial fire only treatments, while basal area in both fire treatments was unchanged relative to immediate post-treatment conditions. Our findings indicating reduced fire hazard over time in mechanical only treatments might provide an opportunity for a staggered treatment schedule that included prescribed fire which could increase overall treatment longevity to approximately 20. years. Changes in our mixed conifer forests after fuel treatment were generally larger than those reported from ponderosa pine forests in the Rocky Mountains. © 2012 Elsevier B.V..","author":[{"dropping-particle":"","family":"Stephens","given":"Scott L.","non-dropping-particle":"","parse-names":false,"suffix":""},{"dropping-particle":"","family":"Collins","given":"Brandon M.","non-dropping-particle":"","parse-names":false,"suffix":""},{"dropping-particle":"","family":"Roller","given":"Gary","non-dropping-particle":"","parse-names":false,"suffix":""}],"container-title":"Forest Ecology and Management","id":"ITEM-3","issued":{"date-parts":[["2012","12","1"]]},"page":"204-212","publisher":"Elsevier","title":"Fuel treatment longevity in a Sierra Nevada mixed conifer forest","type":"article-journal","volume":"285"},"uris":["http://www.mendeley.com/documents/?uuid=bf1ee0d7-20c5-3e99-81ab-c9581d916d62"]},{"id":"ITEM-4","itemData":{"DOI":"10.3390/f3030700","ISSN":"1999-4907","abstract":"In dry western Unites States forests where past resource management has altered the ecological role of fire and stand characteristics alike, mechanical thinning and prescribed burning are commonly applied in wildfire hazard abatement. The reduced surface fuel loads and stand structures resulting from fuels modifications are temporary, yet few studies have assessed the lifespan of treatment effects. We sampled forest fuels and vegetation following fuels reduction in a chronosequence of time since treatment in the northern Sierra Nevada and southern Cascade regions of California. Treatments altered overstory characteristics including stand density, basal area, and species composition. These effects were still present on the oldest treatment sites (8-15 years post-treatment). Other stand characteristics, particularly timelag fuel loads, seedling density, and shrub cover, exhibited substantial variability, and differences between treatment age classes and between treatment and control groups were not statistically significant. © 2012 by the authors.","author":[{"dropping-particle":"","family":"Chiono","given":"Lindsay A.","non-dropping-particle":"","parse-names":false,"suffix":""},{"dropping-particle":"","family":"O’Hara","given":"Kevin L.","non-dropping-particle":"","parse-names":false,"suffix":""},{"dropping-particle":"","family":"Lasaux","given":"Michael J.","non-dropping-particle":"De","parse-names":false,"suffix":""},{"dropping-particle":"","family":"Nader","given":"Glenn A.","non-dropping-particle":"","parse-names":false,"suffix":""},{"dropping-particle":"","family":"Stephens","given":"Scott L.","non-dropping-particle":"","parse-names":false,"suffix":""}],"container-title":"Forests","id":"ITEM-4","issue":"3","issued":{"date-parts":[["2012","8","20"]]},"note":"Chronoseq to 15 yeqrs\n\nstand den, ba, species comp were altered to end\n\nother vars not diff between timecalsses and treatment and control\n\n~\n\nPrecip 38-280 cm\n1100 to 2150m\nTruckee/Quincy\n\n40 usfs 9 timber company 2 firesafe council\n\nLumped some sites with diff methods","page":"700-722","publisher":"Molecular Diversity Preservation International","title":"Development of Vegetation and Surface Fuels Following Fire Hazard Reduction Treatment","type":"article-journal","volume":"3"},"uris":["http://www.mendeley.com/documents/?uuid=1299dfcc-2dd9-310c-8bd3-b4068b817164"]},{"id":"ITEM-5","itemData":{"DOI":"10.1186/s42408-018-0016-6","ISSN":"1933-9747","abstract":"Fuel reduction treatments have been widely implemented across the western US in recent decades for both fire protection and restoration. Although research has demonstrated that combined thinning and burning effectively reduces crown fire potential in the few years immediately following treatment, little research has identified effectiveness of thinning and burning treatments beyond a decade. Furthermore, it is unclear how post-treatment disturbances such as a bark beetle outbreak affect fuel treatment effectiveness. We evaluated differences in surface and canopy fuel characteristics and potential fire behavior metrics between fuel reduction treatments (no-action or control, burn-only, thin-only, thin+burn) implemented in ponderosa pine (Pinus ponderosa Lawson &amp; C. Lawson)−Douglas-fir (Pseudotsuga menziesii [Mirb.] Franco)-dominated forests that were subsequently affected by a mountain pine beetle (Dendroctonus ponderosae Hopkins) outbreak after treatment. Experimental units were measured in 2002 (immediately following fuel treatment) and in 2016 (14 years after treatment and at least 4 years following a beetle outbreak). We found that beetle-altered thinning treatments (thin-only and thin+burn combined) had less fuel (i.e., 34% and 83% lower fine and coarse woody debris loading, respectively) and lower crown fire potential (i.e., 47% lower probability of torching and 42% greater crowning index) than corresponding unthinned treatments (control and burn-only). There was no post-beetle-outbreak effect of burning treatments (burn-only and thin+burn combined) on surface fuel loading, but burning reduced crown fire potential (i.e., 37% greater crowning index) over unburned units (control and thin-only) 14 years after treatment. Additionally, we determined the relative impacts of fuel treatments and the bark beetle outbreak on fuel and crown fire potential differences and found that bark beetle-caused tree mortality inflated differences between controls and thinned treatments (thin-only and thin+burn) for surface fuel loading and probability of torching, but diminished differences between these treatments for canopy fuel loading, canopy bulk density, and crowning index. Despite the differential effects of bark beetle-caused tree mortality in the treatments, our study suggests that the effects of fuel treatments on mitigating crown fire potential persist even after a stand-transforming insect outbreak, especially when thinning and burning are combined.","author":[{"dropping-particle":"","family":"Crotteau","given":"Justin S.","non-dropping-particle":"","parse-names":false,"suffix":""},{"dropping-particle":"","family":"Keyes","given":"Christopher R.","non-dropping-particle":"","parse-names":false,"suffix":""},{"dropping-particle":"","family":"Hood","given":"Sharon M.","non-dropping-particle":"","parse-names":false,"suffix":""},{"dropping-particle":"","family":"Affleck","given":"David L. R.","non-dropping-particle":"","parse-names":false,"suffix":""},{"dropping-particle":"","family":"Sala","given":"Anna","non-dropping-particle":"","parse-names":false,"suffix":""}],"container-title":"Fire Ecology","id":"ITEM-5","issue":"2","issued":{"date-parts":[["2018","12"]]},"note":"14 years post treatment 4 years post beetle\n2002, 2016\n\nWe found that beetle altered thin units (t &amp;amp; tb) has less fuel and lower crown fire potential than corresponding unthinned treatments (b &amp;amp; c)\n34% less FWD, 83% less CWD\n47% lower probability of torching\n42% greater crown torching index\n\nBark beetle caused tree mortality inflated difference between control and thin units for surface fuel loading and probability of torching, but diminished differences for canopy fuel loading, canopy bulk density, and crowning index\n\n120 plots done\n10 plots randomly selected from 36\nAll plots done for surface fuels?\n\nPondo ba similar for all treatments post beetle\n\nTB most effective for longevity\n\n~\n\n'studies have identified that fuel treatments may be effective for a decade following treatment'\nfinney et al 2005\nfernandes 2009\njain et al 2012\nstephens et al 2012\n\nTreatment fully implemented 2002 at least four years before a widespread mpb outbreak\n\nFire and fuels extension to FVS\n\nUnits cut in 2001 burned 2002, creating 12 9 ha units\n\nlow sev burns with pockets of high sev in two thin+burn units\n\nthin only and thin burn unit surface fuels were destructively sampled instread of doing transects in initial measurement\nWHY????\n\nIn 2016 they did surface fuel transects on all 36 grid points in all units...\n\nthinning had 67% lower stand density in 2002, but similar values to other treatments post mpb outbreak\n\nThinning had a sig effect on CWD &amp;amp; FWD\n\nControl by far had the greatest propensity for crown fire\n\nProbability of torching in 2016 was only dependent on thinning\n\nOutbreak did not affect differences in loading between control and burn only units\n\nthin burn the lowest risk of crown fire after outbreak\n\nSix and Skov 2009 on these sites identified that in 2008 three bark beetle species increased in burning treatments, but not MPB\n\nNumber of overstory trees killed had a strong negetive association with thinning and slight positive with burning\n\n'natural thinning' by mpb has a smaller mag of crown fire reduction than active management\n\nNo fuel or crown fire potential differences between burn only and control\n\nRadical increase in surface fuel in unthinned units probably would not have happened without the outbreak","publisher":"Springer Nature","title":"Fuel dynamics after a bark beetle outbreak impacts experimental fuel treatments","type":"article-journal","volume":"14"},"uris":["http://www.mendeley.com/documents/?uuid=5ff5c1c8-6c76-3ac6-bec3-be5a4f2d66db"]},{"id":"ITEM-6","itemData":{"DOI":"10.1016/j.foreco.2008.07.026","ISSN":"03781127","abstract":"We determine the time frame after initial fuel treatment when prescribed fire will be likely to produce high enough mortality rates in ponderosa pine (Pinus ponderosa var. scopulorum Dougl. ex Laws.) regeneration to be successful in maintaining treatment effectiveness in the Black Hills of South Dakota. We measured pine regeneration in disturbed stands and young pine growth rates to estimate the susceptibility of pine regeneration to prescribed fire with time since initial treatment. We also determined surface fuel accumulation rates for stands after prescribed fire to help estimate likely fire behavior in maintenance prescribed fire. Given our estimates of regeneration density and tree size, and likely fire behavior, we then used small pine tree mortality-fire effect relations to estimate the effects of prescribed fire on developing understory pine at specific times since initial treatments. Fuel treatments in ponderosa pine forests will lose their effectiveness within 10-20 years if regeneration densities are not controlled. The ability to successfully use prescribed fire to maintain low regeneration densities is dependent on seedling/sapling size and the frequency of burns. Current prescribed fire prescriptions and fuel loads are adequate to maintain low densities of ponderosa pine seedlings (&lt;1 m tall) if burns occur every 10 years. If burn intervals exceed 15 years, regeneration can attain sizes that reduce susceptibility to prescribed fire under typical operational weather conditions. After 20-25 years, ponderosa pine can reach sizes that will require flame lengths that exceed 2 m to obtain significant mortality. Achieving these flame lengths will require burning under drier weather conditions to allow coarse woody debris (CWD) consumption to contribute to the fire intensity. Alternatively, managers can augment sites with activity fuels to increase fine fuel loadings to achieve flame lengths that will increase sapling susceptibility to fire, while burning when CWD fuel moistures are high to limit the potential for extreme fire behavior. While the flames might kill sapling-sized trees, mature overstory trees could still maintain resiliency to fire.","author":[{"dropping-particle":"","family":"Battaglia","given":"Mike A.","non-dropping-particle":"","parse-names":false,"suffix":""},{"dropping-particle":"","family":"Smith","given":"Frederick W.","non-dropping-particle":"","parse-names":false,"suffix":""},{"dropping-particle":"","family":"Shepperd","given":"Wayne D.","non-dropping-particle":"","parse-names":false,"suffix":""}],"container-title":"Forest Ecology and Management","id":"ITEM-6","issue":"12","issued":{"date-parts":[["2008","12","10"]]},"page":"2029-2038","publisher":"Elsevier","title":"Can prescribed fire be used to maintain fuel treatment effectiveness over time in Black Hills ponderosa pine forests?","type":"article-journal","volume":"256"},"uris":["http://www.mendeley.com/documents/?uuid=4115b047-5cef-379e-a175-cd41d49e0436"]},{"id":"ITEM-7","itemData":{"DOI":"10.1016/j.foreco.2016.07.028","ISSN":"03781127","abstract":"Prescribed fire is a widely used forest management tool, yet the long-term effectiveness of prescribed fire in reducing fuels and fire hazards in many vegetation types is not well documented. We assessed the magnitude and duration of reductions in surface fuels and modeled fire hazards in coniferous forests across nine U.S. national parks in California and the Colorado Plateau. We used observations from a prescribed fire effects monitoring program that feature standard forest and surface fuels inventories conducted pre-fire, immediately following an initial (first-entry) prescribed fire and at varying intervals up to &gt;20 years post-fire. A subset of these plots was subjected to prescribed fire again (second-entry) with continued monitoring. Prescribed fire effects were highly variable among plots, but we found on average first-entry fires resulted in a significant post-fire reduction in surface fuels, with litter and duff fuels not returning to pre-fire levels over the length of our observations. Fine and coarse woody fuels often took a decade or longer to return to pre-fire levels. For second-entry fires we found continued fuels reductions, without strong evidence of fuel loads returning to levels observed immediately prior to second-entry fire. Following both first- and second-entry fire there were increases in estimated canopy base heights, along with reductions in estimated canopy bulk density and modeled flame lengths. We did not find evidence of return to pre-fire conditions during our observation intervals for these measures of fire hazard. Our results show that prescribed fire can be a valuable tool to reduce fire hazards and, depending on forest conditions and the measurement used, reductions in fire hazard can last for decades. Second-entry prescribed fire appeared to reinforce the reduction in fuels and fire hazard from first-entry fires.","author":[{"dropping-particle":"","family":"Mantgem","given":"Phillip J.","non-dropping-particle":"van","parse-names":false,"suffix":""},{"dropping-particle":"","family":"Lalemand","given":"Laura B.","non-dropping-particle":"","parse-names":false,"suffix":""},{"dropping-particle":"","family":"Keifer","given":"Mary Beth","non-dropping-particle":"","parse-names":false,"suffix":""},{"dropping-particle":"","family":"Kane","given":"Jeffrey M.","non-dropping-particle":"","parse-names":false,"suffix":""}],"container-title":"Forest Ecology and Management","id":"ITEM-7","issued":{"date-parts":[["2016","11","1"]]},"note":"Duff and litter loads in particular did not return to pre-fire levels\nCWD and FWD did\nCrown fire hazard did not\n\nSecond entry fires had a reletively muted impact\n\nNational parks standardized protocol\nCalifornia and Colorado Plateau\nFFE-FVS - follows Rothermel\n\nDelayed density mort continues but not much ba\n\nFWD and FWD often took a decade or longer to return to pre-fire levels\n\nSecond entry fires continued reduction without strong evidence of fuel loading returning to pre-second-burn levels\n\n~\n\ninteragency FFI(FEAT/FIREMON Integrated)\n\ntypical post-fire monitoring intervals were immeiate, 1, 2, and 5 years, and subsequent 5 or 10\n\nOnly considered plots with pre and at least 3 post fire measurements, to at least 7 years post fire in first entry, 4 years second entry\nfirst entry 117 plots\nsecond entry 36 plots\n\nThree forest types\nCalifornia mixed con\nCalifornia pondo\ncolorado plateau pondo\n\n80,90,97.5 percentile not appreciably different results\n\nstats: paired permutation tests\nrandom effects not used because didn't improve models\n\nStand density reduced immediately following first entry fires in all forest types, and stayed reduced to 7 years or more\n\ncolorado plateau stand development seems to have re-developed faster, along with fuels\n\nlack of sig for second entry fires, probably because of low sample size\n\nhigher fuels to begin with means greater reductions","page":"265-272","publisher":"Elsevier B.V.","title":"Duration of fuels reduction following prescribed fire in coniferous forests of U.S. national parks in California and the Colorado Plateau","type":"article-journal","volume":"379"},"uris":["http://www.mendeley.com/documents/?uuid=947938aa-2898-31d9-a356-7304eef0ba26"]},{"id":"ITEM-8","itemData":{"DOI":"10.3390/F11080888","ISSN":"19994907","abstract":"The long-term effectiveness of dry-forest fuels treatments (restoration thinning and prescribed burning) depends, in part, on the pace at which trees regenerate and recruit into the overstory. Knowledge of the factors that shape post-treatment regeneration and growth is limited by the short timeframes and simple disturbance histories of past research. Here, we present results of a 15-year fuels-reduction experiment in central Washington, including responses to planned and unplanned disturbances. We explore the changing patterns of Douglas-fir regeneration in 72 permanent plots (0.1 ha) varying in overstory abundance (a function of density and basal area) and disturbance history-the latter including thinning, prescribed burning, and/or wildfire. Plots were measured before treatment (2000/2001), soon afterwards (2004/2005), and more than a decade later (2015). Thinning combined with burning enhanced sapling recruitment (ingrowth) into the overstory, although rates of ingrowth were consistently low and greatly exceeded by mortality. Relationships between seedling frequency (proportion of quadrats within a plot) and overstory abundance shifted from weakly negative before treatment to positive after thinning, to neutral in the longer term. However, these relationships were overshadowed by more recent, higher-severity prescribed fire and wildfire that stimulated seedling establishment while killing advanced regeneration and overstory trees. Our results highlight the dependence of regeneration responses on the history of, and time since, fuels treatment and subsequent disturbance. Managers must be aware of this spatial and temporal complexity and plan for future disturbances that are inevitable but unpredictable in timing and severity.","author":[{"dropping-particle":"","family":"Rossman","given":"Allison K.","non-dropping-particle":"","parse-names":false,"suffix":""},{"dropping-particle":"","family":"Bakker","given":"Jonathan D.","non-dropping-particle":"","parse-names":false,"suffix":""},{"dropping-particle":"","family":"Peterson","given":"David W.","non-dropping-particle":"","parse-names":false,"suffix":""},{"dropping-particle":"","family":"Halpern","given":"Charles B.","non-dropping-particle":"","parse-names":false,"suffix":""}],"container-title":"Forests","id":"ITEM-8","issue":"8","issued":{"date-parts":[["2020","8","1"]]},"note":"tb enhanced sap recruitment but greatly exceeded by mort\n\nRelationships between seedlings freq and overstory abundance shifted from weakly negative before treatment to positive after thinning, nuetral in longrun\n\nHigher sev fire and wildfire +","page":"888","publisher":"MDPI AG","title":"Long-term effects of fuels treatments, overstory structure, and wildfire on tree regeneration in dry forests of Central Washington","type":"article-journal","volume":"11"},"uris":["http://www.mendeley.com/documents/?uuid=b4b7f84f-1bdb-3adb-aff7-6014e3b8cd2e"]}],"mendeley":{"formattedCitation":"(Battaglia et al. 2008, Chiono et al. 2012, Stephens et al. 2012, van Mantgem et al. 2016, Crotteau et al. 2018, Hood et al. 2020, Rossman et al. 2020, Morici and Bailey 2021)","manualFormatting":"(Battaglia et al. 2008, Chiono et al. 2012, Stephens et al. 2012, van Mantgem et al. 2016, Crotteau et al. 2018, Hood et al. 2020, Morici and Bailey 2021)","plainTextFormattedCitation":"(Battaglia et al. 2008, Chiono et al. 2012, Stephens et al. 2012, van Mantgem et al. 2016, Crotteau et al. 2018, Hood et al. 2020, Rossman et al. 2020, Morici and Bailey 2021)","previouslyFormattedCitation":"(Battaglia et al. 2008, Chiono et al. 2012, Stephens et al. 2012, van Mantgem et al. 2016, Crotteau et al. 2018, Hood et al. 2020, Rossman et al. 2020, Morici and Bailey 2021)"},"properties":{"noteIndex":0},"schema":"https://github.com/citation-style-language/schema/raw/master/csl-citation.json"}</w:instrText>
      </w:r>
      <w:r>
        <w:rPr>
          <w:rFonts w:ascii="Times New Roman" w:hAnsi="Times New Roman" w:cs="Times New Roman"/>
          <w:sz w:val="24"/>
          <w:szCs w:val="24"/>
        </w:rPr>
        <w:fldChar w:fldCharType="separate"/>
      </w:r>
      <w:r w:rsidRPr="00EB62EF">
        <w:rPr>
          <w:rFonts w:ascii="Times New Roman" w:hAnsi="Times New Roman" w:cs="Times New Roman"/>
          <w:noProof/>
          <w:sz w:val="24"/>
          <w:szCs w:val="24"/>
        </w:rPr>
        <w:t>(Battaglia et al. 2008, Chiono et al. 2012, Stephens et al. 2012, van Mantgem et al. 2016, Crotteau et al. 2018, Hood et al. 2020, Morici and Bailey 2021)</w:t>
      </w:r>
      <w:r>
        <w:rPr>
          <w:rFonts w:ascii="Times New Roman" w:hAnsi="Times New Roman" w:cs="Times New Roman"/>
          <w:sz w:val="24"/>
          <w:szCs w:val="24"/>
        </w:rPr>
        <w:fldChar w:fldCharType="end"/>
      </w:r>
      <w:r>
        <w:rPr>
          <w:rFonts w:ascii="Times New Roman" w:hAnsi="Times New Roman" w:cs="Times New Roman"/>
          <w:sz w:val="24"/>
          <w:szCs w:val="24"/>
        </w:rPr>
        <w:t xml:space="preserve">.  Tree density and canopy fuel loads, however, likely remain below pretreatment levels into longer term study periods in thin and thin plus burn treatments.  In stands receiving a thin or thin plus burn treatment, recruitment of ladder fuels, those fuels that connect surface and canopy fuels, appears to be a key process driving modelled wildfire severity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{"citationItems":[{"id":"ITEM-1","itemData":{"DOI":"10.3389/ffgc.2020.00078","ISSN":"2624893X","abstract":"Fuels reduction treatments to mitigate fire behavior are common in ponderosa pine ecosystems of the western United States. While initial impacts of fuel treatments have been reported, less is known about treatment longevity as live and dead fuels change with time. We analyzed fuel dynamics in ponderosa pine–Douglas-fir forests 21–23 years following experimental fuel reduction designed as two independent studies of cutting combined with burning: one tested a commercial thinning strategy, while a second tested a retention shelterwood strategy to reduce fuels while also restoring ponderosa pine forests. Treated units were harvested in 1992 and half of the units were prescribed burned 1 to 2 years later. After 22 to 23 years post-treatment, few differences in fuel load persist and all treatments have increased ladder fuels in the form of live saplings and seedlings. Canopy fuel loads were lower in treated units compared to untreated control units; however, no other canopy fuel metric differed between treatments. The only persistent difference in surface fuels was in the retention shelterwood, where 1 h fuels were lower in the treated units compared to control units. Crown fire hazard varied greatly, but means were similar between treatments. The increased hazard was driven by increases in live surface fuels from seedlings and saplings in the retention shelterwood, which increased canopy bulk density and reduced canopy base height. The overstory was still dominated by ponderosa pine 22–23 years later for all treatments, but the smaller size classes were primarily Douglas-fir, suggesting that without future disturbance, dominance will shift from pine to Douglas-fir dominated forests. The exception to this was the cut+fall burn treatment in the commercial thinning, where ponderosa pine outnumbered Douglas-fir trees across all size classes. The treatments that included a broadcast prescribed burn killed many existing seedlings and saplings. Our findings support other studies showing fuel reduction and restoration treatments are most successful with a combination of cutting and burning strategies, but also show that fuel treatments in low-elevation dry forests will likely not remain effective for much longer than historical mean fire return intervals.","author":[{"dropping-particle":"","family":"Hood","given":"Sharon M.","non-dropping-particle":"","parse-names":false,"suffix":""},{"dropping-particle":"","family":"Keyes","given":"Christopher R.","non-dropping-particle":"","parse-names":false,"suffix":""},{"dropping-particle":"","family":"Bowen","given":"Katelynn J.","non-dropping-particle":"","parse-names":false,"suffix":""},{"dropping-particle":"","family":"Lutes","given":"Duncan C.","non-dropping-particle":"","parse-names":false,"suffix":""},{"dropping-particle":"","family":"Seielstad","given":"Carl","non-dropping-particle":"","parse-names":false,"suffix":""}],"container-title":"Frontiers in Forests and Global Change","id":"ITEM-1","issued":{"date-parts":[["2020","7","2"]]},"page":"78","publisher":"Frontiers Media SA","title":"Fuel Treatment Longevity in Ponderosa Pine-Dominated Forest 24 Years After Cutting and Prescribed Burning","type":"article-journal","volume":"3"},"uris":["http://www.mendeley.com/documents/?uuid=ec57e04d-6642-384d-9db2-3a58945675c1"]},{"id":"ITEM-2","itemData":{"DOI":"10.1016/j.foreco.2012.08.030","ISSN":"03781127","abstract":"Understanding the longevity of fuel treatments in terms of their ability to maintain fire behavior and effects within a desired range is an important question. The objective of this study was to determine how fuels, forest structure, and predicted fire behavior changed 7-years after initial treatments. Three different treatments: mechanical only, mechanical plus fire, and prescribed fire only, as well as untreated control, were each randomly applied to 3 of 12 experimental units. Many aspects of the initial fuel treatments changed in 7 years. The overall hazard of the control units increased significantly indicating continued passive management has further increased already high fire hazards. Mechanical only fire hazard decreased after 7 years and are now similar to the two fire treatments, which both maintained low hazards throughout the study. Tree density declined significantly 7 years after the initial fire only treatments, while basal area in both fire treatments was unchanged relative to immediate post-treatment conditions. Our findings indicating reduced fire hazard over time in mechanical only treatments might provide an opportunity for a staggered treatment schedule that included prescribed fire which could increase overall treatment longevity to approximately 20. years. Changes in our mixed conifer forests after fuel treatment were generally larger than those reported from ponderosa pine forests in the Rocky Mountains. © 2012 Elsevier B.V..","author":[{"dropping-particle":"","family":"Stephens","given":"Scott L.","non-dropping-particle":"","parse-names":false,"suffix":""},{"dropping-particle":"","family":"Collins","given":"Brandon M.","non-dropping-particle":"","parse-names":false,"suffix":""},{"dropping-particle":"","family":"Roller","given":"Gary","non-dropping-particle":"","parse-names":false,"suffix":""}],"container-title":"Forest Ecology and Management","id":"ITEM-2","issued":{"date-parts":[["2012","12","1"]]},"page":"204-212","publisher":"Elsevier","title":"Fuel treatment longevity in a Sierra Nevada mixed conifer forest","type":"article-journal","volume":"285"},"uris":["http://www.mendeley.com/documents/?uuid=bf1ee0d7-20c5-3e99-81ab-c9581d916d62"]}],"mendeley":{"formattedCitation":"(Stephens et al. 2012, Hood et al. 2020)","plainTextFormattedCitation":"(Stephens et al. 2012, Hood et al. 2020)","previouslyFormattedCitation":"(Stephens et al. 2012, Hood et al. 2020)"},"properties":{"noteIndex":0},"schema":"https://github.com/citation-style-language/schema/raw/master/csl-citation.json"}</w:instrText>
      </w:r>
      <w:r>
        <w:rPr>
          <w:rFonts w:ascii="Times New Roman" w:hAnsi="Times New Roman" w:cs="Times New Roman"/>
          <w:sz w:val="24"/>
          <w:szCs w:val="24"/>
        </w:rPr>
        <w:fldChar w:fldCharType="separate"/>
      </w:r>
      <w:r w:rsidRPr="00EB62EF">
        <w:rPr>
          <w:rFonts w:ascii="Times New Roman" w:hAnsi="Times New Roman" w:cs="Times New Roman"/>
          <w:noProof/>
          <w:sz w:val="24"/>
          <w:szCs w:val="24"/>
        </w:rPr>
        <w:t>(Stephens et al. 2012, Hood et al. 2020)</w:t>
      </w:r>
      <w:r>
        <w:rPr>
          <w:rFonts w:ascii="Times New Roman" w:hAnsi="Times New Roman" w:cs="Times New Roman"/>
          <w:sz w:val="24"/>
          <w:szCs w:val="24"/>
        </w:rPr>
        <w:fldChar w:fldCharType="end"/>
      </w:r>
      <w:r>
        <w:rPr>
          <w:rFonts w:ascii="Times New Roman" w:hAnsi="Times New Roman" w:cs="Times New Roman"/>
          <w:sz w:val="24"/>
          <w:szCs w:val="24"/>
        </w:rPr>
        <w:t xml:space="preserve">.  In experiments, control units have sometimes shown similar temporal dynamics to treated units for some variables, decreasing estimates of the effect of treatment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{"citationItems":[{"id":"ITEM-1","itemData":{"DOI":"10.3389/ffgc.2020.00078","ISSN":"2624893X","abstract":"Fuels reduction treatments to mitigate fire behavior are common in ponderosa pine ecosystems of the western United States. While initial impacts of fuel treatments have been reported, less is known about treatment longevity as live and dead fuels change with time. We analyzed fuel dynamics in ponderosa pine–Douglas-fir forests 21–23 years following experimental fuel reduction designed as two independent studies of cutting combined with burning: one tested a commercial thinning strategy, while a second tested a retention shelterwood strategy to reduce fuels while also restoring ponderosa pine forests. Treated units were harvested in 1992 and half of the units were prescribed burned 1 to 2 years later. After 22 to 23 years post-treatment, few differences in fuel load persist and all treatments have increased ladder fuels in the form of live saplings and seedlings. Canopy fuel loads were lower in treated units compared to untreated control units; however, no other canopy fuel metric differed between treatments. The only persistent difference in surface fuels was in the retention shelterwood, where 1 h fuels were lower in the treated units compared to control units. Crown fire hazard varied greatly, but means were similar between treatments. The increased hazard was driven by increases in live surface fuels from seedlings and saplings in the retention shelterwood, which increased canopy bulk density and reduced canopy base height. The overstory was still dominated by ponderosa pine 22–23 years later for all treatments, but the smaller size classes were primarily Douglas-fir, suggesting that without future disturbance, dominance will shift from pine to Douglas-fir dominated forests. The exception to this was the cut+fall burn treatment in the commercial thinning, where ponderosa pine outnumbered Douglas-fir trees across all size classes. The treatments that included a broadcast prescribed burn killed many existing seedlings and saplings. Our findings support other studies showing fuel reduction and restoration treatments are most successful with a combination of cutting and burning strategies, but also show that fuel treatments in low-elevation dry forests will likely not remain effective for much longer than historical mean fire return intervals.","author":[{"dropping-particle":"","family":"Hood","given":"Sharon M.","non-dropping-particle":"","parse-names":false,"suffix":""},{"dropping-particle":"","family":"Keyes","given":"Christopher R.","non-dropping-particle":"","parse-names":false,"suffix":""},{"dropping-particle":"","family":"Bowen","given":"Katelynn J.","non-dropping-particle":"","parse-names":false,"suffix":""},{"dropping-particle":"","family":"Lutes","given":"Duncan C.","non-dropping-particle":"","parse-names":false,"suffix":""},{"dropping-particle":"","family":"Seielstad","given":"Carl","non-dropping-particle":"","parse-names":false,"suffix":""}],"container-title":"Frontiers in Forests and Global Change","id":"ITEM-1","issued":{"date-parts":[["2020","7","2"]]},"page":"78","publisher":"Frontiers Media SA","title":"Fuel Treatment Longevity in Ponderosa Pine-Dominated Forest 24 Years After Cutting and Prescribed Burning","type":"article-journal","volume":"3"},"uris":["http://www.mendeley.com/documents/?uuid=ec57e04d-6642-384d-9db2-3a58945675c1"]},{"id":"ITEM-2","itemData":{"DOI":"10.1016/j.foreco.2012.08.030","ISSN":"03781127","abstract":"Understanding the longevity of fuel treatments in terms of their ability to maintain fire behavior and effects within a desired range is an important question. The objective of this study was to determine how fuels, forest structure, and predicted fire behavior changed 7-years after initial treatments. Three different treatments: mechanical only, mechanical plus fire, and prescribed fire only, as well as untreated control, were each randomly applied to 3 of 12 experimental units. Many aspects of the initial fuel treatments changed in 7 years. The overall hazard of the control units increased significantly indicating continued passive management has further increased already high fire hazards. Mechanical only fire hazard decreased after 7 years and are now similar to the two fire treatments, which both maintained low hazards throughout the study. Tree density declined significantly 7 years after the initial fire only treatments, while basal area in both fire treatments was unchanged relative to immediate post-treatment conditions. Our findings indicating reduced fire hazard over time in mechanical only treatments might provide an opportunity for a staggered treatment schedule that included prescribed fire which could increase overall treatment longevity to approximately 20. years. Changes in our mixed conifer forests after fuel treatment were generally larger than those reported from ponderosa pine forests in the Rocky Mountains. © 2012 Elsevier B.V..","author":[{"dropping-particle":"","family":"Stephens","given":"Scott L.","non-dropping-particle":"","parse-names":false,"suffix":""},{"dropping-particle":"","family":"Collins","given":"Brandon M.","non-dropping-particle":"","parse-names":false,"suffix":""},{"dropping-particle":"","family":"Roller","given":"Gary","non-dropping-particle":"","parse-names":false,"suffix":""}],"container-title":"Forest Ecology and Management","id":"ITEM-2","issued":{"date-parts":[["2012","12","1"]]},"page":"204-212","publisher":"Elsevier","title":"Fuel treatment longevity in a Sierra Nevada mixed conifer forest","type":"article-journal","volume":"285"},"uris":["http://www.mendeley.com/documents/?uuid=bf1ee0d7-20c5-3e99-81ab-c9581d916d62"]},{"id":"ITEM-3","itemData":{"DOI":"10.3390/F12101306","abstract":"Fire exclusion and a lengthening fire season has resulted in an era of megafires. Fuel reduction treatments in forested ecosystems are designed to guard against future extreme wildfire behavior. Treatments create a heterogenous landscape and facilitate ecosystem function and resilience in fire-adapted forests of the western United States. Despite widespread recognition that repeated fuel treatments are needed to maintain desired stand characteristics over time, few field studies have evaluated treatment longevity. The Blue Mountains Fire and Fire Surrogate site in northeastern Oregon presented an opportunity to investigate woody fuel loading 15–17 years after four treatments: mechanical thin, prescribed burn, both thin and burn, and no treatment control. The principal findings were: (1) fine fuel load 15 years post-burn remained slightly below pre-treatment values; (2) rotten coarse fuel load was reduced post-burn, but sound coarse fuel was not altered by any active treatment; and (3) total woody fuel load 15–17 years post-treatment was similar to pre-treatment values. Understanding surface fuel loading is essential for predicting fire behavior. Overall, the effects of fuel reduction treatments on woody surface fuels were transitory in dry mixed conifer forests. Frequent maintenance treatments are recommended to protect values at risk in areas with high fire hazards. Quantifying the persistence of changes in forest conditions aids in the planning and analysis of future fuel treatments, along with scheduling maintenance of existing treated areas.","author":[{"dropping-particle":"","family":"Morici","given":"Kat E.","non-dropping-particle":"","parse-names":false,"suffix":""},{"dropping-particle":"","family":"Bailey","given":"John D.","non-dropping-particle":"","parse-names":false,"suffix":""}],"container-title":"Forests 2021, Vol. 12, Page 1306","id":"ITEM-3","issue":"10","issued":{"date-parts":[["2021","9","25"]]},"page":"1306","publisher":"Multidisciplinary Digital Publishing Institute","title":"Long-Term Effects of Fuel Reduction Treatments on Surface Fuel Loading in the Blue Mountains of Oregon","type":"article-journal","volume":"12"},"uris":["http://www.mendeley.com/documents/?uuid=9c1f5d0b-324a-3ea2-97f3-09421a6081df"]}],"mendeley":{"formattedCitation":"(Stephens et al. 2012, Hood et al. 2020, Morici and Bailey 2021)","plainTextFormattedCitation":"(Stephens et al. 2012, Hood et al. 2020, Morici and Bailey 2021)","previouslyFormattedCitation":"(Stephens et al. 2012, Hood et al. 2020, Morici and Bailey 2021)"},"properties":{"noteIndex":0},"schema":"https://github.com/citation-style-language/schema/raw/master/csl-citation.json"}</w:instrText>
      </w:r>
      <w:r>
        <w:rPr>
          <w:rFonts w:ascii="Times New Roman" w:hAnsi="Times New Roman" w:cs="Times New Roman"/>
          <w:sz w:val="24"/>
          <w:szCs w:val="24"/>
        </w:rPr>
        <w:fldChar w:fldCharType="separate"/>
      </w:r>
      <w:r w:rsidRPr="00EB62EF">
        <w:rPr>
          <w:rFonts w:ascii="Times New Roman" w:hAnsi="Times New Roman" w:cs="Times New Roman"/>
          <w:noProof/>
          <w:sz w:val="24"/>
          <w:szCs w:val="24"/>
        </w:rPr>
        <w:t>(Stephens et al. 2012, Hood et al. 2020, Morici and Bailey 2021)</w:t>
      </w:r>
      <w:r>
        <w:rPr>
          <w:rFonts w:ascii="Times New Roman" w:hAnsi="Times New Roman" w:cs="Times New Roman"/>
          <w:sz w:val="24"/>
          <w:szCs w:val="24"/>
        </w:rPr>
        <w:fldChar w:fldCharType="end"/>
      </w:r>
      <w:r>
        <w:rPr>
          <w:rFonts w:ascii="Times New Roman" w:hAnsi="Times New Roman" w:cs="Times New Roman"/>
          <w:sz w:val="24"/>
          <w:szCs w:val="24"/>
        </w:rPr>
        <w:t xml:space="preserve">.  </w:t>
      </w:r>
    </w:p>
    <w:p w14:paraId="59AC72A0" w14:textId="38A65B98" w:rsidR="00193086" w:rsidRDefault="00193086" w:rsidP="00193086">
      <w:pPr>
        <w:spacing w:after="0"/>
        <w:rPr>
          <w:rFonts w:ascii="Times New Roman" w:hAnsi="Times New Roman" w:cs="Times New Roman"/>
          <w:sz w:val="24"/>
          <w:szCs w:val="24"/>
        </w:rPr>
      </w:pPr>
      <w:r>
        <w:rPr>
          <w:rFonts w:ascii="Times New Roman" w:hAnsi="Times New Roman" w:cs="Times New Roman"/>
          <w:sz w:val="24"/>
          <w:szCs w:val="24"/>
        </w:rPr>
        <w:tab/>
        <w:t xml:space="preserve">High within- and among-stand variability in treatment units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{"citationItems":[{"id":"ITEM-1","itemData":{"DOI":"10.3389/ffgc.2020.00078","ISSN":"2624893X","abstract":"Fuels reduction treatments to mitigate fire behavior are common in ponderosa pine ecosystems of the western United States. While initial impacts of fuel treatments have been reported, less is known about treatment longevity as live and dead fuels change with time. We analyzed fuel dynamics in ponderosa pine–Douglas-fir forests 21–23 years following experimental fuel reduction designed as two independent studies of cutting combined with burning: one tested a commercial thinning strategy, while a second tested a retention shelterwood strategy to reduce fuels while also restoring ponderosa pine forests. Treated units were harvested in 1992 and half of the units were prescribed burned 1 to 2 years later. After 22 to 23 years post-treatment, few differences in fuel load persist and all treatments have increased ladder fuels in the form of live saplings and seedlings. Canopy fuel loads were lower in treated units compared to untreated control units; however, no other canopy fuel metric differed between treatments. The only persistent difference in surface fuels was in the retention shelterwood, where 1 h fuels were lower in the treated units compared to control units. Crown fire hazard varied greatly, but means were similar between treatments. The increased hazard was driven by increases in live surface fuels from seedlings and saplings in the retention shelterwood, which increased canopy bulk density and reduced canopy base height. The overstory was still dominated by ponderosa pine 22–23 years later for all treatments, but the smaller size classes were primarily Douglas-fir, suggesting that without future disturbance, dominance will shift from pine to Douglas-fir dominated forests. The exception to this was the cut+fall burn treatment in the commercial thinning, where ponderosa pine outnumbered Douglas-fir trees across all size classes. The treatments that included a broadcast prescribed burn killed many existing seedlings and saplings. Our findings support other studies showing fuel reduction and restoration treatments are most successful with a combination of cutting and burning strategies, but also show that fuel treatments in low-elevation dry forests will likely not remain effective for much longer than historical mean fire return intervals.","author":[{"dropping-particle":"","family":"Hood","given":"Sharon M.","non-dropping-particle":"","parse-names":false,"suffix":""},{"dropping-particle":"","family":"Keyes","given":"Christopher R.","non-dropping-particle":"","parse-names":false,"suffix":""},{"dropping-particle":"","family":"Bowen","given":"Katelynn J.","non-dropping-particle":"","parse-names":false,"suffix":""},{"dropping-particle":"","family":"Lutes","given":"Duncan C.","non-dropping-particle":"","parse-names":false,"suffix":""},{"dropping-particle":"","family":"Seielstad","given":"Carl","non-dropping-particle":"","parse-names":false,"suffix":""}],"container-title":"Frontiers in Forests and Global Change","id":"ITEM-1","issued":{"date-parts":[["2020","7","2"]]},"page":"78","publisher":"Frontiers Media SA","title":"Fuel Treatment Longevity in Ponderosa Pine-Dominated Forest 24 Years After Cutting and Prescribed Burning","type":"article-journal","volume":"3"},"uris":["http://www.mendeley.com/documents/?uuid=ec57e04d-6642-384d-9db2-3a58945675c1"]},{"id":"ITEM-2","itemData":{"DOI":"10.1016/j.foreco.2012.08.030","ISSN":"03781127","abstract":"Understanding the longevity of fuel treatments in terms of their ability to maintain fire behavior and effects within a desired range is an important question. The objective of this study was to determine how fuels, forest structure, and predicted fire behavior changed 7-years after initial treatments. Three different treatments: mechanical only, mechanical plus fire, and prescribed fire only, as well as untreated control, were each randomly applied to 3 of 12 experimental units. Many aspects of the initial fuel treatments changed in 7 years. The overall hazard of the control units increased significantly indicating continued passive management has further increased already high fire hazards. Mechanical only fire hazard decreased after 7 years and are now similar to the two fire treatments, which both maintained low hazards throughout the study. Tree density declined significantly 7 years after the initial fire only treatments, while basal area in both fire treatments was unchanged relative to immediate post-treatment conditions. Our findings indicating reduced fire hazard over time in mechanical only treatments might provide an opportunity for a staggered treatment schedule that included prescribed fire which could increase overall treatment longevity to approximately 20. years. Changes in our mixed conifer forests after fuel treatment were generally larger than those reported from ponderosa pine forests in the Rocky Mountains. © 2012 Elsevier B.V..","author":[{"dropping-particle":"","family":"Stephens","given":"Scott L.","non-dropping-particle":"","parse-names":false,"suffix":""},{"dropping-particle":"","family":"Collins","given":"Brandon M.","non-dropping-particle":"","parse-names":false,"suffix":""},{"dropping-particle":"","family":"Roller","given":"Gary","non-dropping-particle":"","parse-names":false,"suffix":""}],"container-title":"Forest Ecology and Management","id":"ITEM-2","issued":{"date-parts":[["2012","12","1"]]},"page":"204-212","publisher":"Elsevier","title":"Fuel treatment longevity in a Sierra Nevada mixed conifer forest","type":"article-journal","volume":"285"},"uris":["http://www.mendeley.com/documents/?uuid=bf1ee0d7-20c5-3e99-81ab-c9581d916d62"]},{"id":"ITEM-3","itemData":{"DOI":"10.3390/F12101306","abstract":"Fire exclusion and a lengthening fire season has resulted in an era of megafires. Fuel reduction treatments in forested ecosystems are designed to guard against future extreme wildfire behavior. Treatments create a heterogenous landscape and facilitate ecosystem function and resilience in fire-adapted forests of the western United States. Despite widespread recognition that repeated fuel treatments are needed to maintain desired stand characteristics over time, few field studies have evaluated treatment longevity. The Blue Mountains Fire and Fire Surrogate site in northeastern Oregon presented an opportunity to investigate woody fuel loading 15–17 years after four treatments: mechanical thin, prescribed burn, both thin and burn, and no treatment control. The principal findings were: (1) fine fuel load 15 years post-burn remained slightly below pre-treatment values; (2) rotten coarse fuel load was reduced post-burn, but sound coarse fuel was not altered by any active treatment; and (3) total woody fuel load 15–17 years post-treatment was similar to pre-treatment values. Understanding surface fuel loading is essential for predicting fire behavior. Overall, the effects of fuel reduction treatments on woody surface fuels were transitory in dry mixed conifer forests. Frequent maintenance treatments are recommended to protect values at risk in areas with high fire hazards. Quantifying the persistence of changes in forest conditions aids in the planning and analysis of future fuel treatments, along with scheduling maintenance of existing treated areas.","author":[{"dropping-particle":"","family":"Morici","given":"Kat E.","non-dropping-particle":"","parse-names":false,"suffix":""},{"dropping-particle":"","family":"Bailey","given":"John D.","non-dropping-particle":"","parse-names":false,"suffix":""}],"container-title":"Forests 2021, Vol. 12, Page 1306","id":"ITEM-3","issue":"10","issued":{"date-parts":[["2021","9","25"]]},"page":"1306","publisher":"Multidisciplinary Digital Publishing Institute","title":"Long-Term Effects of Fuel Reduction Treatments on Surface Fuel Loading in the Blue Mountains of Oregon","type":"article-journal","volume":"12"},"uris":["http://www.mendeley.com/documents/?uuid=9c1f5d0b-324a-3ea2-97f3-09421a6081df"]}],"mendeley":{"formattedCitation":"(Stephens et al. 2012, Hood et al. 2020, Morici and Bailey 2021)","plainTextFormattedCitation":"(Stephens et al. 2012, Hood et al. 2020, Morici and Bailey 2021)","previouslyFormattedCitation":"(Stephens et al. 2012, Hood et al. 2020, Morici and Bailey 2021)"},"properties":{"noteIndex":0},"schema":"https://github.com/citation-style-language/schema/raw/master/csl-citation.json"}</w:instrText>
      </w:r>
      <w:r>
        <w:rPr>
          <w:rFonts w:ascii="Times New Roman" w:hAnsi="Times New Roman" w:cs="Times New Roman"/>
          <w:sz w:val="24"/>
          <w:szCs w:val="24"/>
        </w:rPr>
        <w:fldChar w:fldCharType="separate"/>
      </w:r>
      <w:r w:rsidRPr="00EB62EF">
        <w:rPr>
          <w:rFonts w:ascii="Times New Roman" w:hAnsi="Times New Roman" w:cs="Times New Roman"/>
          <w:noProof/>
          <w:sz w:val="24"/>
          <w:szCs w:val="24"/>
        </w:rPr>
        <w:t>(Stephens et al. 2012, Hood et al. 2020, Morici and Bailey 2021)</w:t>
      </w:r>
      <w:r>
        <w:rPr>
          <w:rFonts w:ascii="Times New Roman" w:hAnsi="Times New Roman" w:cs="Times New Roman"/>
          <w:sz w:val="24"/>
          <w:szCs w:val="24"/>
        </w:rPr>
        <w:fldChar w:fldCharType="end"/>
      </w:r>
      <w:r>
        <w:rPr>
          <w:rFonts w:ascii="Times New Roman" w:hAnsi="Times New Roman" w:cs="Times New Roman"/>
          <w:sz w:val="24"/>
          <w:szCs w:val="24"/>
        </w:rPr>
        <w:t xml:space="preserve"> suggests that factors other than treatment category influence fine-scale fuel dynamics and fuel treatment longevity.  These factors might include pretreatment condition, treatment intensity, and site productivity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uthor":[{"dropping-particle":"","family":"Jain","given":"Theresa","non-dropping-particle":"","parse-names":false,"suffix":""},{"dropping-particle":"","family":"Battaglia","given":"Mike","non-dropping-particle":"","parse-names":false,"suffix":""},{"dropping-particle":"","family":"Han","given":"Han-Sup","non-dropping-particle":"","parse-names":false,"suffix":""},{"dropping-particle":"","family":"Graham","given":"Russell","non-dropping-particle":"","parse-names":false,"suffix":""},{"dropping-particle":"","family":"Keyes","given":"Christopher","non-dropping-particle":"","parse-names":false,"suffix":""},{"dropping-particle":"","family":"Fried","given":"Jeremy","non-dropping-particle":"","parse-names":false,"suffix":""},{"dropping-particle":"","family":"Sandquist","given":"Johnathan","non-dropping-particle":"","parse-names":false,"suffix":""}],"container-title":"JFSP Synthesis Reports","id":"ITEM-1","issued":{"date-parts":[["2012","1","1"]]},"note":"Chapter 1: Preamble \n·       Analysis of fia data found nearly 80% of these forests hazardous by at least one measure and 20-30 by multiple \n·       Dry mixed con forests challenge ecological classification systems because of the diversity and complexity of the landscapes where they occur \no   Many have a mix of species unlike SW PPine monocultures \no   Highly productive at some \no   Grade into drier and wetter forest types, creating complexity \no   So ‘one size does not fit all’ in fuels treatments \n·       This guide is not a cookbook \nChapter 2: Potential veg and biophysical setting \n·       Used biophysical setting model to define communities (within LANDFIRE) \n·       Speceis seral status can vary by site \n·       East Cascades mesic montane mixed con forest and wooland \no   Maritime influences sites in east cascades of WA and OR \n§  Mostly south in WA, north in OR \no   Historically there was a lot more WWP and WL \n·       Dry mesic mixed-con \no   Mission Creek, North Washington, Blues, Oregon \no   Grand Fir less common in north portion \n§  They specifically single out Wenatchee \nChapter 3 \n·       Makes it sound like beetles are fire dangerous \n·       PPine, WL, DF more wind resistant than others \n·       Western pine beetle was a primary insect associated with historical fire regomes \no   Large, old pondos in drought \n·       MPB more severe now than historical \n·       Thinning may increase root rot \no   More so in spring?? \n·       Mistletoe may increase susceptibiligy to crown fire of indy trees \n·       Active vs passive crown fire \n·       Independent crown fire – no ground \n·       Talk about clumpiness \n·       Gives a good table of fire history studies \n·       ‘in most dry mixed forest, a mixed sev fire regime tends to be present’ \no   Nor cal s Oregon \n·       FRI and intensitys in PNW have been highly variable \n·       La Nina has 1 to 3 year cycles but occurs half as freq as El nion \n·       PDO cycles last 20-30 years \no   Have been week in last 20 years \no   It’s a mass of surface temp water in pacific \n·       Positive PDO may be related with fire in north \n·       ENSO is more strongly related to fire in SW than NW \no   Stronger enso there \no   More climate responsive fire regimes \n·       Nearly all the growth of the Hayman Fire CO 2002 was in one day \n·       Dillon et al 2011 found that topgraphicy more important than climate or weather in predicting fuel amoung \n·       Autoecology is the study of how evn. Factors influence particular plant species \no   Includes disturbance \n·       Say longevity can be increased with more canopy cover \no   Ladder fuels \n·       Early seral trees tend to have more insect adaptation \n·       Ppine less susceptible to beetels when less dense \nChapter 4: Actions and Impacts of Past Management \n·       Hunter gatherer societies the world over rarely extinguished their campfires \n·       Fire to maintain open transit paths across landcapes \n·       Fire as a tool of war \n·       Lewis and Clark documented native americans torching fir trees for fun \n·       Grazing by sheep has declined more or less steadyily since the end of WW2 as demand for mutton declined and synthetic fabric replaced wool \n·       Cattle numbers on decline since 1970 because of decreased demand for beef, increasing env. Reg, and drought \n·       Blister rust gets sugar pine \n·       Early blister rust management efforts involved clearing, burning ribes and planted wwp in middle of cut \no   Once they gave up on that there was a huge salvage effort \n·       Initially many western settlers continued burning landscape for the same reasons that natives did \n·       Other fires arose from primitive logging practices and drought, lightning, railroad sparks, human carelessness \n·       Fires often started as retaliation, or to create work \n·       Big fire year in SW 2000 \n·       More nutrients in vegetation of late seral forests \no   More opportunity for loss \n·       Pine engraver beetle more abundant and destructive today, can kill pondo \n·       Organic material and soil have built up \no   Can lead to more smoldering \n·       Argue that myco communities in ppine lived deeper down in mineral soil, and have migrated up in more DF and abies dominated litter types \nChapter 5 Inventory modelling of current fire hazard conditions \n·       Draw on FIA and FVS FFE \n·       Looked at prob of torching, torching index, surrace flame length, and mort volume \no   High surface flames may preclude direct attack \n·       Reserved land is relatively little 8.5 – 14.3% \n·       Proportion of area with steep slope ranges from 0.2 in PNW interior to 0.5 in nw cal and klmath \n·       Torching index is the laeast frequent hazard \n·       Four hazards is most common condition \n·       Takeaway: most the area would benefit from fuel treatment \n  \nKalies et al. 2016. Tamm review: are fuel treatments effective at achieving ecological and social objectives? A systematic review. For. Ecol. Manag.375, 84–95. \n  \n·       56 empirical studies of wildfire burning through a treatment \n·       Thin and burn generally more effective than either alone \n·       Less carbon loss in a wildfire and fewer carbon emission aafter, although do not necessarily atore more carbon after fire \n·       Understory response can be mexed across treatments \n·       Response of other attributes represents an important data gap \n·       Rx fire review in Australia found fires are effective, particularly at less than 5 years \n·       Treatments more limited in Europe due to socioeconomic constrainst \n·       Is strictly a systematic review, so did not include effect size \n·       At least two cases of thinning increasing fire sefverity \n·       List three studies where time since treatment decreased the positive effect on wildfire outcomes \n·       Treatment size associated with positive effects in one study \n·       A meta-analysis from Martinson and Omi 2013 summarized canopy volume scorch and scorch height in treated vs untreated sites burned in wildfire in 19 studies \no   Reduction in canopy volume scorch from 100-40% \no   Scorch height reduction 30-16m \n·       Effect is greater with gearter thinning intensity \n·       Treatment age important, treatmets less than 10 years old more effective \n·       Three studies found regen after fire \n·       Wildlife data are a major gap \n·       Mixed results in understory \n·       Carbon results mixed \n·       Three of the wildlife studies on NSO and one on Pacific Fisher \n·       One high quality and a few low quality studies show increased firefighter safety, effectiveness \no   Less smoke, better vis, safe access, quick repel of spot fires, greater retardant pentration \n·       Body of lit fairly robust for overstory structure, fire behavior, weaker on other stuffs \nPart 2: Fuel treatment planning and implementation \n  \nChapter 6: Integrating wildlife habitat \n  \n·       Wildlife often described as a challenging factor to deal with \no   Improved comm needed \no   Connectivity? \n·       Creating het can be mutually beneficial to both wildlife habitat needs and fuels management objectives \n·       Inherent (natural) vs induced edges \n·       Long lived snags like PP and WL are getting rarer \n·       Oka-Wen NF restoration strategy did a big landscape eval \no   Reynolds and Hessburg 2005 \no   Beaverhead Deerlodge NF did something similar \n·       Read Pilliod 2006 – Report on wildlife effects from fuels treatment \nChapter 7: Planning and Integrating fuels treatments \n·       First setp is in defining the short and long term objectives \n·       Need for holistic planning, collab, compromise \n·       A manager comment advocates meeting multiple objectives with het treatment on stand scale, thinning some areas and leaving others \no   Reinhardt et al 2008, Larson and Chrchill 2012, Perry et al 2011 \n·       A maanger comment said theat Finney’s herringbone pattern was interesting but not necessarily realistic to implement \n·       Manager comment: NEPA, WUI, and CWPP often have more to do with choosing treatment locations than strategic consideration \n·       Manager comment on too much focus on short term fuels benefits \n·       ‘Fuels treatment planning requires a great deal of experiential learning’ \n·       There are more than 20 decision support tools for fuels treatment, too many for many managers \n·       DL Peterson et al 2007 is a guide to many decision support tools \n  \nChapter 8: Mechanical, Chemical, Biological Fuel Treatment Methods \n  \n·       Argue all silviculture treatment can be considered \n·       Present mastication as a viable alt to use when there are few options \no   Objective is to favor rapid decomp \n·       Too small of masticated pieces can dry too much \no   And can also produce firebrands when burned \no   They argue for larger piece creation \n·       If masticate, leave large areas with no pieces.  Target het in soil.  Not every square foot needs treat.  Make bigger pieces to prevent drying. \n·       Lop and scatter \no   Sometimes used in areas where slopes are too steep for masticators \no   Pieces should be in contact with ground, site of most active decomp \n·       Chemical \no   Marshall et al 2008 – talk herbicides for fuels management in loblolly \n·       Herbicides may be practical when \no   Overstory trees can fill gaps made by spraying \no   Faster growing or sprouting vegetation should be controlled \no   Herbicides are the only way to effectively remove incasives \n·       More impractical with tall veg, steep slopes \n·       Biological control \no   Need appropriate livestock for species of fuel \no   Skilled personnel \no   Correct phenological timing \n·       Cattle and horses grass \n·       Sheep forbes \n·       Goats browse \no   Also prefer seeding stems – may reduce invasive spread \nChapter 9 \n·       Many believe fire is the best option \n·       Its use is never straightforward, always contains complexity and uncertainty \n·       It can be used for a huge range of objectives \n·       No two sites are the same \n·       Good fire practicioners combine science, decision support tools and monitoring with their own instinctive knowledge (art) when applying fire \n·       Manager comments: we have rx fires I call ‘1 in 5 year burns, meaing the window comes 1 in 5 years.  Budgeting for that is difficult’. \n·       Managers say smaller units have greater propensity for escape \n·       Common oversights \no   Smoke management, weakness in contingency planning, simplifying complexity, not thoroughly identifying management action points \n§  Lack of familiarity with new fuel types \n·       Difficulty in keep snags and rotting logs from burning \n·       Some wind usually desired, to keep heat out of crowns and to provide the fire with direction \n·       Two issues that can lead to fire escape \no   Lack of mindful communication \no   Snowball effect \n·       Haines index – a measurement that helps determine potential for fire growth \no   Based on atmospheric stability and air dryness \n·       Fire types \no   Backing fires \n§  Transfer less heat to canopy, consume fuels better, works well in continuous fuel \n§  But a greater risk of smoldering and it takes time \no   Strip head firing \n§  Progressively move upwind in strips \n§  Number of lines and strip width is based on desired flame length \no   Spot firing \n§  Grid of spot ignitions – more intensity than backing, less than strip head \n§  Can be good for removing pockets of heavy fuels when moistures are high \no   Center ring – encircles perimeter of an area \no   Chevron \n§  Best for unique terrain \n·       Duff is usually composed of two distinct layers \no   Upper fermentation layer \no   Lower humus layer in late stages of decomp \n·       Lower duff primarly burnes through smoldering controlled by moisture \n·       Moisture also interacts with mineral content \no   Higher mineral content needs drier conditions \n·       Seasonality \no   They argue that spring and fall burns today are comparable to historic summer burns in intensity, because of fuel load \n·       Depth that heat penetrates is largely dependent on soil moisture content \no   It affects roots, N, microbial activity \n·       Some concern that spring burning leaves baby animals vulnerable \no   Outside historical limits \n·       More than 100 models developed for mortality of western tree species \n·       Mastication ‘popular within last decade’ \n·       Masticated fuels not as predictable, vary from site to site \n·       Some preliminary generalities \no   Burn with shorter flame length and low ros \no   Longer duration of heating \no   Soil moisture has big influence \no   Scorch height substantially greater \n·       Old trees are mainly vulnerable to the initial entry \no   Duff mound \no   If roots are in the duff you have to burn in dormant season \n·       Managed wildfire given legal backing in 2009 \no   And could be divided up into sections with different objectives \nChapter 10: Monitoring \n·       Often a strong connection between activeness of fuels monitoring and the fuels treatment program \n·       Two phases of fuels management: one short term, one long term \no   Short term \n§  Did we achevie the goals in reduction of specific elements \no   Medium term \n§  Will large fires be less common and will the WUI be safer \n·       5 to 10 year career of fuel manager \n·       Talk shit about nonstatistical samping and windshield surveys \n·       Say that photoseries has more power than browns \n·       FFE FVS may have issues with overall accuracy, but it is robust to assessing differences in treatments \no   And it can accept data from a number of different plots \nSection 3: Reality Check \n  \nChapter 11: Inventory and Model-based Economic Analyses of Mechanical Fuel Treatments \n  \n·       There are many stands where no fuel treatment is likely to be effective and many more where an effective treatment is likely more costly than it’s worth \n·       FIA BioSum model \n·       MyFuelTreatment Planner \no   Mostly an economic analysis \n·       BioSum Analysis Framework \no   Systematic forest inventories data \no   Silv treatment implementation model FVS \no   Fuel treatment effectiveness model FFE FVS \no   Fuel treatment coast model \no   Raw material haul cost model \no   Wood produ ct allo ation model \n·       They did a big analysis with this modelling \n·       Found that in net, you’d need to subsidize \no   Some by a lot, some would pay their own way \n·       Means are much less useful than distributions in this kind of economic analysis \n·       Except in Utah, lack of transportation infrastructure and energy wood markets were not the limiting factor \n·       Many of their decision points were subjective \nChapter 12: Fuel dynamics and treatment longevity \n·       Fuel longevity often overlooked \n·       ‘The degree to which longevity is accurately estimated will affect suppression opportunity and firefighter safety, the determination of whether points or areas can be successfully protected, and whether areas of special concern possess the resilience to survive a wildfire’ \n·       Incorporating longevity into fuels treatments economics can decrease annual cost estimates \n·       The initial entry may take most the available merchantable material off the site \n·       Main elements of longevity \no   Fuel decay, fuel growth, fuel recruitment \no   Also interrelated disturbances but that subject avoided here \n·       Florida study shows a slower response of herbicide treatment but greater longevity than thinning or rx \n·       Read brose and wade 2002 Potential fire behavior in pine flatwood forests following three different fuel reduction techniques \n·       Super helpful brief article \no   Fuels treatments and fire models: errors and corrections \no   Fire management today 2009 \no   Fuel moisture estimation, wind adjustment factor, fuel model assignment, foloair moisture content, time since treatment fuelbed patchiness are all things that are often misestimated by models \n·       Read Carleton and Pickford 1982 Fuelbed changes with aging of slash from ponderosa pine thinnings \n·       Thinning intensity can be a tradeoff between short and long term effectiveness, and between crowning and torching potential \n·       It appears there has been no long term study of fuels treatment effects on crown fuel characteristics in the long term \n·       Recruitment of ladder fuel quickly reduces longevity \n·       Reducing ground disturbance can reduce ladder fuels recruitment \n·       ‘Moisture of extinction’ – Point at which a fire will not spread \n·       Intricacies of crown moisture not well studied \n·       Treatment longevity and productivity – Weatherspoon and skinner Landscape-level strategies for forest fuel management. In: Sierra Nevada Ecosystem Project: Final report to Congress. Vol II: assessments and scientific basis for management options. Davis, CA: University of California, Centers for Water and Wildland Resources: 1471-1492 \n·       Intricacies of crown moisture not well studied \n·       Height is relatively independent of density \n·       FFE-FVS projects growth reasonably well, but poorly predicts natural regen that leads to ladder fuel development \n·       Specifically called out FFS study for being excellent for testing fuels treatment longevity","title":"A Comprehensive Guide to Fuel Management Practices for Dry Mixed ConiferForests in the Northwestern United States","type":"report"},"uris":["http://www.mendeley.com/documents/?uuid=20e1517c-5fd6-3383-bdcc-41a8f4ebc25e"]}],"mendeley":{"formattedCitation":"(Jain et al. 2012)","plainTextFormattedCitation":"(Jain et al. 2012)","previouslyFormattedCitation":"(Jain et al. 2012)"},"properties":{"noteIndex":0},"schema":"https://github.com/citation-style-language/schema/raw/master/csl-citation.json"}</w:instrText>
      </w:r>
      <w:r>
        <w:rPr>
          <w:rFonts w:ascii="Times New Roman" w:hAnsi="Times New Roman" w:cs="Times New Roman"/>
          <w:sz w:val="24"/>
          <w:szCs w:val="24"/>
        </w:rPr>
        <w:fldChar w:fldCharType="separate"/>
      </w:r>
      <w:r w:rsidRPr="00C40F6E">
        <w:rPr>
          <w:rFonts w:ascii="Times New Roman" w:hAnsi="Times New Roman" w:cs="Times New Roman"/>
          <w:noProof/>
          <w:sz w:val="24"/>
          <w:szCs w:val="24"/>
        </w:rPr>
        <w:t>(Jain et al. 2012)</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004C7F48">
        <w:rPr>
          <w:rFonts w:ascii="Times New Roman" w:hAnsi="Times New Roman" w:cs="Times New Roman"/>
          <w:sz w:val="24"/>
          <w:szCs w:val="24"/>
        </w:rPr>
        <w:t xml:space="preserve">Variance within treatment categories is important for managers to consider </w:t>
      </w:r>
      <w:r w:rsidR="004C7F48">
        <w:rPr>
          <w:rFonts w:ascii="Times New Roman" w:hAnsi="Times New Roman" w:cs="Times New Roman"/>
          <w:sz w:val="24"/>
          <w:szCs w:val="24"/>
        </w:rPr>
        <w:fldChar w:fldCharType="begin" w:fldLock="1"/>
      </w:r>
      <w:r w:rsidR="00A07B06">
        <w:rPr>
          <w:rFonts w:ascii="Times New Roman" w:hAnsi="Times New Roman" w:cs="Times New Roman"/>
          <w:sz w:val="24"/>
          <w:szCs w:val="24"/>
        </w:rPr>
        <w:instrText>ADDIN CSL_CITATION {"citationItems":[{"id":"ITEM-1","itemData":{"author":[{"dropping-particle":"","family":"Jain","given":"Theresa","non-dropping-particle":"","parse-names":false,"suffix":""},{"dropping-particle":"","family":"Battaglia","given":"Mike","non-dropping-particle":"","parse-names":false,"suffix":""},{"dropping-particle":"","family":"Han","given":"Han-Sup","non-dropping-particle":"","parse-names":false,"suffix":""},{"dropping-particle":"","family":"Graham","given":"Russell","non-dropping-particle":"","parse-names":false,"suffix":""},{"dropping-particle":"","family":"Keyes","given":"Christopher","non-dropping-particle":"","parse-names":false,"suffix":""},{"dropping-particle":"","family":"Fried","given":"Jeremy","non-dropping-particle":"","parse-names":false,"suffix":""},{"dropping-particle":"","family":"Sandquist","given":"Johnathan","non-dropping-particle":"","parse-names":false,"suffix":""}],"container-title":"JFSP Synthesis Reports","id":"ITEM-1","issued":{"date-parts":[["2012","1","1"]]},"note":"Chapter 1: Preamble \n·       Analysis of fia data found nearly 80% of these forests hazardous by at least one measure and 20-30 by multiple \n·       Dry mixed con forests challenge ecological classification systems because of the diversity and complexity of the landscapes where they occur \no   Many have a mix of species unlike SW PPine monocultures \no   Highly productive at some \no   Grade into drier and wetter forest types, creating complexity \no   So ‘one size does not fit all’ in fuels treatments \n·       This guide is not a cookbook \nChapter 2: Potential veg and biophysical setting \n·       Used biophysical setting model to define communities (within LANDFIRE) \n·       Speceis seral status can vary by site \n·       East Cascades mesic montane mixed con forest and wooland \no   Maritime influences sites in east cascades of WA and OR \n§  Mostly south in WA, north in OR \no   Historically there was a lot more WWP and WL \n·       Dry mesic mixed-con \no   Mission Creek, North Washington, Blues, Oregon \no   Grand Fir less common in north portion \n§  They specifically single out Wenatchee \nChapter 3 \n·       Makes it sound like beetles are fire dangerous \n·       PPine, WL, DF more wind resistant than others \n·       Western pine beetle was a primary insect associated with historical fire regomes \no   Large, old pondos in drought \n·       MPB more severe now than historical \n·       Thinning may increase root rot \no   More so in spring?? \n·       Mistletoe may increase susceptibiligy to crown fire of indy trees \n·       Active vs passive crown fire \n·       Independent crown fire – no ground \n·       Talk about clumpiness \n·       Gives a good table of fire history studies \n·       ‘in most dry mixed forest, a mixed sev fire regime tends to be present’ \no   Nor cal s Oregon \n·       FRI and intensitys in PNW have been highly variable \n·       La Nina has 1 to 3 year cycles but occurs half as freq as El nion \n·       PDO cycles last 20-30 years \no   Have been week in last 20 years \no   It’s a mass of surface temp water in pacific \n·       Positive PDO may be related with fire in north \n·       ENSO is more strongly related to fire in SW than NW \no   Stronger enso there \no   More climate responsive fire regimes \n·       Nearly all the growth of the Hayman Fire CO 2002 was in one day \n·       Dillon et al 2011 found that topgraphicy more important than climate or weather in predicting fuel amoung \n·       Autoecology is the study of how evn. Factors influence particular plant species \no   Includes disturbance \n·       Say longevity can be increased with more canopy cover \no   Ladder fuels \n·       Early seral trees tend to have more insect adaptation \n·       Ppine less susceptible to beetels when less dense \nChapter 4: Actions and Impacts of Past Management \n·       Hunter gatherer societies the world over rarely extinguished their campfires \n·       Fire to maintain open transit paths across landcapes \n·       Fire as a tool of war \n·       Lewis and Clark documented native americans torching fir trees for fun \n·       Grazing by sheep has declined more or less steadyily since the end of WW2 as demand for mutton declined and synthetic fabric replaced wool \n·       Cattle numbers on decline since 1970 because of decreased demand for beef, increasing env. Reg, and drought \n·       Blister rust gets sugar pine \n·       Early blister rust management efforts involved clearing, burning ribes and planted wwp in middle of cut \no   Once they gave up on that there was a huge salvage effort \n·       Initially many western settlers continued burning landscape for the same reasons that natives did \n·       Other fires arose from primitive logging practices and drought, lightning, railroad sparks, human carelessness \n·       Fires often started as retaliation, or to create work \n·       Big fire year in SW 2000 \n·       More nutrients in vegetation of late seral forests \no   More opportunity for loss \n·       Pine engraver beetle more abundant and destructive today, can kill pondo \n·       Organic material and soil have built up \no   Can lead to more smoldering \n·       Argue that myco communities in ppine lived deeper down in mineral soil, and have migrated up in more DF and abies dominated litter types \nChapter 5 Inventory modelling of current fire hazard conditions \n·       Draw on FIA and FVS FFE \n·       Looked at prob of torching, torching index, surrace flame length, and mort volume \no   High surface flames may preclude direct attack \n·       Reserved land is relatively little 8.5 – 14.3% \n·       Proportion of area with steep slope ranges from 0.2 in PNW interior to 0.5 in nw cal and klmath \n·       Torching index is the laeast frequent hazard \n·       Four hazards is most common condition \n·       Takeaway: most the area would benefit from fuel treatment \n  \nKalies et al. 2016. Tamm review: are fuel treatments effective at achieving ecological and social objectives? A systematic review. For. Ecol. Manag.375, 84–95. \n  \n·       56 empirical studies of wildfire burning through a treatment \n·       Thin and burn generally more effective than either alone \n·       Less carbon loss in a wildfire and fewer carbon emission aafter, although do not necessarily atore more carbon after fire \n·       Understory response can be mexed across treatments \n·       Response of other attributes represents an important data gap \n·       Rx fire review in Australia found fires are effective, particularly at less than 5 years \n·       Treatments more limited in Europe due to socioeconomic constrainst \n·       Is strictly a systematic review, so did not include effect size \n·       At least two cases of thinning increasing fire sefverity \n·       List three studies where time since treatment decreased the positive effect on wildfire outcomes \n·       Treatment size associated with positive effects in one study \n·       A meta-analysis from Martinson and Omi 2013 summarized canopy volume scorch and scorch height in treated vs untreated sites burned in wildfire in 19 studies \no   Reduction in canopy volume scorch from 100-40% \no   Scorch height reduction 30-16m \n·       Effect is greater with gearter thinning intensity \n·       Treatment age important, treatmets less than 10 years old more effective \n·       Three studies found regen after fire \n·       Wildlife data are a major gap \n·       Mixed results in understory \n·       Carbon results mixed \n·       Three of the wildlife studies on NSO and one on Pacific Fisher \n·       One high quality and a few low quality studies show increased firefighter safety, effectiveness \no   Less smoke, better vis, safe access, quick repel of spot fires, greater retardant pentration \n·       Body of lit fairly robust for overstory structure, fire behavior, weaker on other stuffs \nPart 2: Fuel treatment planning and implementation \n  \nChapter 6: Integrating wildlife habitat \n  \n·       Wildlife often described as a challenging factor to deal with \no   Improved comm needed \no   Connectivity? \n·       Creating het can be mutually beneficial to both wildlife habitat needs and fuels management objectives \n·       Inherent (natural) vs induced edges \n·       Long lived snags like PP and WL are getting rarer \n·       Oka-Wen NF restoration strategy did a big landscape eval \no   Reynolds and Hessburg 2005 \no   Beaverhead Deerlodge NF did something similar \n·       Read Pilliod 2006 – Report on wildlife effects from fuels treatment \nChapter 7: Planning and Integrating fuels treatments \n·       First setp is in defining the short and long term objectives \n·       Need for holistic planning, collab, compromise \n·       A manager comment advocates meeting multiple objectives with het treatment on stand scale, thinning some areas and leaving others \no   Reinhardt et al 2008, Larson and Chrchill 2012, Perry et al 2011 \n·       A maanger comment said theat Finney’s herringbone pattern was interesting but not necessarily realistic to implement \n·       Manager comment: NEPA, WUI, and CWPP often have more to do with choosing treatment locations than strategic consideration \n·       Manager comment on too much focus on short term fuels benefits \n·       ‘Fuels treatment planning requires a great deal of experiential learning’ \n·       There are more than 20 decision support tools for fuels treatment, too many for many managers \n·       DL Peterson et al 2007 is a guide to many decision support tools \n  \nChapter 8: Mechanical, Chemical, Biological Fuel Treatment Methods \n  \n·       Argue all silviculture treatment can be considered \n·       Present mastication as a viable alt to use when there are few options \no   Objective is to favor rapid decomp \n·       Too small of masticated pieces can dry too much \no   And can also produce firebrands when burned \no   They argue for larger piece creation \n·       If masticate, leave large areas with no pieces.  Target het in soil.  Not every square foot needs treat.  Make bigger pieces to prevent drying. \n·       Lop and scatter \no   Sometimes used in areas where slopes are too steep for masticators \no   Pieces should be in contact with ground, site of most active decomp \n·       Chemical \no   Marshall et al 2008 – talk herbicides for fuels management in loblolly \n·       Herbicides may be practical when \no   Overstory trees can fill gaps made by spraying \no   Faster growing or sprouting vegetation should be controlled \no   Herbicides are the only way to effectively remove incasives \n·       More impractical with tall veg, steep slopes \n·       Biological control \no   Need appropriate livestock for species of fuel \no   Skilled personnel \no   Correct phenological timing \n·       Cattle and horses grass \n·       Sheep forbes \n·       Goats browse \no   Also prefer seeding stems – may reduce invasive spread \nChapter 9 \n·       Many believe fire is the best option \n·       Its use is never straightforward, always contains complexity and uncertainty \n·       It can be used for a huge range of objectives \n·       No two sites are the same \n·       Good fire practicioners combine science, decision support tools and monitoring with their own instinctive knowledge (art) when applying fire \n·       Manager comments: we have rx fires I call ‘1 in 5 year burns, meaing the window comes 1 in 5 years.  Budgeting for that is difficult’. \n·       Managers say smaller units have greater propensity for escape \n·       Common oversights \no   Smoke management, weakness in contingency planning, simplifying complexity, not thoroughly identifying management action points \n§  Lack of familiarity with new fuel types \n·       Difficulty in keep snags and rotting logs from burning \n·       Some wind usually desired, to keep heat out of crowns and to provide the fire with direction \n·       Two issues that can lead to fire escape \no   Lack of mindful communication \no   Snowball effect \n·       Haines index – a measurement that helps determine potential for fire growth \no   Based on atmospheric stability and air dryness \n·       Fire types \no   Backing fires \n§  Transfer less heat to canopy, consume fuels better, works well in continuous fuel \n§  But a greater risk of smoldering and it takes time \no   Strip head firing \n§  Progressively move upwind in strips \n§  Number of lines and strip width is based on desired flame length \no   Spot firing \n§  Grid of spot ignitions – more intensity than backing, less than strip head \n§  Can be good for removing pockets of heavy fuels when moistures are high \no   Center ring – encircles perimeter of an area \no   Chevron \n§  Best for unique terrain \n·       Duff is usually composed of two distinct layers \no   Upper fermentation layer \no   Lower humus layer in late stages of decomp \n·       Lower duff primarly burnes through smoldering controlled by moisture \n·       Moisture also interacts with mineral content \no   Higher mineral content needs drier conditions \n·       Seasonality \no   They argue that spring and fall burns today are comparable to historic summer burns in intensity, because of fuel load \n·       Depth that heat penetrates is largely dependent on soil moisture content \no   It affects roots, N, microbial activity \n·       Some concern that spring burning leaves baby animals vulnerable \no   Outside historical limits \n·       More than 100 models developed for mortality of western tree species \n·       Mastication ‘popular within last decade’ \n·       Masticated fuels not as predictable, vary from site to site \n·       Some preliminary generalities \no   Burn with shorter flame length and low ros \no   Longer duration of heating \no   Soil moisture has big influence \no   Scorch height substantially greater \n·       Old trees are mainly vulnerable to the initial entry \no   Duff mound \no   If roots are in the duff you have to burn in dormant season \n·       Managed wildfire given legal backing in 2009 \no   And could be divided up into sections with different objectives \nChapter 10: Monitoring \n·       Often a strong connection between activeness of fuels monitoring and the fuels treatment program \n·       Two phases of fuels management: one short term, one long term \no   Short term \n§  Did we achevie the goals in reduction of specific elements \no   Medium term \n§  Will large fires be less common and will the WUI be safer \n·       5 to 10 year career of fuel manager \n·       Talk shit about nonstatistical samping and windshield surveys \n·       Say that photoseries has more power than browns \n·       FFE FVS may have issues with overall accuracy, but it is robust to assessing differences in treatments \no   And it can accept data from a number of different plots \nSection 3: Reality Check \n  \nChapter 11: Inventory and Model-based Economic Analyses of Mechanical Fuel Treatments \n  \n·       There are many stands where no fuel treatment is likely to be effective and many more where an effective treatment is likely more costly than it’s worth \n·       FIA BioSum model \n·       MyFuelTreatment Planner \no   Mostly an economic analysis \n·       BioSum Analysis Framework \no   Systematic forest inventories data \no   Silv treatment implementation model FVS \no   Fuel treatment effectiveness model FFE FVS \no   Fuel treatment coast model \no   Raw material haul cost model \no   Wood produ ct allo ation model \n·       They did a big analysis with this modelling \n·       Found that in net, you’d need to subsidize \no   Some by a lot, some would pay their own way \n·       Means are much less useful than distributions in this kind of economic analysis \n·       Except in Utah, lack of transportation infrastructure and energy wood markets were not the limiting factor \n·       Many of their decision points were subjective \nChapter 12: Fuel dynamics and treatment longevity \n·       Fuel longevity often overlooked \n·       ‘The degree to which longevity is accurately estimated will affect suppression opportunity and firefighter safety, the determination of whether points or areas can be successfully protected, and whether areas of special concern possess the resilience to survive a wildfire’ \n·       Incorporating longevity into fuels treatments economics can decrease annual cost estimates \n·       The initial entry may take most the available merchantable material off the site \n·       Main elements of longevity \no   Fuel decay, fuel growth, fuel recruitment \no   Also interrelated disturbances but that subject avoided here \n·       Florida study shows a slower response of herbicide treatment but greater longevity than thinning or rx \n·       Read brose and wade 2002 Potential fire behavior in pine flatwood forests following three different fuel reduction techniques \n·       Super helpful brief article \no   Fuels treatments and fire models: errors and corrections \no   Fire management today 2009 \no   Fuel moisture estimation, wind adjustment factor, fuel model assignment, foloair moisture content, time since treatment fuelbed patchiness are all things that are often misestimated by models \n·       Read Carleton and Pickford 1982 Fuelbed changes with aging of slash from ponderosa pine thinnings \n·       Thinning intensity can be a tradeoff between short and long term effectiveness, and between crowning and torching potential \n·       It appears there has been no long term study of fuels treatment effects on crown fuel characteristics in the long term \n·       Recruitment of ladder fuel quickly reduces longevity \n·       Reducing ground disturbance can reduce ladder fuels recruitment \n·       ‘Moisture of extinction’ – Point at which a fire will not spread \n·       Intricacies of crown moisture not well studied \n·       Treatment longevity and productivity – Weatherspoon and skinner Landscape-level strategies for forest fuel management. In: Sierra Nevada Ecosystem Project: Final report to Congress. Vol II: assessments and scientific basis for management options. Davis, CA: University of California, Centers for Water and Wildland Resources: 1471-1492 \n·       Intricacies of crown moisture not well studied \n·       Height is relatively independent of density \n·       FFE-FVS projects growth reasonably well, but poorly predicts natural regen that leads to ladder fuel development \n·       Specifically called out FFS study for being excellent for testing fuels treatment longevity","title":"A Comprehensive Guide to Fuel Management Practices for Dry Mixed ConiferForests in the Northwestern United States","type":"report"},"uris":["http://www.mendeley.com/documents/?uuid=20e1517c-5fd6-3383-bdcc-41a8f4ebc25e"]}],"mendeley":{"formattedCitation":"(Jain et al. 2012)","plainTextFormattedCitation":"(Jain et al. 2012)","previouslyFormattedCitation":"(Jain et al. 2012)"},"properties":{"noteIndex":0},"schema":"https://github.com/citation-style-language/schema/raw/master/csl-citation.json"}</w:instrText>
      </w:r>
      <w:r w:rsidR="004C7F48">
        <w:rPr>
          <w:rFonts w:ascii="Times New Roman" w:hAnsi="Times New Roman" w:cs="Times New Roman"/>
          <w:sz w:val="24"/>
          <w:szCs w:val="24"/>
        </w:rPr>
        <w:fldChar w:fldCharType="separate"/>
      </w:r>
      <w:r w:rsidR="004C7F48" w:rsidRPr="004C7F48">
        <w:rPr>
          <w:rFonts w:ascii="Times New Roman" w:hAnsi="Times New Roman" w:cs="Times New Roman"/>
          <w:noProof/>
          <w:sz w:val="24"/>
          <w:szCs w:val="24"/>
        </w:rPr>
        <w:t>(Jain et al. 2012)</w:t>
      </w:r>
      <w:r w:rsidR="004C7F48">
        <w:rPr>
          <w:rFonts w:ascii="Times New Roman" w:hAnsi="Times New Roman" w:cs="Times New Roman"/>
          <w:sz w:val="24"/>
          <w:szCs w:val="24"/>
        </w:rPr>
        <w:fldChar w:fldCharType="end"/>
      </w:r>
      <w:r w:rsidR="004C7F48">
        <w:rPr>
          <w:rFonts w:ascii="Times New Roman" w:hAnsi="Times New Roman" w:cs="Times New Roman"/>
          <w:sz w:val="24"/>
          <w:szCs w:val="24"/>
        </w:rPr>
        <w:t xml:space="preserve">, and it may confound or weaken the power of </w:t>
      </w:r>
      <w:r w:rsidR="005527CB">
        <w:rPr>
          <w:rFonts w:ascii="Times New Roman" w:hAnsi="Times New Roman" w:cs="Times New Roman"/>
          <w:sz w:val="24"/>
          <w:szCs w:val="24"/>
        </w:rPr>
        <w:t xml:space="preserve">categorical </w:t>
      </w:r>
      <w:r w:rsidR="00596446">
        <w:rPr>
          <w:rFonts w:ascii="Times New Roman" w:hAnsi="Times New Roman" w:cs="Times New Roman"/>
          <w:sz w:val="24"/>
          <w:szCs w:val="24"/>
        </w:rPr>
        <w:t xml:space="preserve">statistical tests used in many fuel treatment studies.  Multivariate </w:t>
      </w:r>
      <w:r w:rsidR="00C8026B">
        <w:rPr>
          <w:rFonts w:ascii="Times New Roman" w:hAnsi="Times New Roman" w:cs="Times New Roman"/>
          <w:sz w:val="24"/>
          <w:szCs w:val="24"/>
        </w:rPr>
        <w:t>techniques</w:t>
      </w:r>
      <w:r w:rsidR="00596446">
        <w:rPr>
          <w:rFonts w:ascii="Times New Roman" w:hAnsi="Times New Roman" w:cs="Times New Roman"/>
          <w:sz w:val="24"/>
          <w:szCs w:val="24"/>
        </w:rPr>
        <w:t xml:space="preserve"> </w:t>
      </w:r>
      <w:r w:rsidR="00C8026B">
        <w:rPr>
          <w:rFonts w:ascii="Times New Roman" w:hAnsi="Times New Roman" w:cs="Times New Roman"/>
          <w:sz w:val="24"/>
          <w:szCs w:val="24"/>
        </w:rPr>
        <w:t>such as ordination and cluster analysis afford succinct exploration of variance patterns within- and among- treatment units</w:t>
      </w:r>
      <w:r w:rsidR="005527CB">
        <w:rPr>
          <w:rFonts w:ascii="Times New Roman" w:hAnsi="Times New Roman" w:cs="Times New Roman"/>
          <w:sz w:val="24"/>
          <w:szCs w:val="24"/>
        </w:rPr>
        <w:t xml:space="preserve"> with complex datasets</w:t>
      </w:r>
      <w:r w:rsidR="00A07B06">
        <w:rPr>
          <w:rFonts w:ascii="Times New Roman" w:hAnsi="Times New Roman" w:cs="Times New Roman"/>
          <w:sz w:val="24"/>
          <w:szCs w:val="24"/>
        </w:rPr>
        <w:t xml:space="preserve"> </w:t>
      </w:r>
      <w:r w:rsidR="00A07B06">
        <w:rPr>
          <w:rFonts w:ascii="Times New Roman" w:hAnsi="Times New Roman" w:cs="Times New Roman"/>
          <w:sz w:val="24"/>
          <w:szCs w:val="24"/>
        </w:rPr>
        <w:fldChar w:fldCharType="begin" w:fldLock="1"/>
      </w:r>
      <w:r w:rsidR="005527CB">
        <w:rPr>
          <w:rFonts w:ascii="Times New Roman" w:hAnsi="Times New Roman" w:cs="Times New Roman"/>
          <w:sz w:val="24"/>
          <w:szCs w:val="24"/>
        </w:rPr>
        <w:instrText>ADDIN CSL_CITATION {"citationItems":[{"id":"ITEM-1","itemData":{"ISBN":"978-0444538680","abstract":"The book describes and discusses the numerical methods which are successfully being used for analysing ecological data, using a clear and comprehensive approach. These methods are derived from the fields of mathematical physics, parametric and nonparametric statistics, information theory, numerical taxonomy, archaeology, psychometry, sociometry, econometry and others. An updated, 3rd English edition of the most widely cited book on quantitative analysis of multivariate ecological data Relates ecological questions to methods of statistical analysis, with a clear description of complex numerical methods All methods are illustrated by examples from the ecological literature so that ecologists clearly see how to use the methods and approaches in their own research All calculations are available in R language functions","author":[{"dropping-particle":"","family":"Legendre","given":"Pierre","non-dropping-particle":"","parse-names":false,"suffix":""},{"dropping-particle":"","family":"Legendre","given":"Louis","non-dropping-particle":"","parse-names":false,"suffix":""}],"edition":"3","id":"ITEM-1","issued":{"date-parts":[["2012"]]},"number-of-pages":"1006","publisher":"Elsevier","title":"Numerical Ecology","type":"book"},"uris":["http://www.mendeley.com/documents/?uuid=3ea27998-f561-3bb7-b915-5419d40c94dc"]}],"mendeley":{"formattedCitation":"(Legendre and Legendre 2012)","plainTextFormattedCitation":"(Legendre and Legendre 2012)","previouslyFormattedCitation":"(Legendre and Legendre 2012)"},"properties":{"noteIndex":0},"schema":"https://github.com/citation-style-language/schema/raw/master/csl-citation.json"}</w:instrText>
      </w:r>
      <w:r w:rsidR="00A07B06">
        <w:rPr>
          <w:rFonts w:ascii="Times New Roman" w:hAnsi="Times New Roman" w:cs="Times New Roman"/>
          <w:sz w:val="24"/>
          <w:szCs w:val="24"/>
        </w:rPr>
        <w:fldChar w:fldCharType="separate"/>
      </w:r>
      <w:r w:rsidR="00A07B06" w:rsidRPr="00A07B06">
        <w:rPr>
          <w:rFonts w:ascii="Times New Roman" w:hAnsi="Times New Roman" w:cs="Times New Roman"/>
          <w:noProof/>
          <w:sz w:val="24"/>
          <w:szCs w:val="24"/>
        </w:rPr>
        <w:t>(Legendre and Legendre 2012)</w:t>
      </w:r>
      <w:r w:rsidR="00A07B06">
        <w:rPr>
          <w:rFonts w:ascii="Times New Roman" w:hAnsi="Times New Roman" w:cs="Times New Roman"/>
          <w:sz w:val="24"/>
          <w:szCs w:val="24"/>
        </w:rPr>
        <w:fldChar w:fldCharType="end"/>
      </w:r>
      <w:r w:rsidR="00A07B06">
        <w:rPr>
          <w:rFonts w:ascii="Times New Roman" w:hAnsi="Times New Roman" w:cs="Times New Roman"/>
          <w:sz w:val="24"/>
          <w:szCs w:val="24"/>
        </w:rPr>
        <w:t>.</w:t>
      </w:r>
      <w:r w:rsidR="00273585">
        <w:rPr>
          <w:rFonts w:ascii="Times New Roman" w:hAnsi="Times New Roman" w:cs="Times New Roman"/>
          <w:sz w:val="24"/>
          <w:szCs w:val="24"/>
        </w:rPr>
        <w:t xml:space="preserve">  Therefore, multivariate techniques may be useful in studies focused fuel and fire behavior, which are characterized by high variance and large number of response variables </w:t>
      </w:r>
      <w:r w:rsidR="00273585">
        <w:rPr>
          <w:rFonts w:ascii="Times New Roman" w:hAnsi="Times New Roman" w:cs="Times New Roman"/>
          <w:sz w:val="24"/>
          <w:szCs w:val="24"/>
        </w:rPr>
        <w:fldChar w:fldCharType="begin" w:fldLock="1"/>
      </w:r>
      <w:r w:rsidR="00512A92">
        <w:rPr>
          <w:rFonts w:ascii="Times New Roman" w:hAnsi="Times New Roman" w:cs="Times New Roman"/>
          <w:sz w:val="24"/>
          <w:szCs w:val="24"/>
        </w:rPr>
        <w:instrText>ADDIN CSL_CITATION {"citationItems":[{"id":"ITEM-1","itemData":{"DOI":"10.1007/s10980-012-9773-9","ISSN":"09212973","abstract":"Wildland fuels are important to fire managers because they can be manipulated to achieve management goals, such as restoring ecosystems, decreasing fire intensity, minimizing plant mortality, and reducing erosion. However, it is difficult to accurately measure, describe, and map wildland fuels because of the great variability of wildland fuelbed properties over space and time. Few have quantified the scale of this variability across space to understand its effect on fire spread, burning intensity, and ecological effects. This study investigated the spatial variability of loading (biomass) across major surface and canopy fuel components in low elevation northern Rocky Mountain forest and rangeland ecosystems to determine the inherent scale of surface fuel and canopy fuel distributions. Biomass loadings (kg m -2) were measured for seven surface fuel components-four downed dead woody fuel size classes (0-6 mm, 6-25 mm, 25-75 mm, and 75 + mm), duff plus litter, shrub, and herb-using a spatially nested plot sampling design within a 1 km 2 square sampling grid installed at six sites in the northern US Rocky Mountains. Bulk density, biomass, and cover of the forest canopy were also measured for each plot in the grid. Surface fuel loadings were estimated using a combination of photoload and destructive collection methods at many distances within the grid. We quantified spatial variability of fuel component loading using spatial variograms, and found that each fuel component had its own inherent scale with fine fuels varying at scales of 1-5 m, coarse fuels at 10-150 m, and canopy fuels from 100 to 500 m. Using regression analyses, we computed a scaling factor of 4.6 m for fuel particle diameter (4.6 m increase in scale with each cm increase in particle diameter). Findings from this study can be used to design fuel sampling projects, classify fuelbeds, and map fuel characteristics, such as loading, to account for the inherent scale of fuel distributions to get more accurate fuel loading estimations. © 2012 Springer Science+Business Media B.V. (outside the USA).","author":[{"dropping-particle":"","family":"Keane","given":"Robert E.","non-dropping-particle":"","parse-names":false,"suffix":""},{"dropping-particle":"","family":"Gray","given":"Kathy","non-dropping-particle":"","parse-names":false,"suffix":""},{"dropping-particle":"","family":"Bacciu","given":"Valentina","non-dropping-particle":"","parse-names":false,"suffix":""},{"dropping-particle":"","family":"Leirfallom","given":"Signe","non-dropping-particle":"","parse-names":false,"suffix":""}],"container-title":"Landscape Ecology","id":"ITEM-1","issue":"8","issued":{"date-parts":[["2012","9","11"]]},"note":"Spatially nested plot sampling design\n\nEach fuel component had its own inherent scale\n-fine fuels vary 1-5m, course 10-150, canopy 100-500\n-scaling factor of 4.6m per cm of particle\n- strong site to site variation\n\n~\n\nThaxton and Platt 2006 - manipulation of het in grassland fuels\nRocca 2009 ditto\n\nVan Mantgem and Schwik 2009 found insignificant SA but 50m sampling grid prolly too coarse\n\n'canopy and surface fuels were sampled differently in this stuent because of meth, logsitcial and scale issues\n\n1000 100 1 m squared plot nested\n\nPhotoload method for fine woody fuels \n\nDuff and litter loading much higher than other fuel compoonents at all 6 sits\n\nJenkins et al 2008 - bark beetles and fuel\n\nPage and Jenkins 2007\n\nThe pj stand in utah showed that all particle classes varied at smae scale\n\nNeither range nor loading of fuel correlated with canopy charactersitcs\n\nIt took over a month to sample any one of these sites","page":"1213-1234","publisher":"Springer","title":"Spatial scaling of wildland fuels for six forest and rangeland ecosystems of the northern Rocky Mountains, USA","type":"article-journal","volume":"27"},"uris":["http://www.mendeley.com/documents/?uuid=2618256a-4ba1-33f5-89a8-b5fc6d2d9f47"]},{"id":"ITEM-2","itemData":{"DOI":"10.1016/j.foreco.2008.09.016","ISSN":"03781127","abstract":"Many natural resource agencies and organizations recognize the importance of fuel treatments as tools for reducing fire hazards and restoring ecosystems. However, there continues to be confusion and misconception about fuel treatments and their implementation and effects in fire-prone landscapes across the United States. This paper (1) summarizes objectives, methods, and expected outcomes of fuel treatments in forests of the Interior West, (2) highlights common misunderstandings and areas of disagreement, and (3) synthesizes relevant literature to establish a common ground for future discussion and planning. It is important to understand the strengths and limitations of fuel treatments to evaluate their potential to achieve an objective, develop sensible fire management policies, and plan for their effective use. We suggest that, while the potential of fuel treatment to reduce wildfire occurrence or enhance suppression capability is uncertain, it has an important role in mitigating negative wildfire effects, increasing ecosystem resilience and making wildfire more acceptable.","author":[{"dropping-particle":"","family":"Reinhardt","given":"Elizabeth D.","non-dropping-particle":"","parse-names":false,"suffix":""},{"dropping-particle":"","family":"Keane","given":"Robert E.","non-dropping-particle":"","parse-names":false,"suffix":""},{"dropping-particle":"","family":"Calkin","given":"David E.","non-dropping-particle":"","parse-names":false,"suffix":""},{"dropping-particle":"","family":"Cohen","given":"Jack D.","non-dropping-particle":"","parse-names":false,"suffix":""}],"container-title":"Forest Ecology and Management","id":"ITEM-2","issue":"12","issued":{"date-parts":[["2008","12","10"]]},"page":"1997-2006","publisher":"Elsevier","title":"Objectives and considerations for wildland fuel treatment in forested ecosystems of the interior western United States","type":"article","volume":"256"},"uris":["http://www.mendeley.com/documents/?uuid=0daf5665-ad4c-395c-a023-cdbcc831cd13"]}],"mendeley":{"formattedCitation":"(Reinhardt et al. 2008, Keane et al. 2012)","plainTextFormattedCitation":"(Reinhardt et al. 2008, Keane et al. 2012)","previouslyFormattedCitation":"(Reinhardt et al. 2008, Keane et al. 2012)"},"properties":{"noteIndex":0},"schema":"https://github.com/citation-style-language/schema/raw/master/csl-citation.json"}</w:instrText>
      </w:r>
      <w:r w:rsidR="00273585">
        <w:rPr>
          <w:rFonts w:ascii="Times New Roman" w:hAnsi="Times New Roman" w:cs="Times New Roman"/>
          <w:sz w:val="24"/>
          <w:szCs w:val="24"/>
        </w:rPr>
        <w:fldChar w:fldCharType="separate"/>
      </w:r>
      <w:r w:rsidR="00273585" w:rsidRPr="00273585">
        <w:rPr>
          <w:rFonts w:ascii="Times New Roman" w:hAnsi="Times New Roman" w:cs="Times New Roman"/>
          <w:noProof/>
          <w:sz w:val="24"/>
          <w:szCs w:val="24"/>
        </w:rPr>
        <w:t>(Reinhardt et al. 2008, Keane et al. 2012)</w:t>
      </w:r>
      <w:r w:rsidR="00273585">
        <w:rPr>
          <w:rFonts w:ascii="Times New Roman" w:hAnsi="Times New Roman" w:cs="Times New Roman"/>
          <w:sz w:val="24"/>
          <w:szCs w:val="24"/>
        </w:rPr>
        <w:fldChar w:fldCharType="end"/>
      </w:r>
      <w:r w:rsidR="00273585">
        <w:rPr>
          <w:rFonts w:ascii="Times New Roman" w:hAnsi="Times New Roman" w:cs="Times New Roman"/>
          <w:sz w:val="24"/>
          <w:szCs w:val="24"/>
        </w:rPr>
        <w:t>.</w:t>
      </w:r>
    </w:p>
    <w:p w14:paraId="0DFF043F" w14:textId="0690A5F1" w:rsidR="00193086" w:rsidRDefault="00A07B06" w:rsidP="00193086">
      <w:pPr>
        <w:spacing w:after="0"/>
        <w:rPr>
          <w:rFonts w:ascii="Times New Roman" w:hAnsi="Times New Roman" w:cs="Times New Roman"/>
          <w:sz w:val="24"/>
          <w:szCs w:val="24"/>
        </w:rPr>
      </w:pPr>
      <w:r>
        <w:rPr>
          <w:rFonts w:ascii="Times New Roman" w:hAnsi="Times New Roman" w:cs="Times New Roman"/>
          <w:sz w:val="24"/>
          <w:szCs w:val="24"/>
        </w:rPr>
        <w:lastRenderedPageBreak/>
        <w:tab/>
      </w:r>
      <w:r w:rsidR="00193086">
        <w:rPr>
          <w:rFonts w:ascii="Times New Roman" w:hAnsi="Times New Roman" w:cs="Times New Roman"/>
          <w:sz w:val="24"/>
          <w:szCs w:val="24"/>
        </w:rPr>
        <w:t xml:space="preserve">In this study, I will </w:t>
      </w:r>
      <w:r w:rsidR="005527CB">
        <w:rPr>
          <w:rFonts w:ascii="Times New Roman" w:hAnsi="Times New Roman" w:cs="Times New Roman"/>
          <w:sz w:val="24"/>
          <w:szCs w:val="24"/>
        </w:rPr>
        <w:t>explore plot-scale</w:t>
      </w:r>
      <w:r w:rsidR="00193086">
        <w:rPr>
          <w:rFonts w:ascii="Times New Roman" w:hAnsi="Times New Roman" w:cs="Times New Roman"/>
          <w:sz w:val="24"/>
          <w:szCs w:val="24"/>
        </w:rPr>
        <w:t xml:space="preserve"> long-term (~15-year posttreatment) fuel</w:t>
      </w:r>
      <w:r w:rsidR="004C7F48">
        <w:rPr>
          <w:rFonts w:ascii="Times New Roman" w:hAnsi="Times New Roman" w:cs="Times New Roman"/>
          <w:sz w:val="24"/>
          <w:szCs w:val="24"/>
        </w:rPr>
        <w:t>,</w:t>
      </w:r>
      <w:r w:rsidR="00193086">
        <w:rPr>
          <w:rFonts w:ascii="Times New Roman" w:hAnsi="Times New Roman" w:cs="Times New Roman"/>
          <w:sz w:val="24"/>
          <w:szCs w:val="24"/>
        </w:rPr>
        <w:t xml:space="preserve"> stand structure</w:t>
      </w:r>
      <w:r w:rsidR="004C7F48">
        <w:rPr>
          <w:rFonts w:ascii="Times New Roman" w:hAnsi="Times New Roman" w:cs="Times New Roman"/>
          <w:sz w:val="24"/>
          <w:szCs w:val="24"/>
        </w:rPr>
        <w:t xml:space="preserve">, and modelled fire behavior </w:t>
      </w:r>
      <w:r w:rsidR="00193086">
        <w:rPr>
          <w:rFonts w:ascii="Times New Roman" w:hAnsi="Times New Roman" w:cs="Times New Roman"/>
          <w:sz w:val="24"/>
          <w:szCs w:val="24"/>
        </w:rPr>
        <w:t>responses to control, burn, thin, and thinburn treatments</w:t>
      </w:r>
      <w:r w:rsidR="004C7F48">
        <w:rPr>
          <w:rFonts w:ascii="Times New Roman" w:hAnsi="Times New Roman" w:cs="Times New Roman"/>
          <w:sz w:val="24"/>
          <w:szCs w:val="24"/>
        </w:rPr>
        <w:t xml:space="preserve">.  </w:t>
      </w:r>
      <w:r w:rsidR="00193086">
        <w:rPr>
          <w:rFonts w:ascii="Times New Roman" w:hAnsi="Times New Roman" w:cs="Times New Roman"/>
          <w:sz w:val="24"/>
          <w:szCs w:val="24"/>
        </w:rPr>
        <w:t>I will use field data I collected at the Northeastern Cascades site of the nationwide Fire and Fire Surrogates stud</w:t>
      </w:r>
      <w:r w:rsidR="005527CB">
        <w:rPr>
          <w:rFonts w:ascii="Times New Roman" w:hAnsi="Times New Roman" w:cs="Times New Roman"/>
          <w:sz w:val="24"/>
          <w:szCs w:val="24"/>
        </w:rPr>
        <w:t>y</w:t>
      </w:r>
      <w:r w:rsidR="00193086">
        <w:rPr>
          <w:rFonts w:ascii="Times New Roman" w:hAnsi="Times New Roman" w:cs="Times New Roman"/>
          <w:sz w:val="24"/>
          <w:szCs w:val="24"/>
        </w:rPr>
        <w:t>.</w:t>
      </w:r>
      <w:r w:rsidR="005527CB">
        <w:rPr>
          <w:rFonts w:ascii="Times New Roman" w:hAnsi="Times New Roman" w:cs="Times New Roman"/>
          <w:sz w:val="24"/>
          <w:szCs w:val="24"/>
        </w:rPr>
        <w:t xml:space="preserve">  Earlier publications focused on fuel, stand structure, and modelled fire behavior responses have found high within- and among- stand variance </w:t>
      </w:r>
      <w:r w:rsidR="005527CB">
        <w:rPr>
          <w:rFonts w:ascii="Times New Roman" w:hAnsi="Times New Roman" w:cs="Times New Roman"/>
          <w:sz w:val="24"/>
          <w:szCs w:val="24"/>
        </w:rPr>
        <w:fldChar w:fldCharType="begin" w:fldLock="1"/>
      </w:r>
      <w:r w:rsidR="00273585">
        <w:rPr>
          <w:rFonts w:ascii="Times New Roman" w:hAnsi="Times New Roman" w:cs="Times New Roman"/>
          <w:sz w:val="24"/>
          <w:szCs w:val="24"/>
        </w:rPr>
        <w:instrText>ADDIN CSL_CITATION {"citationItems":[{"id":"ITEM-1","itemData":{"DOI":"10.4996/fireecology.0202003","ISSN":"1933-9747","abstract":"Prescribed fire and low thinning were applied to dry forests dominated\\nby ponderosa pine\\n\\n(Pinus ponderosa) and Douglas-fir (Pseudotsuga menziesii) in the eastern\\nWashington\\n\\nCascades. Experimental design was an unbalanced analysis of variance\\nwith 4 control units, 4\\n\\nthin units, 2 burn units and 2 thin/burn units. Thinning was designed\\nto reduce basal area to 10-\\n\\n14 m2 ha-1 in a non-uniform pattern and burning was a low intensity\\nspring burn. Burn\\n\\ncoverage was spotty, ranging from 23-51%, and considered ineffective\\nin reducing fuels at the\\n\\ntime of application by management and research personnel. Both thinning\\nand burning had\\n\\neffects on vegetation and fuels variables. Thinning reduced canopy\\nclosure, canopy bulk\\n\\ndensity, and basal area, and increased canopy base height. Burning\\nhad no influence on these\\n\\ncanopy variables. Thinning increased 10-hr timelag (0.62-2.54 cm)\\nfuels. Burning decreased\\n\\n1-hr (0-0.62 cm) and 10-hr timelag fuels, forest floor depth and mass,\\nand increased fuelbed\\n\\ndepth. There were interactions between thinning and burning for 1-hr\\nand 10-hr timelag fuels,\\n\\nand fuelbed depth. These differences in fuel properties did not translate\\ninto differences in\\n\\nsimulated wildfire behavior and tree mortality. Thinning did increase\\npotential surface fire\\n\\nflame length under 97 percentile weather, and active crown fire potential\\ndecreased on thinned\\n\\nunits, but basal area survival did not significantly differ between\\ntreatments under 80 and 97\\n\\npercentile weather. The scale at which data are presented has a large\\ninfluence on interpretation\\n\\nof results. For example, torching fire behavior, expressed as an average\\nat the unit level, was\\n\\nlow, but 17% of the individual plots (about 30 plots total per unit)\\nacross all treatments did\\n\\nexhibit potential torching behavior.","author":[{"dropping-particle":"","family":"Agee","given":"James K.","non-dropping-particle":"","parse-names":false,"suffix":""},{"dropping-particle":"","family":"Lolley","given":"M. Reese","non-dropping-particle":"","parse-names":false,"suffix":""}],"container-title":"Fire Ecology","id":"ITEM-1","issue":"2","issued":{"date-parts":[["2006","12"]]},"note":"Thinning increased 10 hour fuels, increased potential surface flame length, but not active crown fire\n\nburning &amp;quot;ineffective&amp;quot;\n\nUnbalanced design\n\nburning decreased 1 10 forest floor depth mass, and increased fuelbed depth\n\ntb interaction for 1 10 fuelbed depth\n-did not translate into differences in sim fire\n\n~\n\nstand reconstructions showed that these trees sometimes survived many 20-30 fires\n\nclimate a mix of maritime and continental\n\nUnits of 10 ha specified for breeding bird surveys\n\nThinning objectives\nincrease resistance to bark beetle attack\n10-14ha\nlow thin\nhelicopter\n\nBurn coverage estimated visually on 900m2 plots around each sample plot\n\nRitchy Harrod did floristic samples\n\npre and post-treatment shrub and herb data exported to FUELCALC\n\nmarginal sum of squares test for unbalanced design\n\nVariables with slightly different collection protocol measured using ANCOVA\n\nWe should do ANCOVA to account for treatment differences\n\ntransformed herb biomass, 1 hour, 1000 hour rotten, canopy base height, forest floor biomass needed transformation but that didn't help\n&amp;quot;if significant these results should be interpreted cautiously&amp;quot;\n\nFire behavior estimated using NEXUS\n\nModelled each unit with actual slope and fixed 45% slope\n\nA megagram is a metric ton\n\nNeed to read more of it","page":"3-19","publisher":"Springer Science and Business Media LLC","title":"Thinning and Prescribed Fire Effects on Fuels and Potential Fire Behavior in an Eastern Cascades Forest, Washington, USA","type":"article-journal","volume":"2"},"uris":["http://www.mendeley.com/documents/?uuid=b6efc976-1dee-3df2-a93f-99d4d34dde14"]}],"mendeley":{"formattedCitation":"(Agee and Lolley 2006)","plainTextFormattedCitation":"(Agee and Lolley 2006)","previouslyFormattedCitation":"(Agee and Lolley 2006)"},"properties":{"noteIndex":0},"schema":"https://github.com/citation-style-language/schema/raw/master/csl-citation.json"}</w:instrText>
      </w:r>
      <w:r w:rsidR="005527CB">
        <w:rPr>
          <w:rFonts w:ascii="Times New Roman" w:hAnsi="Times New Roman" w:cs="Times New Roman"/>
          <w:sz w:val="24"/>
          <w:szCs w:val="24"/>
        </w:rPr>
        <w:fldChar w:fldCharType="separate"/>
      </w:r>
      <w:r w:rsidR="005527CB" w:rsidRPr="005527CB">
        <w:rPr>
          <w:rFonts w:ascii="Times New Roman" w:hAnsi="Times New Roman" w:cs="Times New Roman"/>
          <w:noProof/>
          <w:sz w:val="24"/>
          <w:szCs w:val="24"/>
        </w:rPr>
        <w:t>(Agee and Lolley 2006)</w:t>
      </w:r>
      <w:r w:rsidR="005527CB">
        <w:rPr>
          <w:rFonts w:ascii="Times New Roman" w:hAnsi="Times New Roman" w:cs="Times New Roman"/>
          <w:sz w:val="24"/>
          <w:szCs w:val="24"/>
        </w:rPr>
        <w:fldChar w:fldCharType="end"/>
      </w:r>
      <w:r w:rsidR="005527CB">
        <w:rPr>
          <w:rFonts w:ascii="Times New Roman" w:hAnsi="Times New Roman" w:cs="Times New Roman"/>
          <w:sz w:val="24"/>
          <w:szCs w:val="24"/>
        </w:rPr>
        <w:t>.</w:t>
      </w:r>
      <w:r w:rsidR="00193086">
        <w:rPr>
          <w:rFonts w:ascii="Times New Roman" w:hAnsi="Times New Roman" w:cs="Times New Roman"/>
          <w:sz w:val="24"/>
          <w:szCs w:val="24"/>
        </w:rPr>
        <w:t xml:space="preserve">  Specifically, I will ask the questions</w:t>
      </w:r>
      <w:r w:rsidR="004C20A2">
        <w:rPr>
          <w:rFonts w:ascii="Times New Roman" w:hAnsi="Times New Roman" w:cs="Times New Roman"/>
          <w:sz w:val="24"/>
          <w:szCs w:val="24"/>
        </w:rPr>
        <w:t>, and have the following hypotheses</w:t>
      </w:r>
      <w:r w:rsidR="00193086">
        <w:rPr>
          <w:rFonts w:ascii="Times New Roman" w:hAnsi="Times New Roman" w:cs="Times New Roman"/>
          <w:sz w:val="24"/>
          <w:szCs w:val="24"/>
        </w:rPr>
        <w:t>:</w:t>
      </w:r>
    </w:p>
    <w:p w14:paraId="0B52A4A7" w14:textId="77777777" w:rsidR="00193086" w:rsidRDefault="00193086" w:rsidP="00193086">
      <w:pPr>
        <w:spacing w:after="0"/>
        <w:rPr>
          <w:rFonts w:ascii="Times New Roman" w:hAnsi="Times New Roman" w:cs="Times New Roman"/>
          <w:sz w:val="24"/>
          <w:szCs w:val="24"/>
        </w:rPr>
      </w:pPr>
    </w:p>
    <w:p w14:paraId="7C83643F" w14:textId="0A447599" w:rsidR="00193086" w:rsidRDefault="00193086" w:rsidP="00193086">
      <w:pPr>
        <w:spacing w:after="0"/>
        <w:rPr>
          <w:rFonts w:ascii="Times New Roman" w:hAnsi="Times New Roman" w:cs="Times New Roman"/>
          <w:b/>
          <w:bCs/>
          <w:i/>
          <w:iCs/>
          <w:sz w:val="24"/>
          <w:szCs w:val="24"/>
        </w:rPr>
      </w:pPr>
      <w:r>
        <w:rPr>
          <w:rFonts w:ascii="Times New Roman" w:hAnsi="Times New Roman" w:cs="Times New Roman"/>
          <w:b/>
          <w:bCs/>
          <w:sz w:val="24"/>
          <w:szCs w:val="24"/>
        </w:rPr>
        <w:t xml:space="preserve">Question </w:t>
      </w:r>
      <w:r w:rsidR="005527CB">
        <w:rPr>
          <w:rFonts w:ascii="Times New Roman" w:hAnsi="Times New Roman" w:cs="Times New Roman"/>
          <w:b/>
          <w:bCs/>
          <w:sz w:val="24"/>
          <w:szCs w:val="24"/>
        </w:rPr>
        <w:t>1</w:t>
      </w:r>
      <w:r>
        <w:rPr>
          <w:rFonts w:ascii="Times New Roman" w:hAnsi="Times New Roman" w:cs="Times New Roman"/>
          <w:b/>
          <w:bCs/>
          <w:sz w:val="24"/>
          <w:szCs w:val="24"/>
        </w:rPr>
        <w:t>:</w:t>
      </w:r>
      <w:r w:rsidRPr="00927715">
        <w:rPr>
          <w:rFonts w:ascii="Times New Roman" w:hAnsi="Times New Roman" w:cs="Times New Roman"/>
          <w:b/>
          <w:bCs/>
          <w:i/>
          <w:iCs/>
          <w:sz w:val="24"/>
          <w:szCs w:val="24"/>
        </w:rPr>
        <w:t xml:space="preserve"> </w:t>
      </w:r>
      <w:bookmarkStart w:id="0" w:name="_Hlk85545945"/>
      <w:r w:rsidR="0060176F">
        <w:rPr>
          <w:rFonts w:ascii="Times New Roman" w:hAnsi="Times New Roman" w:cs="Times New Roman"/>
          <w:b/>
          <w:bCs/>
          <w:i/>
          <w:iCs/>
          <w:sz w:val="24"/>
          <w:szCs w:val="24"/>
        </w:rPr>
        <w:t>Do plots within different</w:t>
      </w:r>
      <w:r w:rsidR="005527CB">
        <w:rPr>
          <w:rFonts w:ascii="Times New Roman" w:hAnsi="Times New Roman" w:cs="Times New Roman"/>
          <w:b/>
          <w:bCs/>
          <w:i/>
          <w:iCs/>
          <w:sz w:val="24"/>
          <w:szCs w:val="24"/>
        </w:rPr>
        <w:t xml:space="preserve"> treatment</w:t>
      </w:r>
      <w:r w:rsidR="0060176F">
        <w:rPr>
          <w:rFonts w:ascii="Times New Roman" w:hAnsi="Times New Roman" w:cs="Times New Roman"/>
          <w:b/>
          <w:bCs/>
          <w:i/>
          <w:iCs/>
          <w:sz w:val="24"/>
          <w:szCs w:val="24"/>
        </w:rPr>
        <w:t xml:space="preserve"> </w:t>
      </w:r>
      <w:r w:rsidR="005527CB">
        <w:rPr>
          <w:rFonts w:ascii="Times New Roman" w:hAnsi="Times New Roman" w:cs="Times New Roman"/>
          <w:b/>
          <w:bCs/>
          <w:i/>
          <w:iCs/>
          <w:sz w:val="24"/>
          <w:szCs w:val="24"/>
        </w:rPr>
        <w:t xml:space="preserve">categories </w:t>
      </w:r>
      <w:r w:rsidR="0060176F">
        <w:rPr>
          <w:rFonts w:ascii="Times New Roman" w:hAnsi="Times New Roman" w:cs="Times New Roman"/>
          <w:b/>
          <w:bCs/>
          <w:i/>
          <w:iCs/>
          <w:sz w:val="24"/>
          <w:szCs w:val="24"/>
        </w:rPr>
        <w:t xml:space="preserve">show similar patterns within multivariate space during the pretreatment sampling period, and do they appear to respond consistently to treatment in the longterm? </w:t>
      </w:r>
    </w:p>
    <w:bookmarkEnd w:id="0"/>
    <w:p w14:paraId="57A9ACF6" w14:textId="77777777" w:rsidR="00193086" w:rsidRDefault="00193086" w:rsidP="00193086">
      <w:pPr>
        <w:spacing w:after="0"/>
        <w:rPr>
          <w:rFonts w:ascii="Times New Roman" w:hAnsi="Times New Roman" w:cs="Times New Roman"/>
          <w:b/>
          <w:bCs/>
          <w:i/>
          <w:iCs/>
          <w:sz w:val="24"/>
          <w:szCs w:val="24"/>
        </w:rPr>
      </w:pPr>
    </w:p>
    <w:p w14:paraId="235D3EBF" w14:textId="2E1B35C2" w:rsidR="00193086" w:rsidRDefault="00193086" w:rsidP="00193086">
      <w:pPr>
        <w:spacing w:after="0"/>
        <w:rPr>
          <w:rFonts w:ascii="Times New Roman" w:hAnsi="Times New Roman" w:cs="Times New Roman"/>
          <w:b/>
          <w:bCs/>
          <w:i/>
          <w:iCs/>
          <w:sz w:val="24"/>
          <w:szCs w:val="24"/>
        </w:rPr>
      </w:pPr>
      <w:r>
        <w:rPr>
          <w:rFonts w:ascii="Times New Roman" w:hAnsi="Times New Roman" w:cs="Times New Roman"/>
          <w:b/>
          <w:bCs/>
          <w:sz w:val="24"/>
          <w:szCs w:val="24"/>
        </w:rPr>
        <w:t xml:space="preserve">Question 2: </w:t>
      </w:r>
      <w:r w:rsidR="0060176F">
        <w:rPr>
          <w:rFonts w:ascii="Times New Roman" w:hAnsi="Times New Roman" w:cs="Times New Roman"/>
          <w:b/>
          <w:bCs/>
          <w:i/>
          <w:iCs/>
          <w:sz w:val="24"/>
          <w:szCs w:val="24"/>
        </w:rPr>
        <w:t>Do plots within a replicate unit</w:t>
      </w:r>
      <w:r w:rsidR="00AA7C10">
        <w:rPr>
          <w:rFonts w:ascii="Times New Roman" w:hAnsi="Times New Roman" w:cs="Times New Roman"/>
          <w:b/>
          <w:bCs/>
          <w:i/>
          <w:iCs/>
          <w:sz w:val="24"/>
          <w:szCs w:val="24"/>
        </w:rPr>
        <w:t xml:space="preserve"> and within spatially proximate replicate units will</w:t>
      </w:r>
      <w:r w:rsidR="0060176F">
        <w:rPr>
          <w:rFonts w:ascii="Times New Roman" w:hAnsi="Times New Roman" w:cs="Times New Roman"/>
          <w:b/>
          <w:bCs/>
          <w:i/>
          <w:iCs/>
          <w:sz w:val="24"/>
          <w:szCs w:val="24"/>
        </w:rPr>
        <w:t xml:space="preserve"> group together in multivariate space in the pretreatment sampling period, and do</w:t>
      </w:r>
      <w:r w:rsidR="00273585">
        <w:rPr>
          <w:rFonts w:ascii="Times New Roman" w:hAnsi="Times New Roman" w:cs="Times New Roman"/>
          <w:b/>
          <w:bCs/>
          <w:i/>
          <w:iCs/>
          <w:sz w:val="24"/>
          <w:szCs w:val="24"/>
        </w:rPr>
        <w:t xml:space="preserve"> different replicate units within a treatment category group together after treatment?</w:t>
      </w:r>
    </w:p>
    <w:p w14:paraId="797B10CE" w14:textId="01409C89" w:rsidR="00273585" w:rsidRDefault="00273585" w:rsidP="00193086">
      <w:pPr>
        <w:spacing w:after="0"/>
        <w:rPr>
          <w:rFonts w:ascii="Times New Roman" w:hAnsi="Times New Roman" w:cs="Times New Roman"/>
          <w:b/>
          <w:bCs/>
          <w:i/>
          <w:iCs/>
          <w:sz w:val="24"/>
          <w:szCs w:val="24"/>
        </w:rPr>
      </w:pPr>
    </w:p>
    <w:p w14:paraId="26C1E440" w14:textId="08050C1E" w:rsidR="00273585" w:rsidRDefault="00273585" w:rsidP="00193086">
      <w:pPr>
        <w:spacing w:after="0"/>
        <w:rPr>
          <w:rFonts w:ascii="Times New Roman" w:hAnsi="Times New Roman" w:cs="Times New Roman"/>
          <w:b/>
          <w:bCs/>
          <w:i/>
          <w:iCs/>
          <w:sz w:val="24"/>
          <w:szCs w:val="24"/>
        </w:rPr>
      </w:pPr>
      <w:r>
        <w:rPr>
          <w:rFonts w:ascii="Times New Roman" w:hAnsi="Times New Roman" w:cs="Times New Roman"/>
          <w:b/>
          <w:bCs/>
          <w:i/>
          <w:iCs/>
          <w:sz w:val="24"/>
          <w:szCs w:val="24"/>
        </w:rPr>
        <w:t>Question 3:</w:t>
      </w:r>
      <w:r w:rsidR="00354B77">
        <w:rPr>
          <w:rFonts w:ascii="Times New Roman" w:hAnsi="Times New Roman" w:cs="Times New Roman"/>
          <w:b/>
          <w:bCs/>
          <w:i/>
          <w:iCs/>
          <w:sz w:val="24"/>
          <w:szCs w:val="24"/>
        </w:rPr>
        <w:t xml:space="preserve"> Could the number of variables needed in analysis potentially be reduced by data reduction methods?</w:t>
      </w:r>
    </w:p>
    <w:p w14:paraId="4B3CF602" w14:textId="578CC00E" w:rsidR="00193086" w:rsidRDefault="00193086" w:rsidP="00193086">
      <w:pPr>
        <w:spacing w:after="0"/>
        <w:rPr>
          <w:rFonts w:ascii="Times New Roman" w:hAnsi="Times New Roman" w:cs="Times New Roman"/>
          <w:b/>
          <w:bCs/>
          <w:i/>
          <w:iCs/>
          <w:sz w:val="24"/>
          <w:szCs w:val="24"/>
        </w:rPr>
      </w:pPr>
    </w:p>
    <w:p w14:paraId="4DB0C488" w14:textId="20ADCC5D" w:rsidR="00354B77" w:rsidRDefault="004C20A2" w:rsidP="00193086">
      <w:pPr>
        <w:spacing w:after="0"/>
        <w:rPr>
          <w:rFonts w:ascii="Times New Roman" w:hAnsi="Times New Roman" w:cs="Times New Roman"/>
          <w:b/>
          <w:bCs/>
          <w:i/>
          <w:iCs/>
          <w:sz w:val="24"/>
          <w:szCs w:val="24"/>
        </w:rPr>
      </w:pPr>
      <w:r>
        <w:rPr>
          <w:rFonts w:ascii="Times New Roman" w:hAnsi="Times New Roman" w:cs="Times New Roman"/>
          <w:b/>
          <w:bCs/>
          <w:i/>
          <w:iCs/>
          <w:sz w:val="24"/>
          <w:szCs w:val="24"/>
        </w:rPr>
        <w:t xml:space="preserve">Hypothesis 1: Plots within treatment categories will show some overlap in multivariate space but will have differences as well.  They will respond in a consistent direction to treatment. </w:t>
      </w:r>
    </w:p>
    <w:p w14:paraId="4685DA89" w14:textId="181D8FF1" w:rsidR="004C20A2" w:rsidRDefault="004C20A2" w:rsidP="00193086">
      <w:pPr>
        <w:spacing w:after="0"/>
        <w:rPr>
          <w:rFonts w:ascii="Times New Roman" w:hAnsi="Times New Roman" w:cs="Times New Roman"/>
          <w:b/>
          <w:bCs/>
          <w:i/>
          <w:iCs/>
          <w:sz w:val="24"/>
          <w:szCs w:val="24"/>
        </w:rPr>
      </w:pPr>
    </w:p>
    <w:p w14:paraId="4127BFAE" w14:textId="72DEF576" w:rsidR="004C20A2" w:rsidRDefault="004C20A2" w:rsidP="00193086">
      <w:pPr>
        <w:spacing w:after="0"/>
        <w:rPr>
          <w:rFonts w:ascii="Times New Roman" w:hAnsi="Times New Roman" w:cs="Times New Roman"/>
          <w:b/>
          <w:bCs/>
          <w:i/>
          <w:iCs/>
          <w:sz w:val="24"/>
          <w:szCs w:val="24"/>
        </w:rPr>
      </w:pPr>
      <w:r>
        <w:rPr>
          <w:rFonts w:ascii="Times New Roman" w:hAnsi="Times New Roman" w:cs="Times New Roman"/>
          <w:b/>
          <w:bCs/>
          <w:i/>
          <w:iCs/>
          <w:sz w:val="24"/>
          <w:szCs w:val="24"/>
        </w:rPr>
        <w:t>Hypothesis 2: Plots within a replicate unit</w:t>
      </w:r>
      <w:r w:rsidR="00AA7C10">
        <w:rPr>
          <w:rFonts w:ascii="Times New Roman" w:hAnsi="Times New Roman" w:cs="Times New Roman"/>
          <w:b/>
          <w:bCs/>
          <w:i/>
          <w:iCs/>
          <w:sz w:val="24"/>
          <w:szCs w:val="24"/>
        </w:rPr>
        <w:t xml:space="preserve"> and spatially proximate plots</w:t>
      </w:r>
      <w:r>
        <w:rPr>
          <w:rFonts w:ascii="Times New Roman" w:hAnsi="Times New Roman" w:cs="Times New Roman"/>
          <w:b/>
          <w:bCs/>
          <w:i/>
          <w:iCs/>
          <w:sz w:val="24"/>
          <w:szCs w:val="24"/>
        </w:rPr>
        <w:t xml:space="preserve"> </w:t>
      </w:r>
      <w:r w:rsidR="00AA7C10">
        <w:rPr>
          <w:rFonts w:ascii="Times New Roman" w:hAnsi="Times New Roman" w:cs="Times New Roman"/>
          <w:b/>
          <w:bCs/>
          <w:i/>
          <w:iCs/>
          <w:sz w:val="24"/>
          <w:szCs w:val="24"/>
        </w:rPr>
        <w:t xml:space="preserve">will largely group together in the pretreatment period, and treatment will cause more intermixing of spatially distant units within the same treatment category, although this relationship won’t be perfect. </w:t>
      </w:r>
    </w:p>
    <w:p w14:paraId="6E7B98FD" w14:textId="16A91C1F" w:rsidR="00AA7C10" w:rsidRDefault="00AA7C10" w:rsidP="00193086">
      <w:pPr>
        <w:spacing w:after="0"/>
        <w:rPr>
          <w:rFonts w:ascii="Times New Roman" w:hAnsi="Times New Roman" w:cs="Times New Roman"/>
          <w:b/>
          <w:bCs/>
          <w:i/>
          <w:iCs/>
          <w:sz w:val="24"/>
          <w:szCs w:val="24"/>
        </w:rPr>
      </w:pPr>
    </w:p>
    <w:p w14:paraId="70A88EA0" w14:textId="2FD57D8D" w:rsidR="00AA7C10" w:rsidRPr="004C20A2" w:rsidRDefault="00AA7C10" w:rsidP="00193086">
      <w:pPr>
        <w:spacing w:after="0"/>
        <w:rPr>
          <w:rFonts w:ascii="Times New Roman" w:hAnsi="Times New Roman" w:cs="Times New Roman"/>
          <w:b/>
          <w:bCs/>
          <w:sz w:val="24"/>
          <w:szCs w:val="24"/>
        </w:rPr>
      </w:pPr>
      <w:r>
        <w:rPr>
          <w:rFonts w:ascii="Times New Roman" w:hAnsi="Times New Roman" w:cs="Times New Roman"/>
          <w:b/>
          <w:bCs/>
          <w:i/>
          <w:iCs/>
          <w:sz w:val="24"/>
          <w:szCs w:val="24"/>
        </w:rPr>
        <w:t xml:space="preserve">Hypothesis 3: There is likely to be correlation in variables that will allow for data reduction, particularly because the modelled fire behavior variables depend directly on the field measured data. </w:t>
      </w:r>
    </w:p>
    <w:p w14:paraId="24203644" w14:textId="77777777" w:rsidR="00354B77" w:rsidRDefault="00354B77" w:rsidP="00193086">
      <w:pPr>
        <w:spacing w:after="0"/>
        <w:rPr>
          <w:rFonts w:ascii="Times New Roman" w:hAnsi="Times New Roman" w:cs="Times New Roman"/>
          <w:b/>
          <w:bCs/>
          <w:i/>
          <w:iCs/>
          <w:sz w:val="24"/>
          <w:szCs w:val="24"/>
        </w:rPr>
      </w:pPr>
    </w:p>
    <w:p w14:paraId="7CB695A5" w14:textId="77777777" w:rsidR="00193086" w:rsidRDefault="00193086" w:rsidP="00193086">
      <w:pPr>
        <w:spacing w:after="0"/>
        <w:rPr>
          <w:rFonts w:ascii="Times New Roman" w:hAnsi="Times New Roman" w:cs="Times New Roman"/>
          <w:b/>
          <w:bCs/>
          <w:sz w:val="24"/>
          <w:szCs w:val="24"/>
        </w:rPr>
      </w:pPr>
      <w:r>
        <w:rPr>
          <w:rFonts w:ascii="Times New Roman" w:hAnsi="Times New Roman" w:cs="Times New Roman"/>
          <w:b/>
          <w:bCs/>
          <w:sz w:val="24"/>
          <w:szCs w:val="24"/>
        </w:rPr>
        <w:t>Methods</w:t>
      </w:r>
    </w:p>
    <w:p w14:paraId="0397E2DE" w14:textId="77777777" w:rsidR="00193086" w:rsidRPr="00E14BD9" w:rsidRDefault="00193086" w:rsidP="00193086">
      <w:pPr>
        <w:spacing w:after="0"/>
        <w:rPr>
          <w:rFonts w:ascii="Times New Roman" w:hAnsi="Times New Roman" w:cs="Times New Roman"/>
          <w:i/>
          <w:iCs/>
          <w:sz w:val="24"/>
          <w:szCs w:val="24"/>
        </w:rPr>
      </w:pPr>
      <w:r w:rsidRPr="00E14BD9">
        <w:rPr>
          <w:rFonts w:ascii="Times New Roman" w:hAnsi="Times New Roman" w:cs="Times New Roman"/>
          <w:i/>
          <w:iCs/>
          <w:sz w:val="24"/>
          <w:szCs w:val="24"/>
        </w:rPr>
        <w:t>Study Area</w:t>
      </w:r>
    </w:p>
    <w:p w14:paraId="74E6FEF1" w14:textId="77777777" w:rsidR="00193086" w:rsidRDefault="00193086" w:rsidP="00193086">
      <w:pPr>
        <w:spacing w:after="0"/>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The Northeastern Cascades site of the Fire and Fire Surrogates study is in central Washington State, south of Cashmere.  The area was selected to characterize dry forests of the interior Columbia River basin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{"citationItems":[{"id":"ITEM-1","itemData":{"DOI":"10.2737/PNW-RP-577","author":[{"dropping-particle":"","family":"Agee","given":"James K.","non-dropping-particle":"","parse-names":false,"suffix":""},{"dropping-particle":"","family":"Lehmkuhl","given":"John F.","non-dropping-particle":"","parse-names":false,"suffix":""}],"container-title":"Res. Pap. PNW-RP-577. Portland, OR: U.S. Department of Agriculture, Forest Service, Pacific Northwest Research Station. 158 p.","id":"ITEM-1","issued":{"date-parts":[["2009"]]},"number-of-pages":"158","publisher-place":"Portland, OR","title":"Dry forests of the Northeastern Cascades Fire and Fire Surrogate project site, Mission Creek, Okanogan-Wenatchee National Forest","type":"report","volume":"577"},"uris":["http://www.mendeley.com/documents/?uuid=5cdf019a-e01d-3ec8-b1ad-68fcf0ad3073"]}],"mendeley":{"formattedCitation":"(Agee and Lehmkuhl 2009)","plainTextFormattedCitation":"(Agee and Lehmkuhl 2009)","previouslyFormattedCitation":"(Agee and Lehmkuhl 2009)"},"properties":{"noteIndex":0},"schema":"https://github.com/citation-style-language/schema/raw/master/csl-citation.json"}</w:instrText>
      </w:r>
      <w:r>
        <w:rPr>
          <w:rFonts w:ascii="Times New Roman" w:hAnsi="Times New Roman" w:cs="Times New Roman"/>
          <w:sz w:val="24"/>
          <w:szCs w:val="24"/>
        </w:rPr>
        <w:fldChar w:fldCharType="separate"/>
      </w:r>
      <w:r w:rsidRPr="00875ADC">
        <w:rPr>
          <w:rFonts w:ascii="Times New Roman" w:hAnsi="Times New Roman" w:cs="Times New Roman"/>
          <w:noProof/>
          <w:sz w:val="24"/>
          <w:szCs w:val="24"/>
        </w:rPr>
        <w:t>(Agee and Lehmkuhl 2009)</w:t>
      </w:r>
      <w:r>
        <w:rPr>
          <w:rFonts w:ascii="Times New Roman" w:hAnsi="Times New Roman" w:cs="Times New Roman"/>
          <w:sz w:val="24"/>
          <w:szCs w:val="24"/>
        </w:rPr>
        <w:fldChar w:fldCharType="end"/>
      </w:r>
      <w:r>
        <w:rPr>
          <w:rFonts w:ascii="Times New Roman" w:hAnsi="Times New Roman" w:cs="Times New Roman"/>
          <w:sz w:val="24"/>
          <w:szCs w:val="24"/>
        </w:rPr>
        <w:t>.  These forests occupy relatively low elevations, and the tree layer is dominated by ponderosa pine (</w:t>
      </w:r>
      <w:r>
        <w:rPr>
          <w:rFonts w:ascii="Times New Roman" w:hAnsi="Times New Roman" w:cs="Times New Roman"/>
          <w:i/>
          <w:iCs/>
          <w:sz w:val="24"/>
          <w:szCs w:val="24"/>
        </w:rPr>
        <w:t>Pinus ponderosa</w:t>
      </w:r>
      <w:r>
        <w:rPr>
          <w:rFonts w:ascii="Times New Roman" w:hAnsi="Times New Roman" w:cs="Times New Roman"/>
          <w:sz w:val="24"/>
          <w:szCs w:val="24"/>
        </w:rPr>
        <w:t>) and Douglas fir (</w:t>
      </w:r>
      <w:r>
        <w:rPr>
          <w:rFonts w:ascii="Times New Roman" w:hAnsi="Times New Roman" w:cs="Times New Roman"/>
          <w:i/>
          <w:iCs/>
          <w:sz w:val="24"/>
          <w:szCs w:val="24"/>
        </w:rPr>
        <w:t>P</w:t>
      </w:r>
      <w:r w:rsidRPr="002440FF">
        <w:rPr>
          <w:rFonts w:ascii="Times New Roman" w:hAnsi="Times New Roman" w:cs="Times New Roman"/>
          <w:i/>
          <w:iCs/>
          <w:sz w:val="24"/>
          <w:szCs w:val="24"/>
        </w:rPr>
        <w:t xml:space="preserve">seudotsuga </w:t>
      </w:r>
      <w:r>
        <w:rPr>
          <w:rFonts w:ascii="Times New Roman" w:hAnsi="Times New Roman" w:cs="Times New Roman"/>
          <w:i/>
          <w:iCs/>
          <w:sz w:val="24"/>
          <w:szCs w:val="24"/>
        </w:rPr>
        <w:t>m</w:t>
      </w:r>
      <w:r w:rsidRPr="002440FF">
        <w:rPr>
          <w:rFonts w:ascii="Times New Roman" w:hAnsi="Times New Roman" w:cs="Times New Roman"/>
          <w:i/>
          <w:iCs/>
          <w:sz w:val="24"/>
          <w:szCs w:val="24"/>
        </w:rPr>
        <w:t>enziesii</w:t>
      </w:r>
      <w:r>
        <w:rPr>
          <w:rFonts w:ascii="Times New Roman" w:hAnsi="Times New Roman" w:cs="Times New Roman"/>
          <w:sz w:val="24"/>
          <w:szCs w:val="24"/>
        </w:rPr>
        <w:t>), with smaller components of western larch (</w:t>
      </w:r>
      <w:r>
        <w:rPr>
          <w:rFonts w:ascii="Times New Roman" w:hAnsi="Times New Roman" w:cs="Times New Roman"/>
          <w:i/>
          <w:iCs/>
          <w:sz w:val="24"/>
          <w:szCs w:val="24"/>
        </w:rPr>
        <w:t>Larix occidentalis</w:t>
      </w:r>
      <w:r>
        <w:rPr>
          <w:rFonts w:ascii="Times New Roman" w:hAnsi="Times New Roman" w:cs="Times New Roman"/>
          <w:sz w:val="24"/>
          <w:szCs w:val="24"/>
        </w:rPr>
        <w:t>) and grand fir (</w:t>
      </w:r>
      <w:r>
        <w:rPr>
          <w:rFonts w:ascii="Times New Roman" w:hAnsi="Times New Roman" w:cs="Times New Roman"/>
          <w:i/>
          <w:iCs/>
          <w:sz w:val="24"/>
          <w:szCs w:val="24"/>
        </w:rPr>
        <w:t>Abies grandis</w:t>
      </w:r>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{"citationItems":[{"id":"ITEM-1","itemData":{"DOI":"10.3390/F11080888","ISSN":"19994907","abstract":"The long-term effectiveness of dry-forest fuels treatments (restoration thinning and prescribed burning) depends, in part, on the pace at which trees regenerate and recruit into the overstory. Knowledge of the factors that shape post-treatment regeneration and growth is limited by the short timeframes and simple disturbance histories of past research. Here, we present results of a 15-year fuels-reduction experiment in central Washington, including responses to planned and unplanned disturbances. We explore the changing patterns of Douglas-fir regeneration in 72 permanent plots (0.1 ha) varying in overstory abundance (a function of density and basal area) and disturbance history-the latter including thinning, prescribed burning, and/or wildfire. Plots were measured before treatment (2000/2001), soon afterwards (2004/2005), and more than a decade later (2015). Thinning combined with burning enhanced sapling recruitment (ingrowth) into the overstory, although rates of ingrowth were consistently low and greatly exceeded by mortality. Relationships between seedling frequency (proportion of quadrats within a plot) and overstory abundance shifted from weakly negative before treatment to positive after thinning, to neutral in the longer term. However, these relationships were overshadowed by more recent, higher-severity prescribed fire and wildfire that stimulated seedling establishment while killing advanced regeneration and overstory trees. Our results highlight the dependence of regeneration responses on the history of, and time since, fuels treatment and subsequent disturbance. Managers must be aware of this spatial and temporal complexity and plan for future disturbances that are inevitable but unpredictable in timing and severity.","author":[{"dropping-particle":"","family":"Rossman","given":"Allison K.","non-dropping-particle":"","parse-names":false,"suffix":""},{"dropping-particle":"","family":"Bakker","given":"Jonathan D.","non-dropping-particle":"","parse-names":false,"suffix":""},{"dropping-particle":"","family":"Peterson","given":"David W.","non-dropping-particle":"","parse-names":false,"suffix":""},{"dropping-particle":"","family":"Halpern","given":"Charles B.","non-dropping-particle":"","parse-names":false,"suffix":""}],"container-title":"Forests","id":"ITEM-1","issue":"8","issued":{"date-parts":[["2020","8","1"]]},"note":"tb enhanced sap recruitment but greatly exceeded by mort\n\nRelationships between seedlings freq and overstory abundance shifted from weakly negative before treatment to positive after thinning, nuetral in longrun\n\nHigher sev fire and wildfire +","page":"888","publisher":"MDPI AG","title":"Long-term effects of fuels treatments, overstory structure, and wildfire on tree regeneration in dry forests of Central Washington","type":"article-journal","volume":"11"},"uris":["http://www.mendeley.com/documents/?uuid=b4b7f84f-1bdb-3adb-aff7-6014e3b8cd2e"]}],"mendeley":{"formattedCitation":"(Rossman et al. 2020)","plainTextFormattedCitation":"(Rossman et al. 2020)","previouslyFormattedCitation":"(Rossman et al. 2020)"},"properties":{"noteIndex":0},"schema":"https://github.com/citation-style-language/schema/raw/master/csl-citation.json"}</w:instrText>
      </w:r>
      <w:r>
        <w:rPr>
          <w:rFonts w:ascii="Times New Roman" w:hAnsi="Times New Roman" w:cs="Times New Roman"/>
          <w:sz w:val="24"/>
          <w:szCs w:val="24"/>
        </w:rPr>
        <w:fldChar w:fldCharType="separate"/>
      </w:r>
      <w:r w:rsidRPr="00875ADC">
        <w:rPr>
          <w:rFonts w:ascii="Times New Roman" w:hAnsi="Times New Roman" w:cs="Times New Roman"/>
          <w:noProof/>
          <w:sz w:val="24"/>
          <w:szCs w:val="24"/>
        </w:rPr>
        <w:t>(Rossman et al. 2020)</w:t>
      </w:r>
      <w:r>
        <w:rPr>
          <w:rFonts w:ascii="Times New Roman" w:hAnsi="Times New Roman" w:cs="Times New Roman"/>
          <w:sz w:val="24"/>
          <w:szCs w:val="24"/>
        </w:rPr>
        <w:fldChar w:fldCharType="end"/>
      </w:r>
      <w:r>
        <w:rPr>
          <w:rFonts w:ascii="Times New Roman" w:hAnsi="Times New Roman" w:cs="Times New Roman"/>
          <w:sz w:val="24"/>
          <w:szCs w:val="24"/>
        </w:rPr>
        <w:t xml:space="preserve">.  The precolonial fire return interval was 6 to 21 years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{"citationItems":[{"id":"ITEM-1","itemData":{"DOI":"10.2737/PNW-RP-577","author":[{"dropping-particle":"","family":"Agee","given":"James K.","non-dropping-particle":"","parse-names":false,"suffix":""},{"dropping-particle":"","family":"Lehmkuhl","given":"John F.","non-dropping-particle":"","parse-names":false,"suffix":""}],"container-title":"Res. Pap. PNW-RP-577. Portland, OR: U.S. Department of Agriculture, Forest Service, Pacific Northwest Research Station. 158 p.","id":"ITEM-1","issued":{"date-parts":[["2009"]]},"number-of-pages":"158","publisher-place":"Portland, OR","title":"Dry forests of the Northeastern Cascades Fire and Fire Surrogate project site, Mission Creek, Okanogan-Wenatchee National Forest","type":"report","volume":"577"},"uris":["http://www.mendeley.com/documents/?uuid=5cdf019a-e01d-3ec8-b1ad-68fcf0ad3073"]}],"mendeley":{"formattedCitation":"(Agee and Lehmkuhl 2009)","plainTextFormattedCitation":"(Agee and Lehmkuhl 2009)","previouslyFormattedCitation":"(Agee and Lehmkuhl 2009)"},"properties":{"noteIndex":0},"schema":"https://github.com/citation-style-language/schema/raw/master/csl-citation.json"}</w:instrText>
      </w:r>
      <w:r>
        <w:rPr>
          <w:rFonts w:ascii="Times New Roman" w:hAnsi="Times New Roman" w:cs="Times New Roman"/>
          <w:sz w:val="24"/>
          <w:szCs w:val="24"/>
        </w:rPr>
        <w:fldChar w:fldCharType="separate"/>
      </w:r>
      <w:r w:rsidRPr="00875ADC">
        <w:rPr>
          <w:rFonts w:ascii="Times New Roman" w:hAnsi="Times New Roman" w:cs="Times New Roman"/>
          <w:noProof/>
          <w:sz w:val="24"/>
          <w:szCs w:val="24"/>
        </w:rPr>
        <w:t>(Agee and Lehmkuhl 2009)</w:t>
      </w:r>
      <w:r>
        <w:rPr>
          <w:rFonts w:ascii="Times New Roman" w:hAnsi="Times New Roman" w:cs="Times New Roman"/>
          <w:sz w:val="24"/>
          <w:szCs w:val="24"/>
        </w:rPr>
        <w:fldChar w:fldCharType="end"/>
      </w:r>
      <w:r>
        <w:rPr>
          <w:rFonts w:ascii="Times New Roman" w:hAnsi="Times New Roman" w:cs="Times New Roman"/>
          <w:sz w:val="24"/>
          <w:szCs w:val="24"/>
        </w:rPr>
        <w:t xml:space="preserve">.  Since the 1930s, however, fire-suppression and removal of Native Americans from the landscape has resulted in a buildup of fuels and increase of shade-tolerant, fire-intolerant tree species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{"citationItems":[{"id":"ITEM-1","itemData":{"DOI":"10.1016/S0378-1127(03)00052-5","ISSN":"03781127","abstract":"Fire was arguably the most important forest and rangeland disturbance process in the Inland Northwest United States for millennia. Prior to the Lewis and Clark expedition, fire regimes ranged from high severity with return intervals of one to five centuries, to low severity with fire-free periods lasting three decades or less. Indoamerican burning contributed to the fire ecology of grasslands and lower and mid-montane dry forests, especially where ponderosa pine was the dominant overstory species, but the extent of this contribution is difficult to quantify. Two centuries of settlement, exploitation, management, and climate variation have transformed the fire regimes, vegetation and fuel patterns, and overall functionality of these forests. We present a narrative that portrays conditions beginning at the first contact of Euro-American settlers with Indoamericans of the region and extending to the present. Due in part to its geographic isolation, the Inland Northwest was among the last regions to be discovered by Euro-Americans. In 200 years the region has undergone fur trapping and trading, sheep, cattle, and horse grazing, timber harvesting, mining, road construction, native grassland conversion to agricultural production, urban and rural area development, fire prevention, and fire suppression. We highlight key changes to forest landscape patterns and processes that occurred under these combined influences, discuss implications of the changes, and progress towards restoring sustainability. An adaptive ecosystem management model has been adopted by public land management agencies to remedy current conditions. Ecosystem management is a relatively new concept that emphasizes the integrity and sustainability of land systems rather than outputs from the land. Adaptive management emphasizes the twin notions that incomplete knowledge and high degrees of risk and uncertainty about earth and climate systems will always limit land and resource planning and management decisions, and that management is chiefly a learning and adapting process. We discuss current issues and future options associated with ecosystem management, including the low likelihood of social consensus concerning desired outcomes, the lack of integrated planning, analysis, and decision support tools, and mismatches between existing land management planning processes, Congressional appropriations, and complex management and restoration problems.","author":[{"dropping-particle":"","family":"Hessburg","given":"Paul F.","non-dropping-particle":"","parse-names":false,"suffix":""},{"dropping-particle":"","family":"Agee","given":"James K.","non-dropping-particle":"","parse-names":false,"suffix":""}],"container-title":"Forest Ecology and Management","id":"ITEM-1","issue":"1-2","issued":{"date-parts":[["2003","6","3"]]},"page":"23-59","publisher":"Elsevier","title":"An environmental narrative of Inland Northwest United States forests, 1800-2000","type":"paper-conference","volume":"178"},"uris":["http://www.mendeley.com/documents/?uuid=272aed35-13b8-317d-be1d-9d3cbaf3e292"]}],"mendeley":{"formattedCitation":"(Hessburg and Agee 2003)","plainTextFormattedCitation":"(Hessburg and Agee 2003)","previouslyFormattedCitation":"(Hessburg and Agee 2003)"},"properties":{"noteIndex":0},"schema":"https://github.com/citation-style-language/schema/raw/master/csl-citation.json"}</w:instrText>
      </w:r>
      <w:r>
        <w:rPr>
          <w:rFonts w:ascii="Times New Roman" w:hAnsi="Times New Roman" w:cs="Times New Roman"/>
          <w:sz w:val="24"/>
          <w:szCs w:val="24"/>
        </w:rPr>
        <w:fldChar w:fldCharType="separate"/>
      </w:r>
      <w:r w:rsidRPr="00875ADC">
        <w:rPr>
          <w:rFonts w:ascii="Times New Roman" w:hAnsi="Times New Roman" w:cs="Times New Roman"/>
          <w:noProof/>
          <w:sz w:val="24"/>
          <w:szCs w:val="24"/>
        </w:rPr>
        <w:t>(Hessburg and Agee 2003)</w:t>
      </w:r>
      <w:r>
        <w:rPr>
          <w:rFonts w:ascii="Times New Roman" w:hAnsi="Times New Roman" w:cs="Times New Roman"/>
          <w:sz w:val="24"/>
          <w:szCs w:val="24"/>
        </w:rPr>
        <w:fldChar w:fldCharType="end"/>
      </w:r>
      <w:r>
        <w:rPr>
          <w:rFonts w:ascii="Times New Roman" w:hAnsi="Times New Roman" w:cs="Times New Roman"/>
          <w:sz w:val="24"/>
          <w:szCs w:val="24"/>
        </w:rPr>
        <w:t xml:space="preserve">.  Today, structure and composition is highly affected by site moisture, which is largely driven by topography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{"citationItems":[{"id":"ITEM-1","itemData":{"DOI":"10.2737/PNW-RP-577","author":[{"dropping-particle":"","family":"Agee","given":"James K.","non-dropping-particle":"","parse-names":false,"suffix":""},{"dropping-particle":"","family":"Lehmkuhl","given":"John F.","non-dropping-particle":"","parse-names":false,"suffix":""}],"container-title":"Res. Pap. PNW-RP-577. Portland, OR: U.S. Department of Agriculture, Forest Service, Pacific Northwest Research Station. 158 p.","id":"ITEM-1","issued":{"date-parts":[["2009"]]},"number-of-pages":"158","publisher-place":"Portland, OR","title":"Dry forests of the Northeastern Cascades Fire and Fire Surrogate project site, Mission Creek, Okanogan-Wenatchee National Forest","type":"report","volume":"577"},"uris":["http://www.mendeley.com/documents/?uuid=5cdf019a-e01d-3ec8-b1ad-68fcf0ad3073"]}],"mendeley":{"formattedCitation":"(Agee and Lehmkuhl 2009)","plainTextFormattedCitation":"(Agee and Lehmkuhl 2009)","previouslyFormattedCitation":"(Agee and Lehmkuhl 2009)"},"properties":{"noteIndex":0},"schema":"https://github.com/citation-style-language/schema/raw/master/csl-citation.json"}</w:instrText>
      </w:r>
      <w:r>
        <w:rPr>
          <w:rFonts w:ascii="Times New Roman" w:hAnsi="Times New Roman" w:cs="Times New Roman"/>
          <w:sz w:val="24"/>
          <w:szCs w:val="24"/>
        </w:rPr>
        <w:fldChar w:fldCharType="separate"/>
      </w:r>
      <w:r w:rsidRPr="00AC78D4">
        <w:rPr>
          <w:rFonts w:ascii="Times New Roman" w:hAnsi="Times New Roman" w:cs="Times New Roman"/>
          <w:noProof/>
          <w:sz w:val="24"/>
          <w:szCs w:val="24"/>
        </w:rPr>
        <w:t>(Agee and Lehmkuhl 2009)</w:t>
      </w:r>
      <w:r>
        <w:rPr>
          <w:rFonts w:ascii="Times New Roman" w:hAnsi="Times New Roman" w:cs="Times New Roman"/>
          <w:sz w:val="24"/>
          <w:szCs w:val="24"/>
        </w:rPr>
        <w:fldChar w:fldCharType="end"/>
      </w:r>
      <w:r>
        <w:rPr>
          <w:rFonts w:ascii="Times New Roman" w:hAnsi="Times New Roman" w:cs="Times New Roman"/>
          <w:sz w:val="24"/>
          <w:szCs w:val="24"/>
        </w:rPr>
        <w:t>.</w:t>
      </w:r>
    </w:p>
    <w:p w14:paraId="5CCF4867" w14:textId="77777777" w:rsidR="00193086" w:rsidRDefault="00193086" w:rsidP="00193086">
      <w:pPr>
        <w:spacing w:after="0"/>
        <w:rPr>
          <w:rFonts w:ascii="Times New Roman" w:hAnsi="Times New Roman" w:cs="Times New Roman"/>
          <w:sz w:val="24"/>
          <w:szCs w:val="24"/>
        </w:rPr>
      </w:pPr>
    </w:p>
    <w:p w14:paraId="17198424" w14:textId="77777777" w:rsidR="00193086" w:rsidRDefault="00193086" w:rsidP="00193086">
      <w:pPr>
        <w:spacing w:after="0"/>
        <w:rPr>
          <w:rFonts w:ascii="Times New Roman" w:hAnsi="Times New Roman" w:cs="Times New Roman"/>
          <w:i/>
          <w:iCs/>
          <w:sz w:val="24"/>
          <w:szCs w:val="24"/>
        </w:rPr>
      </w:pPr>
      <w:r>
        <w:rPr>
          <w:rFonts w:ascii="Times New Roman" w:hAnsi="Times New Roman" w:cs="Times New Roman"/>
          <w:i/>
          <w:iCs/>
          <w:sz w:val="24"/>
          <w:szCs w:val="24"/>
        </w:rPr>
        <w:lastRenderedPageBreak/>
        <w:t>Treatment selection and implementation</w:t>
      </w:r>
    </w:p>
    <w:p w14:paraId="48EF220F" w14:textId="77777777" w:rsidR="00193086" w:rsidRDefault="00193086" w:rsidP="00193086">
      <w:pPr>
        <w:spacing w:after="0"/>
        <w:rPr>
          <w:rFonts w:ascii="Times New Roman" w:hAnsi="Times New Roman" w:cs="Times New Roman"/>
          <w:sz w:val="24"/>
          <w:szCs w:val="24"/>
        </w:rPr>
      </w:pPr>
      <w:r>
        <w:rPr>
          <w:rFonts w:ascii="Times New Roman" w:hAnsi="Times New Roman" w:cs="Times New Roman"/>
          <w:sz w:val="24"/>
          <w:szCs w:val="24"/>
        </w:rPr>
        <w:tab/>
        <w:t xml:space="preserve">The study was designed to experimentally test the effects of four treatments: control, burn, thin, and thin plus burn.  In the late 1990s, researchers randomly chose 12 experimental units of ten hectares or larger, from a field of 30 potential units.  Within the 12 chosen units, researchers randomly assigned three replicates for each of four treatments.  Four units were changed from their initial assignment due to operator concerns about logistics and safety of prescribed burning, given proximity to structures for two of the units.  Units were chosen to be roughly rectangular in shape, 90% forested, with slopes averaging less than 50%, and primarily consisting of the </w:t>
      </w:r>
      <w:r>
        <w:rPr>
          <w:rFonts w:ascii="Times New Roman" w:hAnsi="Times New Roman" w:cs="Times New Roman"/>
          <w:i/>
          <w:iCs/>
          <w:sz w:val="24"/>
          <w:szCs w:val="24"/>
        </w:rPr>
        <w:t xml:space="preserve">Pseudotsuga menziesii </w:t>
      </w:r>
      <w:r>
        <w:rPr>
          <w:rFonts w:ascii="Times New Roman" w:hAnsi="Times New Roman" w:cs="Times New Roman"/>
          <w:sz w:val="24"/>
          <w:szCs w:val="24"/>
        </w:rPr>
        <w:t xml:space="preserve">series of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10.2737/PNW-GTR-359","author":[{"dropping-particle":"","family":"Lillybridge","given":"T.R.","non-dropping-particle":"","parse-names":false,"suffix":""},{"dropping-particle":"","family":"Kovalchik","given":"B.L.","non-dropping-particle":"","parse-names":false,"suffix":""},{"dropping-particle":"","family":"Williams","given":"C.K.","non-dropping-particle":"","parse-names":false,"suffix":""},{"dropping-particle":"","family":"Smith","given":"B.G.","non-dropping-particle":"","parse-names":false,"suffix":""}],"container-title":"Gen. Tech. Rep. PNW-GTR-359. Portland, OR: U.S. Department of Agriculture, Forest Service, Pacific Northwest Research Station. 335 p. In cooperation with: Pacific Northwest Region, Wenatchee National Forest","id":"ITEM-1","issued":{"date-parts":[["1995"]]},"publisher-place":"Portland, OR","title":"Field guide for forested plant associations of the Wenatchee National Forest.","type":"report","volume":"359"},"uris":["http://www.mendeley.com/documents/?uuid=a1973442-4358-3e0e-8dcc-3389b6a53669"]}],"mendeley":{"formattedCitation":"(Lillybridge et al. 1995)","manualFormatting":"Lillybridge et al. (1995)","plainTextFormattedCitation":"(Lillybridge et al. 1995)","previouslyFormattedCitation":"(Lillybridge et al. 1995)"},"properties":{"noteIndex":0},"schema":"https://github.com/citation-style-language/schema/raw/master/csl-citation.json"}</w:instrText>
      </w:r>
      <w:r>
        <w:rPr>
          <w:rFonts w:ascii="Times New Roman" w:hAnsi="Times New Roman" w:cs="Times New Roman"/>
          <w:sz w:val="24"/>
          <w:szCs w:val="24"/>
        </w:rPr>
        <w:fldChar w:fldCharType="separate"/>
      </w:r>
      <w:r w:rsidRPr="0091679C">
        <w:rPr>
          <w:rFonts w:ascii="Times New Roman" w:hAnsi="Times New Roman" w:cs="Times New Roman"/>
          <w:noProof/>
          <w:sz w:val="24"/>
          <w:szCs w:val="24"/>
        </w:rPr>
        <w:t xml:space="preserve">Lillybridge et al. </w:t>
      </w:r>
      <w:r>
        <w:rPr>
          <w:rFonts w:ascii="Times New Roman" w:hAnsi="Times New Roman" w:cs="Times New Roman"/>
          <w:noProof/>
          <w:sz w:val="24"/>
          <w:szCs w:val="24"/>
        </w:rPr>
        <w:t>(</w:t>
      </w:r>
      <w:r w:rsidRPr="0091679C">
        <w:rPr>
          <w:rFonts w:ascii="Times New Roman" w:hAnsi="Times New Roman" w:cs="Times New Roman"/>
          <w:noProof/>
          <w:sz w:val="24"/>
          <w:szCs w:val="24"/>
        </w:rPr>
        <w:t>1995)</w:t>
      </w:r>
      <w:r>
        <w:rPr>
          <w:rFonts w:ascii="Times New Roman" w:hAnsi="Times New Roman" w:cs="Times New Roman"/>
          <w:sz w:val="24"/>
          <w:szCs w:val="24"/>
        </w:rPr>
        <w:fldChar w:fldCharType="end"/>
      </w:r>
      <w:r>
        <w:rPr>
          <w:rFonts w:ascii="Times New Roman" w:hAnsi="Times New Roman" w:cs="Times New Roman"/>
          <w:sz w:val="24"/>
          <w:szCs w:val="24"/>
        </w:rPr>
        <w:t xml:space="preserve">. Thinning projects were implemented in 2002 or 2003, and burning projects were delayed to 2004 or 2006 due to weather.  2004 burns were of lower intensity and severity than prescribed, while 2006 burns met management goals.  In 2012, a wildfire (the Poison Fire) burned four replicates: two controls, one thin, and one burn unit.  The long-term experimental balance therefore consists of three thinburn units, two thin units, two burn units, and one control unit (figure 4)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{"citationItems":[{"id":"ITEM-1","itemData":{"DOI":"10.2737/PNW-RP-577","author":[{"dropping-particle":"","family":"Agee","given":"James K.","non-dropping-particle":"","parse-names":false,"suffix":""},{"dropping-particle":"","family":"Lehmkuhl","given":"John F.","non-dropping-particle":"","parse-names":false,"suffix":""}],"container-title":"Res. Pap. PNW-RP-577. Portland, OR: U.S. Department of Agriculture, Forest Service, Pacific Northwest Research Station. 158 p.","id":"ITEM-1","issued":{"date-parts":[["2009"]]},"number-of-pages":"158","publisher-place":"Portland, OR","title":"Dry forests of the Northeastern Cascades Fire and Fire Surrogate project site, Mission Creek, Okanogan-Wenatchee National Forest","type":"report","volume":"577"},"uris":["http://www.mendeley.com/documents/?uuid=5cdf019a-e01d-3ec8-b1ad-68fcf0ad3073"]}],"mendeley":{"formattedCitation":"(Agee and Lehmkuhl 2009)","plainTextFormattedCitation":"(Agee and Lehmkuhl 2009)","previouslyFormattedCitation":"(Agee and Lehmkuhl 2009)"},"properties":{"noteIndex":0},"schema":"https://github.com/citation-style-language/schema/raw/master/csl-citation.json"}</w:instrText>
      </w:r>
      <w:r>
        <w:rPr>
          <w:rFonts w:ascii="Times New Roman" w:hAnsi="Times New Roman" w:cs="Times New Roman"/>
          <w:sz w:val="24"/>
          <w:szCs w:val="24"/>
        </w:rPr>
        <w:fldChar w:fldCharType="separate"/>
      </w:r>
      <w:r w:rsidRPr="00EB72B2">
        <w:rPr>
          <w:rFonts w:ascii="Times New Roman" w:hAnsi="Times New Roman" w:cs="Times New Roman"/>
          <w:noProof/>
          <w:sz w:val="24"/>
          <w:szCs w:val="24"/>
        </w:rPr>
        <w:t>(Agee and Lehmkuhl 2009)</w:t>
      </w:r>
      <w:r>
        <w:rPr>
          <w:rFonts w:ascii="Times New Roman" w:hAnsi="Times New Roman" w:cs="Times New Roman"/>
          <w:sz w:val="24"/>
          <w:szCs w:val="24"/>
        </w:rPr>
        <w:fldChar w:fldCharType="end"/>
      </w:r>
      <w:r>
        <w:rPr>
          <w:rFonts w:ascii="Times New Roman" w:hAnsi="Times New Roman" w:cs="Times New Roman"/>
          <w:sz w:val="24"/>
          <w:szCs w:val="24"/>
        </w:rPr>
        <w:t xml:space="preserve">. </w:t>
      </w:r>
    </w:p>
    <w:p w14:paraId="18FA7025" w14:textId="77777777" w:rsidR="00193086" w:rsidRDefault="00193086" w:rsidP="00193086">
      <w:pPr>
        <w:spacing w:after="0"/>
        <w:rPr>
          <w:rFonts w:ascii="Times New Roman" w:hAnsi="Times New Roman" w:cs="Times New Roman"/>
          <w:sz w:val="24"/>
          <w:szCs w:val="24"/>
        </w:rPr>
      </w:pPr>
    </w:p>
    <w:p w14:paraId="5AACF4FC" w14:textId="77777777" w:rsidR="00193086" w:rsidRDefault="00193086" w:rsidP="00193086">
      <w:pPr>
        <w:spacing w:after="0"/>
        <w:rPr>
          <w:rFonts w:ascii="Times New Roman" w:hAnsi="Times New Roman" w:cs="Times New Roman"/>
          <w:i/>
          <w:iCs/>
          <w:sz w:val="24"/>
          <w:szCs w:val="24"/>
        </w:rPr>
      </w:pPr>
      <w:r>
        <w:rPr>
          <w:rFonts w:ascii="Times New Roman" w:hAnsi="Times New Roman" w:cs="Times New Roman"/>
          <w:i/>
          <w:iCs/>
          <w:sz w:val="24"/>
          <w:szCs w:val="24"/>
        </w:rPr>
        <w:t>Data collection</w:t>
      </w:r>
    </w:p>
    <w:p w14:paraId="383F5491" w14:textId="252C5003" w:rsidR="00193086" w:rsidRPr="00EB72B2" w:rsidRDefault="00193086" w:rsidP="00193086">
      <w:pPr>
        <w:spacing w:after="0"/>
        <w:rPr>
          <w:rFonts w:ascii="Times New Roman" w:hAnsi="Times New Roman" w:cs="Times New Roman"/>
          <w:sz w:val="24"/>
          <w:szCs w:val="24"/>
        </w:rPr>
      </w:pPr>
      <w:r>
        <w:rPr>
          <w:rFonts w:ascii="Times New Roman" w:hAnsi="Times New Roman" w:cs="Times New Roman"/>
          <w:i/>
          <w:iCs/>
          <w:sz w:val="24"/>
          <w:szCs w:val="24"/>
        </w:rPr>
        <w:tab/>
      </w:r>
      <w:r>
        <w:rPr>
          <w:rFonts w:ascii="Times New Roman" w:hAnsi="Times New Roman" w:cs="Times New Roman"/>
          <w:sz w:val="24"/>
          <w:szCs w:val="24"/>
        </w:rPr>
        <w:t>In 2019 and 2020, I led field crews resampling fuel plots.  We sampled 2</w:t>
      </w:r>
      <w:r w:rsidR="00BD00BF">
        <w:rPr>
          <w:rFonts w:ascii="Times New Roman" w:hAnsi="Times New Roman" w:cs="Times New Roman"/>
          <w:sz w:val="24"/>
          <w:szCs w:val="24"/>
        </w:rPr>
        <w:t>04</w:t>
      </w:r>
      <w:r>
        <w:rPr>
          <w:rFonts w:ascii="Times New Roman" w:hAnsi="Times New Roman" w:cs="Times New Roman"/>
          <w:sz w:val="24"/>
          <w:szCs w:val="24"/>
        </w:rPr>
        <w:t xml:space="preserve"> plots: </w:t>
      </w:r>
      <w:r w:rsidR="00BD00BF">
        <w:rPr>
          <w:rFonts w:ascii="Times New Roman" w:hAnsi="Times New Roman" w:cs="Times New Roman"/>
          <w:sz w:val="24"/>
          <w:szCs w:val="24"/>
        </w:rPr>
        <w:t>66</w:t>
      </w:r>
      <w:r>
        <w:rPr>
          <w:rFonts w:ascii="Times New Roman" w:hAnsi="Times New Roman" w:cs="Times New Roman"/>
          <w:sz w:val="24"/>
          <w:szCs w:val="24"/>
        </w:rPr>
        <w:t xml:space="preserve"> thin plus burn plots from three units, 58 burn plots from two units, 55 thin plots from 2 units, and 25 control plots from one unit.  The protocols below match those followed in pretreatment and short-term surveys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{"citationItems":[{"id":"ITEM-1","itemData":{"DOI":"10.4996/fireecology.0202003","ISSN":"1933-9747","abstract":"Prescribed fire and low thinning were applied to dry forests dominated\\nby ponderosa pine\\n\\n(Pinus ponderosa) and Douglas-fir (Pseudotsuga menziesii) in the eastern\\nWashington\\n\\nCascades. Experimental design was an unbalanced analysis of variance\\nwith 4 control units, 4\\n\\nthin units, 2 burn units and 2 thin/burn units. Thinning was designed\\nto reduce basal area to 10-\\n\\n14 m2 ha-1 in a non-uniform pattern and burning was a low intensity\\nspring burn. Burn\\n\\ncoverage was spotty, ranging from 23-51%, and considered ineffective\\nin reducing fuels at the\\n\\ntime of application by management and research personnel. Both thinning\\nand burning had\\n\\neffects on vegetation and fuels variables. Thinning reduced canopy\\nclosure, canopy bulk\\n\\ndensity, and basal area, and increased canopy base height. Burning\\nhad no influence on these\\n\\ncanopy variables. Thinning increased 10-hr timelag (0.62-2.54 cm)\\nfuels. Burning decreased\\n\\n1-hr (0-0.62 cm) and 10-hr timelag fuels, forest floor depth and mass,\\nand increased fuelbed\\n\\ndepth. There were interactions between thinning and burning for 1-hr\\nand 10-hr timelag fuels,\\n\\nand fuelbed depth. These differences in fuel properties did not translate\\ninto differences in\\n\\nsimulated wildfire behavior and tree mortality. Thinning did increase\\npotential surface fire\\n\\nflame length under 97 percentile weather, and active crown fire potential\\ndecreased on thinned\\n\\nunits, but basal area survival did not significantly differ between\\ntreatments under 80 and 97\\n\\npercentile weather. The scale at which data are presented has a large\\ninfluence on interpretation\\n\\nof results. For example, torching fire behavior, expressed as an average\\nat the unit level, was\\n\\nlow, but 17% of the individual plots (about 30 plots total per unit)\\nacross all treatments did\\n\\nexhibit potential torching behavior.","author":[{"dropping-particle":"","family":"Agee","given":"James K.","non-dropping-particle":"","parse-names":false,"suffix":""},{"dropping-particle":"","family":"Lolley","given":"M. Reese","non-dropping-particle":"","parse-names":false,"suffix":""}],"container-title":"Fire Ecology","id":"ITEM-1","issue":"2","issued":{"date-parts":[["2006","12"]]},"note":"Thinning increased 10 hour fuels, increased potential surface flame length, but not active crown fire\n\nburning &amp;quot;ineffective&amp;quot;\n\nUnbalanced design\n\nburning decreased 1 10 forest floor depth mass, and increased fuelbed depth\n\ntb interaction for 1 10 fuelbed depth\n-did not translate into differences in sim fire\n\n~\n\nstand reconstructions showed that these trees sometimes survived many 20-30 fires\n\nclimate a mix of maritime and continental\n\nUnits of 10 ha specified for breeding bird surveys\n\nThinning objectives\nincrease resistance to bark beetle attack\n10-14ha\nlow thin\nhelicopter\n\nBurn coverage estimated visually on 900m2 plots around each sample plot\n\nRitchy Harrod did floristic samples\n\npre and post-treatment shrub and herb data exported to FUELCALC\n\nmarginal sum of squares test for unbalanced design\n\nVariables with slightly different collection protocol measured using ANCOVA\n\nWe should do ANCOVA to account for treatment differences\n\ntransformed herb biomass, 1 hour, 1000 hour rotten, canopy base height, forest floor biomass needed transformation but that didn't help\n&amp;quot;if significant these results should be interpreted cautiously&amp;quot;\n\nFire behavior estimated using NEXUS\n\nModelled each unit with actual slope and fixed 45% slope\n\nA megagram is a metric ton\n\nNeed to read more of it","page":"3-19","publisher":"Springer Science and Business Media LLC","title":"Thinning and Prescribed Fire Effects on Fuels and Potential Fire Behavior in an Eastern Cascades Forest, Washington, USA","type":"article-journal","volume":"2"},"uris":["http://www.mendeley.com/documents/?uuid=b6efc976-1dee-3df2-a93f-99d4d34dde14"]},{"id":"ITEM-2","itemData":{"DOI":"10.2737/PNW-RP-577","author":[{"dropping-particle":"","family":"Agee","given":"James K.","non-dropping-particle":"","parse-names":false,"suffix":""},{"dropping-particle":"","family":"Lehmkuhl","given":"John F.","non-dropping-particle":"","parse-names":false,"suffix":""}],"container-title":"Res. Pap. PNW-RP-577. Portland, OR: U.S. Department of Agriculture, Forest Service, Pacific Northwest Research Station. 158 p.","id":"ITEM-2","issued":{"date-parts":[["2009"]]},"number-of-pages":"158","publisher-place":"Portland, OR","title":"Dry forests of the Northeastern Cascades Fire and Fire Surrogate project site, Mission Creek, Okanogan-Wenatchee National Forest","type":"report","volume":"577"},"uris":["http://www.mendeley.com/documents/?uuid=5cdf019a-e01d-3ec8-b1ad-68fcf0ad3073"]}],"mendeley":{"formattedCitation":"(Agee and Lolley 2006, Agee and Lehmkuhl 2009)","plainTextFormattedCitation":"(Agee and Lolley 2006, Agee and Lehmkuhl 2009)","previouslyFormattedCitation":"(Agee and Lolley 2006, Agee and Lehmkuhl 2009)"},"properties":{"noteIndex":0},"schema":"https://github.com/citation-style-language/schema/raw/master/csl-citation.json"}</w:instrText>
      </w:r>
      <w:r>
        <w:rPr>
          <w:rFonts w:ascii="Times New Roman" w:hAnsi="Times New Roman" w:cs="Times New Roman"/>
          <w:sz w:val="24"/>
          <w:szCs w:val="24"/>
        </w:rPr>
        <w:fldChar w:fldCharType="separate"/>
      </w:r>
      <w:r w:rsidRPr="00EF1029">
        <w:rPr>
          <w:rFonts w:ascii="Times New Roman" w:hAnsi="Times New Roman" w:cs="Times New Roman"/>
          <w:noProof/>
          <w:sz w:val="24"/>
          <w:szCs w:val="24"/>
        </w:rPr>
        <w:t>(Agee and Lolley 2006, Agee and Lehmkuhl 2009)</w:t>
      </w:r>
      <w:r>
        <w:rPr>
          <w:rFonts w:ascii="Times New Roman" w:hAnsi="Times New Roman" w:cs="Times New Roman"/>
          <w:sz w:val="24"/>
          <w:szCs w:val="24"/>
        </w:rPr>
        <w:fldChar w:fldCharType="end"/>
      </w:r>
      <w:r>
        <w:rPr>
          <w:rFonts w:ascii="Times New Roman" w:hAnsi="Times New Roman" w:cs="Times New Roman"/>
          <w:sz w:val="24"/>
          <w:szCs w:val="24"/>
        </w:rPr>
        <w:t xml:space="preserve">, except where noted.  </w:t>
      </w:r>
    </w:p>
    <w:p w14:paraId="709C2387" w14:textId="77777777" w:rsidR="00193086" w:rsidRDefault="00193086" w:rsidP="00193086">
      <w:pPr>
        <w:spacing w:after="0"/>
        <w:rPr>
          <w:rFonts w:ascii="Times New Roman" w:hAnsi="Times New Roman" w:cs="Times New Roman"/>
          <w:sz w:val="24"/>
          <w:szCs w:val="24"/>
        </w:rPr>
      </w:pPr>
      <w:r>
        <w:rPr>
          <w:rFonts w:ascii="Times New Roman" w:hAnsi="Times New Roman" w:cs="Times New Roman"/>
          <w:sz w:val="24"/>
          <w:szCs w:val="24"/>
        </w:rPr>
        <w:tab/>
        <w:t xml:space="preserve">We measured vegetation structure and fuel profiles following standard approaches.  At each plot we measured trees, shrub and herb fuels, fuel model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{"citationItems":[{"id":"ITEM-1","itemData":{"DOI":"10.2737/INT-GTR-122","abstract":"RESEARCH SUMMARY This report presents photographic examples, tabulations , and a similarity chart to assist fire behavior officers , fuel management specialists, and other field personnel in selecting a fuel model appropriate for a specific field situation. Proper selection of a fuel model is a critical step in the mathematical modeling of fire behavior and fire danger rating. This guide will facilitate the selection of the proper fire behavior fuel model and will allow comparison with fire danger rating fuel models. The 13 fire behavior fuel models are presented in 4 fuel groups: grasslands, shrublands, timber, and slash. Each group comprises three or more fuel models; two or more photographs illustrate field situations relevant to each fuel model. The 13 fire behavior fuel models are cross-referenced to the 20 fuel models of the National Fire Danger Rating System by means of a similarity chart. Fire behavior fuel models and fire danger rating fuel models, along with the fire-carrying features of the model and its physical characteristics, are described in detail.","author":[{"dropping-particle":"","family":"Anderson","given":"Hal E.","non-dropping-particle":"","parse-names":false,"suffix":""}],"container-title":"Gen. Tech. Rep. INT-122. Ogden, Utah: U.S.Department of Agriculture, Forest Service, Intermountain Forest and Range Experiment Station. 22p.","id":"ITEM-1","issued":{"date-parts":[["1982"]]},"publisher-place":"Ogden, UT","title":"Aids to determining fuel models for estimating fire behavior","type":"report","volume":"122"},"uris":["http://www.mendeley.com/documents/?uuid=9feabcb3-9583-377e-bbb5-6803ff1a109e"]}],"mendeley":{"formattedCitation":"(Anderson 1982)","plainTextFormattedCitation":"(Anderson 1982)","previouslyFormattedCitation":"(Anderson 1982)"},"properties":{"noteIndex":0},"schema":"https://github.com/citation-style-language/schema/raw/master/csl-citation.json"}</w:instrText>
      </w:r>
      <w:r>
        <w:rPr>
          <w:rFonts w:ascii="Times New Roman" w:hAnsi="Times New Roman" w:cs="Times New Roman"/>
          <w:sz w:val="24"/>
          <w:szCs w:val="24"/>
        </w:rPr>
        <w:fldChar w:fldCharType="separate"/>
      </w:r>
      <w:r w:rsidRPr="00160B29">
        <w:rPr>
          <w:rFonts w:ascii="Times New Roman" w:hAnsi="Times New Roman" w:cs="Times New Roman"/>
          <w:noProof/>
          <w:sz w:val="24"/>
          <w:szCs w:val="24"/>
        </w:rPr>
        <w:t>(Anderson 1982)</w:t>
      </w:r>
      <w:r>
        <w:rPr>
          <w:rFonts w:ascii="Times New Roman" w:hAnsi="Times New Roman" w:cs="Times New Roman"/>
          <w:sz w:val="24"/>
          <w:szCs w:val="24"/>
        </w:rPr>
        <w:fldChar w:fldCharType="end"/>
      </w:r>
      <w:r>
        <w:rPr>
          <w:rFonts w:ascii="Times New Roman" w:hAnsi="Times New Roman" w:cs="Times New Roman"/>
          <w:sz w:val="24"/>
          <w:szCs w:val="24"/>
        </w:rPr>
        <w:t xml:space="preserve">, and canopy cover in a circular plot, and surface fuels in two Brown’s transects (figure 5)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{"citationItems":[{"id":"ITEM-1","itemData":{"DOI":"10.1093/FORESTSCIENCE/17.1.96","ISSN":"0015-749X","abstract":"The method requires a tally of intersections between sampling planes and vegetative particles categorized by size and shape classes. These planes may be of any size and positioned at any orientation with respect to the ground. The method applies to both randomly and nonrandomly oriented particles that approximate either circles or rectangles in cross section. Estimates that accounted for all angles of particle intersection were more accurate than estimates that assumed perpendicular angles of intersection in a cheatgrass field test. Forest Sci. 17:96-102.","author":[{"dropping-particle":"","family":"Brown","given":"James K.","non-dropping-particle":"","parse-names":false,"suffix":""}],"container-title":"Forest Science","id":"ITEM-1","issue":"1","issued":{"date-parts":[["1971","3","1"]]},"page":"96-102","publisher":"Oxford Academic","title":"A Planar Intersect Method for Sampling Fuel Volume and Surface Area","type":"article-journal","volume":"17"},"uris":["http://www.mendeley.com/documents/?uuid=b6a77ac9-0868-3293-a7a8-5dd54ad9ddb2"]}],"mendeley":{"formattedCitation":"(Brown 1971)","plainTextFormattedCitation":"(Brown 1971)","previouslyFormattedCitation":"(Brown 1971)"},"properties":{"noteIndex":0},"schema":"https://github.com/citation-style-language/schema/raw/master/csl-citation.json"}</w:instrText>
      </w:r>
      <w:r>
        <w:rPr>
          <w:rFonts w:ascii="Times New Roman" w:hAnsi="Times New Roman" w:cs="Times New Roman"/>
          <w:sz w:val="24"/>
          <w:szCs w:val="24"/>
        </w:rPr>
        <w:fldChar w:fldCharType="separate"/>
      </w:r>
      <w:r w:rsidRPr="00E35FD0">
        <w:rPr>
          <w:rFonts w:ascii="Times New Roman" w:hAnsi="Times New Roman" w:cs="Times New Roman"/>
          <w:noProof/>
          <w:sz w:val="24"/>
          <w:szCs w:val="24"/>
        </w:rPr>
        <w:t>(Brown 1971)</w:t>
      </w:r>
      <w:r>
        <w:rPr>
          <w:rFonts w:ascii="Times New Roman" w:hAnsi="Times New Roman" w:cs="Times New Roman"/>
          <w:sz w:val="24"/>
          <w:szCs w:val="24"/>
        </w:rPr>
        <w:fldChar w:fldCharType="end"/>
      </w:r>
      <w:r>
        <w:rPr>
          <w:rFonts w:ascii="Times New Roman" w:hAnsi="Times New Roman" w:cs="Times New Roman"/>
          <w:sz w:val="24"/>
          <w:szCs w:val="24"/>
        </w:rPr>
        <w:t>.  In each transect, we counted one-hour fuels for two meters,</w:t>
      </w:r>
      <w:r w:rsidRPr="005264A7">
        <w:rPr>
          <w:rFonts w:ascii="Times New Roman" w:hAnsi="Times New Roman" w:cs="Times New Roman"/>
          <w:noProof/>
          <w:sz w:val="24"/>
          <w:szCs w:val="24"/>
        </w:rPr>
        <w:t xml:space="preserve"> </w:t>
      </w:r>
      <w:r>
        <w:rPr>
          <w:rFonts w:ascii="Times New Roman" w:hAnsi="Times New Roman" w:cs="Times New Roman"/>
          <w:sz w:val="24"/>
          <w:szCs w:val="24"/>
        </w:rPr>
        <w:t xml:space="preserve">ten-hour fuels for three meters, hundred-hour fuels for five meters, and thousand-hour fuels for twenty meters.  For thousand-hour fuels, diameter, decay class, and species were also recorded.   Additionally, we measured litter depth, duff depth, and woody fuel height at three points per transect.  Shrub and herb fuel coverage, density, and height were estimated ocularly over a 25-meter plot according to BEHAVE protocols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{"citationItems":[{"id":"ITEM-1","itemData":{"DOI":"10.2737/INT-GTR-167","author":[{"dropping-particle":"","family":"Burgan","given":"Robert E.","non-dropping-particle":"","parse-names":false,"suffix":""},{"dropping-particle":"","family":"Rothermel","given":"Richard C.","non-dropping-particle":"","parse-names":false,"suffix":""}],"container-title":"General Technical Report INT-167. Ogden, UT: U. S. Department of Agriculture, Forest Service, Intermountain Forest and Range Experiment Station. 126 p.","id":"ITEM-1","issued":{"date-parts":[["1984"]]},"publisher-place":"Ogden, UT","title":"BEHAVE: fire behavior prediction and fuel modeling system--FUEL subsystem","type":"report","volume":"167"},"uris":["http://www.mendeley.com/documents/?uuid=5a2e654c-4a71-3e91-bcce-6e23c284eceb"]}],"mendeley":{"formattedCitation":"(Burgan and Rothermel 1984)","plainTextFormattedCitation":"(Burgan and Rothermel 1984)","previouslyFormattedCitation":"(Burgan and Rothermel 1984)"},"properties":{"noteIndex":0},"schema":"https://github.com/citation-style-language/schema/raw/master/csl-citation.json"}</w:instrText>
      </w:r>
      <w:r>
        <w:rPr>
          <w:rFonts w:ascii="Times New Roman" w:hAnsi="Times New Roman" w:cs="Times New Roman"/>
          <w:sz w:val="24"/>
          <w:szCs w:val="24"/>
        </w:rPr>
        <w:fldChar w:fldCharType="separate"/>
      </w:r>
      <w:r w:rsidRPr="0091679C">
        <w:rPr>
          <w:rFonts w:ascii="Times New Roman" w:hAnsi="Times New Roman" w:cs="Times New Roman"/>
          <w:noProof/>
          <w:sz w:val="24"/>
          <w:szCs w:val="24"/>
        </w:rPr>
        <w:t>(Burgan and Rothermel 1984)</w:t>
      </w:r>
      <w:r>
        <w:rPr>
          <w:rFonts w:ascii="Times New Roman" w:hAnsi="Times New Roman" w:cs="Times New Roman"/>
          <w:sz w:val="24"/>
          <w:szCs w:val="24"/>
        </w:rPr>
        <w:fldChar w:fldCharType="end"/>
      </w:r>
      <w:r>
        <w:rPr>
          <w:rFonts w:ascii="Times New Roman" w:hAnsi="Times New Roman" w:cs="Times New Roman"/>
          <w:sz w:val="24"/>
          <w:szCs w:val="24"/>
        </w:rPr>
        <w:t xml:space="preserve">.  We estimated coverage of fuel models over the same plot, using Northern Forest Fire Lab (NFFL) models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{"citationItems":[{"id":"ITEM-1","itemData":{"DOI":"10.2737/INT-GTR-122","abstract":"RESEARCH SUMMARY This report presents photographic examples, tabulations , and a similarity chart to assist fire behavior officers , fuel management specialists, and other field personnel in selecting a fuel model appropriate for a specific field situation. Proper selection of a fuel model is a critical step in the mathematical modeling of fire behavior and fire danger rating. This guide will facilitate the selection of the proper fire behavior fuel model and will allow comparison with fire danger rating fuel models. The 13 fire behavior fuel models are presented in 4 fuel groups: grasslands, shrublands, timber, and slash. Each group comprises three or more fuel models; two or more photographs illustrate field situations relevant to each fuel model. The 13 fire behavior fuel models are cross-referenced to the 20 fuel models of the National Fire Danger Rating System by means of a similarity chart. Fire behavior fuel models and fire danger rating fuel models, along with the fire-carrying features of the model and its physical characteristics, are described in detail.","author":[{"dropping-particle":"","family":"Anderson","given":"Hal E.","non-dropping-particle":"","parse-names":false,"suffix":""}],"container-title":"Gen. Tech. Rep. INT-122. Ogden, Utah: U.S.Department of Agriculture, Forest Service, Intermountain Forest and Range Experiment Station. 22p.","id":"ITEM-1","issued":{"date-parts":[["1982"]]},"publisher-place":"Ogden, UT","title":"Aids to determining fuel models for estimating fire behavior","type":"report","volume":"122"},"uris":["http://www.mendeley.com/documents/?uuid=9feabcb3-9583-377e-bbb5-6803ff1a109e"]}],"mendeley":{"formattedCitation":"(Anderson 1982)","plainTextFormattedCitation":"(Anderson 1982)","previouslyFormattedCitation":"(Anderson 1982)"},"properties":{"noteIndex":0},"schema":"https://github.com/citation-style-language/schema/raw/master/csl-citation.json"}</w:instrText>
      </w:r>
      <w:r>
        <w:rPr>
          <w:rFonts w:ascii="Times New Roman" w:hAnsi="Times New Roman" w:cs="Times New Roman"/>
          <w:sz w:val="24"/>
          <w:szCs w:val="24"/>
        </w:rPr>
        <w:fldChar w:fldCharType="separate"/>
      </w:r>
      <w:r w:rsidRPr="0091679C">
        <w:rPr>
          <w:rFonts w:ascii="Times New Roman" w:hAnsi="Times New Roman" w:cs="Times New Roman"/>
          <w:noProof/>
          <w:sz w:val="24"/>
          <w:szCs w:val="24"/>
        </w:rPr>
        <w:t>(Anderson 1982)</w:t>
      </w:r>
      <w:r>
        <w:rPr>
          <w:rFonts w:ascii="Times New Roman" w:hAnsi="Times New Roman" w:cs="Times New Roman"/>
          <w:sz w:val="24"/>
          <w:szCs w:val="24"/>
        </w:rPr>
        <w:fldChar w:fldCharType="end"/>
      </w:r>
      <w:r>
        <w:rPr>
          <w:rFonts w:ascii="Times New Roman" w:hAnsi="Times New Roman" w:cs="Times New Roman"/>
          <w:sz w:val="24"/>
          <w:szCs w:val="24"/>
        </w:rPr>
        <w:t xml:space="preserve">.  Canopy cover </w:t>
      </w:r>
      <w:r>
        <w:rPr>
          <w:rFonts w:ascii="Times New Roman" w:hAnsi="Times New Roman" w:cs="Times New Roman"/>
          <w:noProof/>
          <w:sz w:val="24"/>
          <w:szCs w:val="24"/>
        </w:rPr>
        <w:lastRenderedPageBreak/>
        <w:drawing>
          <wp:anchor distT="0" distB="0" distL="114300" distR="114300" simplePos="0" relativeHeight="251660288" behindDoc="0" locked="0" layoutInCell="1" allowOverlap="1" wp14:anchorId="3D27A6D4" wp14:editId="3537E849">
            <wp:simplePos x="0" y="0"/>
            <wp:positionH relativeFrom="column">
              <wp:posOffset>0</wp:posOffset>
            </wp:positionH>
            <wp:positionV relativeFrom="page">
              <wp:posOffset>5751771</wp:posOffset>
            </wp:positionV>
            <wp:extent cx="5868035" cy="3305810"/>
            <wp:effectExtent l="0" t="0" r="0" b="0"/>
            <wp:wrapThrough wrapText="bothSides">
              <wp:wrapPolygon edited="0">
                <wp:start x="0" y="0"/>
                <wp:lineTo x="0" y="21534"/>
                <wp:lineTo x="21528" y="21534"/>
                <wp:lineTo x="21528" y="0"/>
                <wp:lineTo x="0" y="0"/>
              </wp:wrapPolygon>
            </wp:wrapThrough>
            <wp:docPr id="32" name="Picture 32"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picture containing diagram&#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868035" cy="3305810"/>
                    </a:xfrm>
                    <a:prstGeom prst="rect">
                      <a:avLst/>
                    </a:prstGeom>
                    <a:noFill/>
                  </pic:spPr>
                </pic:pic>
              </a:graphicData>
            </a:graphic>
            <wp14:sizeRelV relativeFrom="margin">
              <wp14:pctHeight>0</wp14:pctHeight>
            </wp14:sizeRelV>
          </wp:anchor>
        </w:drawing>
      </w:r>
      <w:r>
        <w:rPr>
          <w:rFonts w:ascii="Times New Roman" w:hAnsi="Times New Roman" w:cs="Times New Roman"/>
          <w:noProof/>
          <w:sz w:val="24"/>
          <w:szCs w:val="24"/>
        </w:rPr>
        <w:drawing>
          <wp:inline distT="0" distB="0" distL="0" distR="0" wp14:anchorId="3CD7071F" wp14:editId="2038F87F">
            <wp:extent cx="5949950" cy="4828540"/>
            <wp:effectExtent l="0" t="0" r="0" b="0"/>
            <wp:docPr id="47" name="Picture 47"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website&#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9950" cy="4828540"/>
                    </a:xfrm>
                    <a:prstGeom prst="rect">
                      <a:avLst/>
                    </a:prstGeom>
                    <a:noFill/>
                  </pic:spPr>
                </pic:pic>
              </a:graphicData>
            </a:graphic>
          </wp:inline>
        </w:drawing>
      </w:r>
      <w:r>
        <w:rPr>
          <w:rFonts w:ascii="Times New Roman" w:hAnsi="Times New Roman" w:cs="Times New Roman"/>
          <w:sz w:val="24"/>
          <w:szCs w:val="24"/>
        </w:rPr>
        <w:lastRenderedPageBreak/>
        <w:t xml:space="preserve">was measured with densiometer readings facing each of the four cardinal directions from plot center.  </w:t>
      </w:r>
    </w:p>
    <w:p w14:paraId="310BDE9E" w14:textId="4EA13DB3" w:rsidR="00193086" w:rsidRDefault="00193086" w:rsidP="00193086">
      <w:pPr>
        <w:spacing w:after="0"/>
        <w:ind w:firstLine="720"/>
        <w:rPr>
          <w:rFonts w:ascii="Times New Roman" w:hAnsi="Times New Roman" w:cs="Times New Roman"/>
          <w:sz w:val="24"/>
          <w:szCs w:val="24"/>
        </w:rPr>
      </w:pPr>
      <w:r>
        <w:rPr>
          <w:rFonts w:ascii="Times New Roman" w:hAnsi="Times New Roman" w:cs="Times New Roman"/>
          <w:sz w:val="24"/>
          <w:szCs w:val="24"/>
        </w:rPr>
        <w:t xml:space="preserve">Due to variable tree density, we used an adjustable radius design to determine tree plot size.  We used two radii per tree plot: one for ‘small trees’ (≤0.1 cm diameter at breast height [dbh] to ˃30 cm dbh), and one for ‘large trees’ (≤30 cm dbh), to avoid clumps sapling clumps causing undersampling of larger, fire resistant trees.  We customized at each plot to sample at least ten trees per plot, at least five of which had to be large trees.  The maximum allowable plot radius was 18 meters.  Radii were adjustable in meter increments.  The small tree radius could be smaller than or equal to the large tree radius, but not larger.  For each tree, we recorded species, dbh, total height, height to base of live crown, height to base of dead crown, char height, char circumference, likely cause of death if applicable, and mistletoe presence.  The protocol for determining tree plot size was different than pretreatment surveys, which used variable rectangular plots with coarser size increments, and short-term surveys, which used crusing prisms.  The individual tree measurements were the same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{"citationItems":[{"id":"ITEM-1","itemData":{"DOI":"10.4996/fireecology.0202003","ISSN":"1933-9747","abstract":"Prescribed fire and low thinning were applied to dry forests dominated\\nby ponderosa pine\\n\\n(Pinus ponderosa) and Douglas-fir (Pseudotsuga menziesii) in the eastern\\nWashington\\n\\nCascades. Experimental design was an unbalanced analysis of variance\\nwith 4 control units, 4\\n\\nthin units, 2 burn units and 2 thin/burn units. Thinning was designed\\nto reduce basal area to 10-\\n\\n14 m2 ha-1 in a non-uniform pattern and burning was a low intensity\\nspring burn. Burn\\n\\ncoverage was spotty, ranging from 23-51%, and considered ineffective\\nin reducing fuels at the\\n\\ntime of application by management and research personnel. Both thinning\\nand burning had\\n\\neffects on vegetation and fuels variables. Thinning reduced canopy\\nclosure, canopy bulk\\n\\ndensity, and basal area, and increased canopy base height. Burning\\nhad no influence on these\\n\\ncanopy variables. Thinning increased 10-hr timelag (0.62-2.54 cm)\\nfuels. Burning decreased\\n\\n1-hr (0-0.62 cm) and 10-hr timelag fuels, forest floor depth and mass,\\nand increased fuelbed\\n\\ndepth. There were interactions between thinning and burning for 1-hr\\nand 10-hr timelag fuels,\\n\\nand fuelbed depth. These differences in fuel properties did not translate\\ninto differences in\\n\\nsimulated wildfire behavior and tree mortality. Thinning did increase\\npotential surface fire\\n\\nflame length under 97 percentile weather, and active crown fire potential\\ndecreased on thinned\\n\\nunits, but basal area survival did not significantly differ between\\ntreatments under 80 and 97\\n\\npercentile weather. The scale at which data are presented has a large\\ninfluence on interpretation\\n\\nof results. For example, torching fire behavior, expressed as an average\\nat the unit level, was\\n\\nlow, but 17% of the individual plots (about 30 plots total per unit)\\nacross all treatments did\\n\\nexhibit potential torching behavior.","author":[{"dropping-particle":"","family":"Agee","given":"James K.","non-dropping-particle":"","parse-names":false,"suffix":""},{"dropping-particle":"","family":"Lolley","given":"M. Reese","non-dropping-particle":"","parse-names":false,"suffix":""}],"container-title":"Fire Ecology","id":"ITEM-1","issue":"2","issued":{"date-parts":[["2006","12"]]},"note":"Thinning increased 10 hour fuels, increased potential surface flame length, but not active crown fire\n\nburning &amp;quot;ineffective&amp;quot;\n\nUnbalanced design\n\nburning decreased 1 10 forest floor depth mass, and increased fuelbed depth\n\ntb interaction for 1 10 fuelbed depth\n-did not translate into differences in sim fire\n\n~\n\nstand reconstructions showed that these trees sometimes survived many 20-30 fires\n\nclimate a mix of maritime and continental\n\nUnits of 10 ha specified for breeding bird surveys\n\nThinning objectives\nincrease resistance to bark beetle attack\n10-14ha\nlow thin\nhelicopter\n\nBurn coverage estimated visually on 900m2 plots around each sample plot\n\nRitchy Harrod did floristic samples\n\npre and post-treatment shrub and herb data exported to FUELCALC\n\nmarginal sum of squares test for unbalanced design\n\nVariables with slightly different collection protocol measured using ANCOVA\n\nWe should do ANCOVA to account for treatment differences\n\ntransformed herb biomass, 1 hour, 1000 hour rotten, canopy base height, forest floor biomass needed transformation but that didn't help\n&amp;quot;if significant these results should be interpreted cautiously&amp;quot;\n\nFire behavior estimated using NEXUS\n\nModelled each unit with actual slope and fixed 45% slope\n\nA megagram is a metric ton\n\nNeed to read more of it","page":"3-19","publisher":"Springer Science and Business Media LLC","title":"Thinning and Prescribed Fire Effects on Fuels and Potential Fire Behavior in an Eastern Cascades Forest, Washington, USA","type":"article-journal","volume":"2"},"uris":["http://www.mendeley.com/documents/?uuid=b6efc976-1dee-3df2-a93f-99d4d34dde14"]},{"id":"ITEM-2","itemData":{"DOI":"10.2737/PNW-RP-577","author":[{"dropping-particle":"","family":"Agee","given":"James K.","non-dropping-particle":"","parse-names":false,"suffix":""},{"dropping-particle":"","family":"Lehmkuhl","given":"John F.","non-dropping-particle":"","parse-names":false,"suffix":""}],"container-title":"Res. Pap. PNW-RP-577. Portland, OR: U.S. Department of Agriculture, Forest Service, Pacific Northwest Research Station. 158 p.","id":"ITEM-2","issued":{"date-parts":[["2009"]]},"number-of-pages":"158","publisher-place":"Portland, OR","title":"Dry forests of the Northeastern Cascades Fire and Fire Surrogate project site, Mission Creek, Okanogan-Wenatchee National Forest","type":"report","volume":"577"},"uris":["http://www.mendeley.com/documents/?uuid=5cdf019a-e01d-3ec8-b1ad-68fcf0ad3073"]}],"mendeley":{"formattedCitation":"(Agee and Lolley 2006, Agee and Lehmkuhl 2009)","plainTextFormattedCitation":"(Agee and Lolley 2006, Agee and Lehmkuhl 2009)","previouslyFormattedCitation":"(Agee and Lolley 2006, Agee and Lehmkuhl 2009)"},"properties":{"noteIndex":0},"schema":"https://github.com/citation-style-language/schema/raw/master/csl-citation.json"}</w:instrText>
      </w:r>
      <w:r>
        <w:rPr>
          <w:rFonts w:ascii="Times New Roman" w:hAnsi="Times New Roman" w:cs="Times New Roman"/>
          <w:sz w:val="24"/>
          <w:szCs w:val="24"/>
        </w:rPr>
        <w:fldChar w:fldCharType="separate"/>
      </w:r>
      <w:r w:rsidRPr="00943EA8">
        <w:rPr>
          <w:rFonts w:ascii="Times New Roman" w:hAnsi="Times New Roman" w:cs="Times New Roman"/>
          <w:noProof/>
          <w:sz w:val="24"/>
          <w:szCs w:val="24"/>
        </w:rPr>
        <w:t>(Agee and Lolley 2006, Agee and Lehmkuhl 2009)</w:t>
      </w:r>
      <w:r>
        <w:rPr>
          <w:rFonts w:ascii="Times New Roman" w:hAnsi="Times New Roman" w:cs="Times New Roman"/>
          <w:sz w:val="24"/>
          <w:szCs w:val="24"/>
        </w:rPr>
        <w:fldChar w:fldCharType="end"/>
      </w:r>
      <w:r>
        <w:rPr>
          <w:rFonts w:ascii="Times New Roman" w:hAnsi="Times New Roman" w:cs="Times New Roman"/>
          <w:sz w:val="24"/>
          <w:szCs w:val="24"/>
        </w:rPr>
        <w:t xml:space="preserve">.  </w:t>
      </w:r>
    </w:p>
    <w:p w14:paraId="2F680E85" w14:textId="77777777" w:rsidR="00193086" w:rsidRDefault="00193086" w:rsidP="00193086">
      <w:pPr>
        <w:spacing w:after="0"/>
        <w:rPr>
          <w:rFonts w:ascii="Times New Roman" w:hAnsi="Times New Roman" w:cs="Times New Roman"/>
          <w:i/>
          <w:iCs/>
          <w:sz w:val="24"/>
          <w:szCs w:val="24"/>
        </w:rPr>
      </w:pPr>
    </w:p>
    <w:p w14:paraId="4601C3DB" w14:textId="1F913606" w:rsidR="00193086" w:rsidRDefault="00193086" w:rsidP="00193086">
      <w:pPr>
        <w:spacing w:after="0"/>
        <w:rPr>
          <w:rFonts w:ascii="Times New Roman" w:hAnsi="Times New Roman" w:cs="Times New Roman"/>
          <w:i/>
          <w:iCs/>
          <w:sz w:val="24"/>
          <w:szCs w:val="24"/>
        </w:rPr>
      </w:pPr>
      <w:r>
        <w:rPr>
          <w:rFonts w:ascii="Times New Roman" w:hAnsi="Times New Roman" w:cs="Times New Roman"/>
          <w:i/>
          <w:iCs/>
          <w:sz w:val="24"/>
          <w:szCs w:val="24"/>
        </w:rPr>
        <w:t xml:space="preserve">Statistical </w:t>
      </w:r>
      <w:r w:rsidR="00354B77">
        <w:rPr>
          <w:rFonts w:ascii="Times New Roman" w:hAnsi="Times New Roman" w:cs="Times New Roman"/>
          <w:i/>
          <w:iCs/>
          <w:sz w:val="24"/>
          <w:szCs w:val="24"/>
        </w:rPr>
        <w:t>methods</w:t>
      </w:r>
    </w:p>
    <w:p w14:paraId="364BC50B" w14:textId="77777777" w:rsidR="00354B77" w:rsidRDefault="00354B77" w:rsidP="00193086">
      <w:pPr>
        <w:spacing w:after="0"/>
        <w:rPr>
          <w:rFonts w:ascii="Times New Roman" w:hAnsi="Times New Roman" w:cs="Times New Roman"/>
          <w:sz w:val="24"/>
          <w:szCs w:val="24"/>
        </w:rPr>
      </w:pPr>
      <w:r>
        <w:rPr>
          <w:rFonts w:ascii="Times New Roman" w:hAnsi="Times New Roman" w:cs="Times New Roman"/>
          <w:sz w:val="24"/>
          <w:szCs w:val="24"/>
        </w:rPr>
        <w:tab/>
        <w:t>Question 1: NMDS</w:t>
      </w:r>
    </w:p>
    <w:p w14:paraId="6A39216B" w14:textId="12D76063" w:rsidR="00354B77" w:rsidRDefault="00354B77" w:rsidP="00193086">
      <w:pPr>
        <w:spacing w:after="0"/>
        <w:rPr>
          <w:rFonts w:ascii="Times New Roman" w:hAnsi="Times New Roman" w:cs="Times New Roman"/>
          <w:sz w:val="24"/>
          <w:szCs w:val="24"/>
        </w:rPr>
      </w:pPr>
      <w:r>
        <w:rPr>
          <w:rFonts w:ascii="Times New Roman" w:hAnsi="Times New Roman" w:cs="Times New Roman"/>
          <w:sz w:val="24"/>
          <w:szCs w:val="24"/>
        </w:rPr>
        <w:tab/>
        <w:t>Question 2: Cluster Analyses</w:t>
      </w:r>
    </w:p>
    <w:p w14:paraId="0AB57AD7" w14:textId="7FFCFAAC" w:rsidR="00193086" w:rsidRDefault="00354B77" w:rsidP="00193086">
      <w:pPr>
        <w:spacing w:after="0"/>
        <w:rPr>
          <w:rFonts w:ascii="Times New Roman" w:hAnsi="Times New Roman" w:cs="Times New Roman"/>
          <w:sz w:val="24"/>
          <w:szCs w:val="24"/>
        </w:rPr>
      </w:pPr>
      <w:r>
        <w:rPr>
          <w:rFonts w:ascii="Times New Roman" w:hAnsi="Times New Roman" w:cs="Times New Roman"/>
          <w:sz w:val="24"/>
          <w:szCs w:val="24"/>
        </w:rPr>
        <w:tab/>
        <w:t>Question 3: PCA</w:t>
      </w:r>
      <w:r w:rsidR="00193086">
        <w:rPr>
          <w:rFonts w:ascii="Times New Roman" w:hAnsi="Times New Roman" w:cs="Times New Roman"/>
          <w:sz w:val="24"/>
          <w:szCs w:val="24"/>
        </w:rPr>
        <w:tab/>
      </w:r>
    </w:p>
    <w:p w14:paraId="272988CE" w14:textId="7F720519" w:rsidR="00FB7E5D" w:rsidRDefault="00FB7E5D" w:rsidP="00193086">
      <w:pPr>
        <w:spacing w:after="0"/>
        <w:rPr>
          <w:rFonts w:ascii="Times New Roman" w:hAnsi="Times New Roman" w:cs="Times New Roman"/>
          <w:sz w:val="24"/>
          <w:szCs w:val="24"/>
        </w:rPr>
      </w:pPr>
    </w:p>
    <w:p w14:paraId="543A8E1C" w14:textId="4134F657" w:rsidR="00FB7E5D" w:rsidRDefault="00FB7E5D" w:rsidP="00193086">
      <w:pPr>
        <w:spacing w:after="0"/>
        <w:rPr>
          <w:rFonts w:ascii="Times New Roman" w:hAnsi="Times New Roman" w:cs="Times New Roman"/>
          <w:color w:val="FF0000"/>
          <w:sz w:val="24"/>
          <w:szCs w:val="24"/>
        </w:rPr>
      </w:pPr>
      <w:r>
        <w:rPr>
          <w:rFonts w:ascii="Times New Roman" w:hAnsi="Times New Roman" w:cs="Times New Roman"/>
          <w:color w:val="FF0000"/>
          <w:sz w:val="24"/>
          <w:szCs w:val="24"/>
        </w:rPr>
        <w:t>Questions</w:t>
      </w:r>
    </w:p>
    <w:p w14:paraId="27DB2CFE" w14:textId="114E39CA" w:rsidR="00FB7E5D" w:rsidRDefault="00FB7E5D" w:rsidP="00FB7E5D">
      <w:pPr>
        <w:pStyle w:val="ListParagraph"/>
        <w:numPr>
          <w:ilvl w:val="0"/>
          <w:numId w:val="1"/>
        </w:numPr>
        <w:spacing w:after="0"/>
        <w:rPr>
          <w:rFonts w:ascii="Times New Roman" w:hAnsi="Times New Roman" w:cs="Times New Roman"/>
          <w:color w:val="FF0000"/>
          <w:sz w:val="24"/>
          <w:szCs w:val="24"/>
        </w:rPr>
      </w:pPr>
      <w:r>
        <w:rPr>
          <w:rFonts w:ascii="Times New Roman" w:hAnsi="Times New Roman" w:cs="Times New Roman"/>
          <w:color w:val="FF0000"/>
          <w:sz w:val="24"/>
          <w:szCs w:val="24"/>
        </w:rPr>
        <w:t>I relativized by maximum since this avoided negative numbers which cause issues with Euclidean distance.  I wanted absolute differences between sample periods to mean something, so I relativized all the data together, and then divided out by treatment period.  I ran each analysis separately for each sample period, so the</w:t>
      </w:r>
      <w:r w:rsidR="00841B51">
        <w:rPr>
          <w:rFonts w:ascii="Times New Roman" w:hAnsi="Times New Roman" w:cs="Times New Roman"/>
          <w:color w:val="FF0000"/>
          <w:sz w:val="24"/>
          <w:szCs w:val="24"/>
        </w:rPr>
        <w:t xml:space="preserve"> together-</w:t>
      </w:r>
      <w:r>
        <w:rPr>
          <w:rFonts w:ascii="Times New Roman" w:hAnsi="Times New Roman" w:cs="Times New Roman"/>
          <w:color w:val="FF0000"/>
          <w:sz w:val="24"/>
          <w:szCs w:val="24"/>
        </w:rPr>
        <w:t>relativization shouldn’t affect the relationships within</w:t>
      </w:r>
      <w:r w:rsidR="00841B51">
        <w:rPr>
          <w:rFonts w:ascii="Times New Roman" w:hAnsi="Times New Roman" w:cs="Times New Roman"/>
          <w:color w:val="FF0000"/>
          <w:sz w:val="24"/>
          <w:szCs w:val="24"/>
        </w:rPr>
        <w:t xml:space="preserve"> a response variable, but it may affect the relationship among variables.  Do you see any problems with this approach, or conversely with relativizing each sample period separately?  The papers I reviewed for the analytical methods assignment aren’t detailed enough to know what they did.</w:t>
      </w:r>
    </w:p>
    <w:p w14:paraId="4547B9BC" w14:textId="103CD26E" w:rsidR="00841B51" w:rsidRDefault="00841B51" w:rsidP="00FB7E5D">
      <w:pPr>
        <w:pStyle w:val="ListParagraph"/>
        <w:numPr>
          <w:ilvl w:val="0"/>
          <w:numId w:val="1"/>
        </w:numPr>
        <w:spacing w:after="0"/>
        <w:rPr>
          <w:rFonts w:ascii="Times New Roman" w:hAnsi="Times New Roman" w:cs="Times New Roman"/>
          <w:color w:val="FF0000"/>
          <w:sz w:val="24"/>
          <w:szCs w:val="24"/>
        </w:rPr>
      </w:pPr>
      <w:r>
        <w:rPr>
          <w:rFonts w:ascii="Times New Roman" w:hAnsi="Times New Roman" w:cs="Times New Roman"/>
          <w:color w:val="FF0000"/>
          <w:sz w:val="24"/>
          <w:szCs w:val="24"/>
        </w:rPr>
        <w:t xml:space="preserve">In the analytical methods assignment, you said that in order to look at changes in plots in ordination space over time, I would have to run both sample periods in one ordination </w:t>
      </w:r>
      <w:r w:rsidR="0099538B">
        <w:rPr>
          <w:rFonts w:ascii="Times New Roman" w:hAnsi="Times New Roman" w:cs="Times New Roman"/>
          <w:color w:val="FF0000"/>
          <w:sz w:val="24"/>
          <w:szCs w:val="24"/>
        </w:rPr>
        <w:t>and then draw arrows denoting change in the plot.  I wasn’t really sure how to carry this out and thought a Procrustes analysis between separate ordinations seemed appropriate given that the ordinations I ran showed similar patterns between time periods.  So for both NMDS and PCA, I ran two separate ordinations and then a Procrustes analysis between them.  Should I change this approach?</w:t>
      </w:r>
    </w:p>
    <w:p w14:paraId="08618115" w14:textId="399DAA21" w:rsidR="0099538B" w:rsidRDefault="0099538B" w:rsidP="00FB7E5D">
      <w:pPr>
        <w:pStyle w:val="ListParagraph"/>
        <w:numPr>
          <w:ilvl w:val="0"/>
          <w:numId w:val="1"/>
        </w:numPr>
        <w:spacing w:after="0"/>
        <w:rPr>
          <w:rFonts w:ascii="Times New Roman" w:hAnsi="Times New Roman" w:cs="Times New Roman"/>
          <w:color w:val="FF0000"/>
          <w:sz w:val="24"/>
          <w:szCs w:val="24"/>
        </w:rPr>
      </w:pPr>
      <w:r>
        <w:rPr>
          <w:rFonts w:ascii="Times New Roman" w:hAnsi="Times New Roman" w:cs="Times New Roman"/>
          <w:color w:val="FF0000"/>
          <w:sz w:val="24"/>
          <w:szCs w:val="24"/>
        </w:rPr>
        <w:t>The visualization of the cluster analysis needs additional work; the dendrogram I made isn’t extraordinarily useful with 204 plots</w:t>
      </w:r>
      <w:r w:rsidR="00BD00BF">
        <w:rPr>
          <w:rFonts w:ascii="Times New Roman" w:hAnsi="Times New Roman" w:cs="Times New Roman"/>
          <w:color w:val="FF0000"/>
          <w:sz w:val="24"/>
          <w:szCs w:val="24"/>
        </w:rPr>
        <w:t>, although I can zoom in on the names in the jpg version of the dendrogram and I’ve been able to get some information from them</w:t>
      </w:r>
      <w:r>
        <w:rPr>
          <w:rFonts w:ascii="Times New Roman" w:hAnsi="Times New Roman" w:cs="Times New Roman"/>
          <w:color w:val="FF0000"/>
          <w:sz w:val="24"/>
          <w:szCs w:val="24"/>
        </w:rPr>
        <w:t xml:space="preserve">.  I’m envisioning instead something more like a table, with </w:t>
      </w:r>
      <w:r w:rsidR="00BD00BF">
        <w:rPr>
          <w:rFonts w:ascii="Times New Roman" w:hAnsi="Times New Roman" w:cs="Times New Roman"/>
          <w:color w:val="FF0000"/>
          <w:sz w:val="24"/>
          <w:szCs w:val="24"/>
        </w:rPr>
        <w:t xml:space="preserve">units or treatments as the rownames and cluster analysis groups as the column names, with a counts in each box of how many </w:t>
      </w:r>
      <w:r w:rsidR="00BD00BF">
        <w:rPr>
          <w:rFonts w:ascii="Times New Roman" w:hAnsi="Times New Roman" w:cs="Times New Roman"/>
          <w:color w:val="FF0000"/>
          <w:sz w:val="24"/>
          <w:szCs w:val="24"/>
        </w:rPr>
        <w:lastRenderedPageBreak/>
        <w:t>of each unit/treatment are within each cluster analysis group.  Do you have any other creative ideas for cluster analysis with a high number of plots?</w:t>
      </w:r>
    </w:p>
    <w:p w14:paraId="7094897B" w14:textId="53F91581" w:rsidR="005854CB" w:rsidRPr="00FB7E5D" w:rsidRDefault="005854CB" w:rsidP="00FB7E5D">
      <w:pPr>
        <w:pStyle w:val="ListParagraph"/>
        <w:numPr>
          <w:ilvl w:val="0"/>
          <w:numId w:val="1"/>
        </w:numPr>
        <w:spacing w:after="0"/>
        <w:rPr>
          <w:rFonts w:ascii="Times New Roman" w:hAnsi="Times New Roman" w:cs="Times New Roman"/>
          <w:color w:val="FF0000"/>
          <w:sz w:val="24"/>
          <w:szCs w:val="24"/>
        </w:rPr>
      </w:pPr>
      <w:r>
        <w:rPr>
          <w:rFonts w:ascii="Times New Roman" w:hAnsi="Times New Roman" w:cs="Times New Roman"/>
          <w:color w:val="FF0000"/>
          <w:sz w:val="24"/>
          <w:szCs w:val="24"/>
        </w:rPr>
        <w:t xml:space="preserve">For the PCA, my transformation attempts thus far have caused more than solved issues with data distributions, at least by my subjective visual interpretation.  Therefore I’ve run the PCA without transformation thus far, although I want to explore transformation a bit more (different variables have different skews/issues).  Some variables have some 0 or 1 inflation, which seems impossible to transform out of (and also probably causes issues with nonmetric </w:t>
      </w:r>
      <w:r w:rsidR="00023CD8">
        <w:rPr>
          <w:rFonts w:ascii="Times New Roman" w:hAnsi="Times New Roman" w:cs="Times New Roman"/>
          <w:color w:val="FF0000"/>
          <w:sz w:val="24"/>
          <w:szCs w:val="24"/>
        </w:rPr>
        <w:t>evaluation since values are identical?)</w:t>
      </w:r>
      <w:r>
        <w:rPr>
          <w:rFonts w:ascii="Times New Roman" w:hAnsi="Times New Roman" w:cs="Times New Roman"/>
          <w:color w:val="FF0000"/>
          <w:sz w:val="24"/>
          <w:szCs w:val="24"/>
        </w:rPr>
        <w:t>.</w:t>
      </w:r>
      <w:r w:rsidR="00023CD8">
        <w:rPr>
          <w:rFonts w:ascii="Times New Roman" w:hAnsi="Times New Roman" w:cs="Times New Roman"/>
          <w:color w:val="FF0000"/>
          <w:sz w:val="24"/>
          <w:szCs w:val="24"/>
        </w:rPr>
        <w:t xml:space="preserve">  </w:t>
      </w:r>
      <w:r>
        <w:rPr>
          <w:rFonts w:ascii="Times New Roman" w:hAnsi="Times New Roman" w:cs="Times New Roman"/>
          <w:color w:val="FF0000"/>
          <w:sz w:val="24"/>
          <w:szCs w:val="24"/>
        </w:rPr>
        <w:t xml:space="preserve"> </w:t>
      </w:r>
      <w:r w:rsidR="00023CD8">
        <w:rPr>
          <w:rFonts w:ascii="Times New Roman" w:hAnsi="Times New Roman" w:cs="Times New Roman"/>
          <w:color w:val="FF0000"/>
          <w:sz w:val="24"/>
          <w:szCs w:val="24"/>
        </w:rPr>
        <w:t xml:space="preserve">Results do seem logical, and consistent with the NMDS.  </w:t>
      </w:r>
    </w:p>
    <w:p w14:paraId="7AB08037" w14:textId="77777777" w:rsidR="00354B77" w:rsidRDefault="00354B77" w:rsidP="00193086">
      <w:pPr>
        <w:spacing w:after="0"/>
        <w:rPr>
          <w:rFonts w:ascii="Times New Roman" w:hAnsi="Times New Roman" w:cs="Times New Roman"/>
          <w:sz w:val="24"/>
          <w:szCs w:val="24"/>
        </w:rPr>
      </w:pPr>
    </w:p>
    <w:p w14:paraId="36A5F9C7" w14:textId="001EF6C9" w:rsidR="006F5FEF" w:rsidRDefault="00E7272B">
      <w:pPr>
        <w:rPr>
          <w:b/>
          <w:bCs/>
        </w:rPr>
      </w:pPr>
      <w:r>
        <w:rPr>
          <w:b/>
          <w:bCs/>
        </w:rPr>
        <w:t>Results</w:t>
      </w:r>
    </w:p>
    <w:p w14:paraId="1165CF19" w14:textId="671C9488" w:rsidR="00512A92" w:rsidRDefault="00512A92">
      <w:pPr>
        <w:rPr>
          <w:b/>
          <w:bCs/>
        </w:rPr>
      </w:pPr>
      <w:r w:rsidRPr="00512A92">
        <w:rPr>
          <w:color w:val="FF0000"/>
        </w:rPr>
        <w:t xml:space="preserve">You have a separate tables/figures section listed </w:t>
      </w:r>
      <w:r>
        <w:rPr>
          <w:color w:val="FF0000"/>
        </w:rPr>
        <w:t>for below the references section, but I’ve put my figures here for now:</w:t>
      </w:r>
    </w:p>
    <w:p w14:paraId="035E10D4" w14:textId="1DABA8EC" w:rsidR="007846CD" w:rsidRDefault="007846CD">
      <w:r>
        <w:t>NMDS (three axes).</w:t>
      </w:r>
    </w:p>
    <w:p w14:paraId="4BE2DA39" w14:textId="7FDC2272" w:rsidR="00BD00BF" w:rsidRDefault="007846CD">
      <w:r>
        <w:t>Stress: pretreatment 0.10, longterm 0.11</w:t>
      </w:r>
    </w:p>
    <w:p w14:paraId="3B226B7F" w14:textId="185DC95D" w:rsidR="007846CD" w:rsidRPr="007846CD" w:rsidRDefault="007846CD">
      <w:r>
        <w:t xml:space="preserve">Stressplot nonmetric fits both 0.99.  </w:t>
      </w:r>
    </w:p>
    <w:p w14:paraId="0D8191B4" w14:textId="4B2EE41E" w:rsidR="00386BF8" w:rsidRDefault="00B40E2E">
      <w:pPr>
        <w:rPr>
          <w:b/>
          <w:bCs/>
        </w:rPr>
      </w:pPr>
      <w:r>
        <w:rPr>
          <w:noProof/>
        </w:rPr>
        <w:drawing>
          <wp:inline distT="0" distB="0" distL="0" distR="0" wp14:anchorId="31F4FED5" wp14:editId="719A34C0">
            <wp:extent cx="5943600" cy="2971800"/>
            <wp:effectExtent l="0" t="0" r="0" b="0"/>
            <wp:docPr id="1" name="Picture 1"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radar chart&#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01131E69" w14:textId="38EC08CF" w:rsidR="00B40E2E" w:rsidRDefault="00B40E2E">
      <w:pPr>
        <w:rPr>
          <w:b/>
          <w:bCs/>
        </w:rPr>
      </w:pPr>
      <w:r>
        <w:rPr>
          <w:noProof/>
        </w:rPr>
        <w:lastRenderedPageBreak/>
        <w:drawing>
          <wp:inline distT="0" distB="0" distL="0" distR="0" wp14:anchorId="47CC9A21" wp14:editId="307579C6">
            <wp:extent cx="5943600" cy="2971800"/>
            <wp:effectExtent l="0" t="0" r="0" b="0"/>
            <wp:docPr id="2" name="Picture 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scatter chart&#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521AD1D4" w14:textId="69F089AE" w:rsidR="00512A92" w:rsidRDefault="00512A92">
      <w:pPr>
        <w:rPr>
          <w:b/>
          <w:bCs/>
        </w:rPr>
      </w:pPr>
    </w:p>
    <w:p w14:paraId="4BDEC5FB" w14:textId="77777777" w:rsidR="00512A92" w:rsidRDefault="00512A92">
      <w:pPr>
        <w:rPr>
          <w:b/>
          <w:bCs/>
        </w:rPr>
      </w:pPr>
    </w:p>
    <w:p w14:paraId="54B562B7" w14:textId="3C5E0BFF" w:rsidR="00B40E2E" w:rsidRDefault="00B40E2E">
      <w:pPr>
        <w:rPr>
          <w:b/>
          <w:bCs/>
        </w:rPr>
      </w:pPr>
      <w:r>
        <w:rPr>
          <w:noProof/>
        </w:rPr>
        <w:drawing>
          <wp:inline distT="0" distB="0" distL="0" distR="0" wp14:anchorId="6474138E" wp14:editId="06AA7113">
            <wp:extent cx="5943600" cy="3302000"/>
            <wp:effectExtent l="0" t="0" r="0" b="0"/>
            <wp:docPr id="3" name="Picture 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scatter chart&#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302000"/>
                    </a:xfrm>
                    <a:prstGeom prst="rect">
                      <a:avLst/>
                    </a:prstGeom>
                    <a:noFill/>
                    <a:ln>
                      <a:noFill/>
                    </a:ln>
                  </pic:spPr>
                </pic:pic>
              </a:graphicData>
            </a:graphic>
          </wp:inline>
        </w:drawing>
      </w:r>
    </w:p>
    <w:p w14:paraId="7EFEF8FE" w14:textId="39EE3623" w:rsidR="00512A92" w:rsidRDefault="00512A92">
      <w:pPr>
        <w:rPr>
          <w:b/>
          <w:bCs/>
        </w:rPr>
      </w:pPr>
      <w:r>
        <w:rPr>
          <w:noProof/>
        </w:rPr>
        <w:lastRenderedPageBreak/>
        <w:drawing>
          <wp:inline distT="0" distB="0" distL="0" distR="0" wp14:anchorId="6C89196C" wp14:editId="5A2D100F">
            <wp:extent cx="5468816" cy="3645877"/>
            <wp:effectExtent l="0" t="0" r="0" b="0"/>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91108" cy="3660738"/>
                    </a:xfrm>
                    <a:prstGeom prst="rect">
                      <a:avLst/>
                    </a:prstGeom>
                    <a:noFill/>
                    <a:ln>
                      <a:noFill/>
                    </a:ln>
                  </pic:spPr>
                </pic:pic>
              </a:graphicData>
            </a:graphic>
          </wp:inline>
        </w:drawing>
      </w:r>
    </w:p>
    <w:p w14:paraId="029FA58D" w14:textId="22967CE2" w:rsidR="00512A92" w:rsidRDefault="00512A92">
      <w:pPr>
        <w:rPr>
          <w:b/>
          <w:bCs/>
        </w:rPr>
      </w:pPr>
      <w:r>
        <w:rPr>
          <w:noProof/>
        </w:rPr>
        <w:drawing>
          <wp:inline distT="0" distB="0" distL="0" distR="0" wp14:anchorId="7B5C85E2" wp14:editId="786700CC">
            <wp:extent cx="5486400" cy="3657600"/>
            <wp:effectExtent l="0" t="0" r="0" b="0"/>
            <wp:docPr id="8"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14:paraId="1E1C77AC" w14:textId="5EAFDEAA" w:rsidR="00B40E2E" w:rsidRDefault="00B40E2E">
      <w:pPr>
        <w:rPr>
          <w:b/>
          <w:bCs/>
        </w:rPr>
      </w:pPr>
    </w:p>
    <w:p w14:paraId="1BFE0836" w14:textId="7B8DBB08" w:rsidR="00023CD8" w:rsidRDefault="00023CD8">
      <w:pPr>
        <w:rPr>
          <w:b/>
          <w:bCs/>
        </w:rPr>
      </w:pPr>
    </w:p>
    <w:p w14:paraId="52C19FC7" w14:textId="2EA6D720" w:rsidR="00023CD8" w:rsidRPr="00023CD8" w:rsidRDefault="003930A1">
      <w:r>
        <w:lastRenderedPageBreak/>
        <w:t>C</w:t>
      </w:r>
      <w:r w:rsidR="00023CD8">
        <w:t>luster analysis: hclust, complete linkage, 8 predefined groups.  Visualization needs refining then I’m planning on trying other clustering/linkage methods.  What I have so far suggest similarities within units and among spatially proximate units (eg. Crow1, Crow3, Crow6, Pendelton, or Camas, Ruby, Spromberg).</w:t>
      </w:r>
    </w:p>
    <w:p w14:paraId="78C8C973" w14:textId="7DB67329" w:rsidR="00B40E2E" w:rsidRDefault="00B40E2E">
      <w:pPr>
        <w:rPr>
          <w:b/>
          <w:bCs/>
        </w:rPr>
      </w:pPr>
      <w:r>
        <w:rPr>
          <w:noProof/>
        </w:rPr>
        <w:drawing>
          <wp:inline distT="0" distB="0" distL="0" distR="0" wp14:anchorId="40C86A67" wp14:editId="2667F889">
            <wp:extent cx="5943600" cy="3639185"/>
            <wp:effectExtent l="0" t="0" r="0" b="0"/>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639185"/>
                    </a:xfrm>
                    <a:prstGeom prst="rect">
                      <a:avLst/>
                    </a:prstGeom>
                    <a:noFill/>
                    <a:ln>
                      <a:noFill/>
                    </a:ln>
                  </pic:spPr>
                </pic:pic>
              </a:graphicData>
            </a:graphic>
          </wp:inline>
        </w:drawing>
      </w:r>
    </w:p>
    <w:p w14:paraId="5B6CF277" w14:textId="0241BDCD" w:rsidR="00B40E2E" w:rsidRDefault="00B40E2E">
      <w:pPr>
        <w:rPr>
          <w:b/>
          <w:bCs/>
        </w:rPr>
      </w:pPr>
      <w:r>
        <w:rPr>
          <w:noProof/>
        </w:rPr>
        <w:lastRenderedPageBreak/>
        <w:drawing>
          <wp:inline distT="0" distB="0" distL="0" distR="0" wp14:anchorId="7DB15BA8" wp14:editId="76FF4552">
            <wp:extent cx="5943600" cy="3639185"/>
            <wp:effectExtent l="0" t="0" r="0" b="0"/>
            <wp:docPr id="5" name="Picture 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639185"/>
                    </a:xfrm>
                    <a:prstGeom prst="rect">
                      <a:avLst/>
                    </a:prstGeom>
                    <a:noFill/>
                    <a:ln>
                      <a:noFill/>
                    </a:ln>
                  </pic:spPr>
                </pic:pic>
              </a:graphicData>
            </a:graphic>
          </wp:inline>
        </w:drawing>
      </w:r>
    </w:p>
    <w:p w14:paraId="7FBBBDAE" w14:textId="6068B97D" w:rsidR="00512A92" w:rsidRDefault="00512A92">
      <w:pPr>
        <w:rPr>
          <w:b/>
          <w:bCs/>
        </w:rPr>
      </w:pPr>
    </w:p>
    <w:p w14:paraId="2CA0E53A" w14:textId="51F77BE0" w:rsidR="00512A92" w:rsidRDefault="00512A92">
      <w:r>
        <w:t>More text on results needed.</w:t>
      </w:r>
    </w:p>
    <w:p w14:paraId="499DB626" w14:textId="1E582A7A" w:rsidR="00512A92" w:rsidRDefault="00512A92"/>
    <w:p w14:paraId="37624597" w14:textId="73A1DA40" w:rsidR="00512A92" w:rsidRDefault="00512A92">
      <w:pPr>
        <w:rPr>
          <w:b/>
          <w:bCs/>
        </w:rPr>
      </w:pPr>
      <w:r>
        <w:rPr>
          <w:b/>
          <w:bCs/>
        </w:rPr>
        <w:t>Discussion</w:t>
      </w:r>
    </w:p>
    <w:p w14:paraId="233ECE2D" w14:textId="3DB1D783" w:rsidR="00512A92" w:rsidRDefault="00512A92">
      <w:r>
        <w:t>Discussion text needed.</w:t>
      </w:r>
    </w:p>
    <w:p w14:paraId="6563BA70" w14:textId="6AA59035" w:rsidR="00512A92" w:rsidRDefault="00512A92"/>
    <w:p w14:paraId="6C9A365D" w14:textId="27B26F3A" w:rsidR="00512A92" w:rsidRDefault="00512A92">
      <w:pPr>
        <w:rPr>
          <w:b/>
          <w:bCs/>
        </w:rPr>
      </w:pPr>
      <w:r>
        <w:rPr>
          <w:b/>
          <w:bCs/>
        </w:rPr>
        <w:t>References</w:t>
      </w:r>
    </w:p>
    <w:p w14:paraId="67D7C6B3" w14:textId="2CD9114C" w:rsidR="00512A92" w:rsidRPr="00512A92" w:rsidRDefault="00512A92" w:rsidP="00512A92">
      <w:pPr>
        <w:widowControl w:val="0"/>
        <w:autoSpaceDE w:val="0"/>
        <w:autoSpaceDN w:val="0"/>
        <w:adjustRightInd w:val="0"/>
        <w:spacing w:line="240" w:lineRule="auto"/>
        <w:ind w:left="480" w:hanging="480"/>
        <w:rPr>
          <w:rFonts w:ascii="Calibri" w:hAnsi="Calibri" w:cs="Calibri"/>
          <w:noProof/>
          <w:szCs w:val="24"/>
        </w:rPr>
      </w:pPr>
      <w:r>
        <w:rPr>
          <w:b/>
          <w:bCs/>
        </w:rPr>
        <w:fldChar w:fldCharType="begin" w:fldLock="1"/>
      </w:r>
      <w:r>
        <w:rPr>
          <w:b/>
          <w:bCs/>
        </w:rPr>
        <w:instrText xml:space="preserve">ADDIN Mendeley Bibliography CSL_BIBLIOGRAPHY </w:instrText>
      </w:r>
      <w:r>
        <w:rPr>
          <w:b/>
          <w:bCs/>
        </w:rPr>
        <w:fldChar w:fldCharType="separate"/>
      </w:r>
      <w:r w:rsidRPr="00512A92">
        <w:rPr>
          <w:rFonts w:ascii="Calibri" w:hAnsi="Calibri" w:cs="Calibri"/>
          <w:noProof/>
          <w:szCs w:val="24"/>
        </w:rPr>
        <w:t>Agee, J. K., and J. F. Lehmkuhl. 2009. Dry forests of the Northeastern Cascades Fire and Fire Surrogate project site, Mission Creek, Okanogan-Wenatchee National Forest. Page Res. Pap. PNW-RP-577. Portland, OR: U.S. Department of Agriculture, Forest Service, Pacific Northwest Research Station. 158 p. Portland, OR.</w:t>
      </w:r>
    </w:p>
    <w:p w14:paraId="5BEEACB3" w14:textId="77777777" w:rsidR="00512A92" w:rsidRPr="00512A92" w:rsidRDefault="00512A92" w:rsidP="00512A92">
      <w:pPr>
        <w:widowControl w:val="0"/>
        <w:autoSpaceDE w:val="0"/>
        <w:autoSpaceDN w:val="0"/>
        <w:adjustRightInd w:val="0"/>
        <w:spacing w:line="240" w:lineRule="auto"/>
        <w:ind w:left="480" w:hanging="480"/>
        <w:rPr>
          <w:rFonts w:ascii="Calibri" w:hAnsi="Calibri" w:cs="Calibri"/>
          <w:noProof/>
          <w:szCs w:val="24"/>
        </w:rPr>
      </w:pPr>
      <w:r w:rsidRPr="00512A92">
        <w:rPr>
          <w:rFonts w:ascii="Calibri" w:hAnsi="Calibri" w:cs="Calibri"/>
          <w:noProof/>
          <w:szCs w:val="24"/>
        </w:rPr>
        <w:t>Agee, J. K., and M. R. Lolley. 2006. Thinning and Prescribed Fire Effects on Fuels and Potential Fire Behavior in an Eastern Cascades Forest, Washington, USA. Fire Ecology 2:3–19.</w:t>
      </w:r>
    </w:p>
    <w:p w14:paraId="6E64298A" w14:textId="77777777" w:rsidR="00512A92" w:rsidRPr="00512A92" w:rsidRDefault="00512A92" w:rsidP="00512A92">
      <w:pPr>
        <w:widowControl w:val="0"/>
        <w:autoSpaceDE w:val="0"/>
        <w:autoSpaceDN w:val="0"/>
        <w:adjustRightInd w:val="0"/>
        <w:spacing w:line="240" w:lineRule="auto"/>
        <w:ind w:left="480" w:hanging="480"/>
        <w:rPr>
          <w:rFonts w:ascii="Calibri" w:hAnsi="Calibri" w:cs="Calibri"/>
          <w:noProof/>
          <w:szCs w:val="24"/>
        </w:rPr>
      </w:pPr>
      <w:r w:rsidRPr="00512A92">
        <w:rPr>
          <w:rFonts w:ascii="Calibri" w:hAnsi="Calibri" w:cs="Calibri"/>
          <w:noProof/>
          <w:szCs w:val="24"/>
        </w:rPr>
        <w:t>Anderson, H. E. 1982. Aids to determining fuel models for estimating fire behavior. Page Gen. Tech. Rep. INT-122. Ogden, Utah: U.S.Department of Agriculture, Forest Service, Intermountain Forest and Range Experiment Station. 22p. Ogden, UT.</w:t>
      </w:r>
    </w:p>
    <w:p w14:paraId="139A7D29" w14:textId="77777777" w:rsidR="00512A92" w:rsidRPr="00512A92" w:rsidRDefault="00512A92" w:rsidP="00512A92">
      <w:pPr>
        <w:widowControl w:val="0"/>
        <w:autoSpaceDE w:val="0"/>
        <w:autoSpaceDN w:val="0"/>
        <w:adjustRightInd w:val="0"/>
        <w:spacing w:line="240" w:lineRule="auto"/>
        <w:ind w:left="480" w:hanging="480"/>
        <w:rPr>
          <w:rFonts w:ascii="Calibri" w:hAnsi="Calibri" w:cs="Calibri"/>
          <w:noProof/>
          <w:szCs w:val="24"/>
        </w:rPr>
      </w:pPr>
      <w:r w:rsidRPr="00512A92">
        <w:rPr>
          <w:rFonts w:ascii="Calibri" w:hAnsi="Calibri" w:cs="Calibri"/>
          <w:noProof/>
          <w:szCs w:val="24"/>
        </w:rPr>
        <w:t>Battaglia, M. A., F. W. Smith, and W. D. Shepperd. 2008. Can prescribed fire be used to maintain fuel treatment effectiveness over time in Black Hills ponderosa pine forests? Forest Ecology and Management 256:2029–2038.</w:t>
      </w:r>
    </w:p>
    <w:p w14:paraId="28C04245" w14:textId="77777777" w:rsidR="00512A92" w:rsidRPr="00512A92" w:rsidRDefault="00512A92" w:rsidP="00512A92">
      <w:pPr>
        <w:widowControl w:val="0"/>
        <w:autoSpaceDE w:val="0"/>
        <w:autoSpaceDN w:val="0"/>
        <w:adjustRightInd w:val="0"/>
        <w:spacing w:line="240" w:lineRule="auto"/>
        <w:ind w:left="480" w:hanging="480"/>
        <w:rPr>
          <w:rFonts w:ascii="Calibri" w:hAnsi="Calibri" w:cs="Calibri"/>
          <w:noProof/>
          <w:szCs w:val="24"/>
        </w:rPr>
      </w:pPr>
      <w:r w:rsidRPr="00512A92">
        <w:rPr>
          <w:rFonts w:ascii="Calibri" w:hAnsi="Calibri" w:cs="Calibri"/>
          <w:noProof/>
          <w:szCs w:val="24"/>
        </w:rPr>
        <w:lastRenderedPageBreak/>
        <w:t>Brown, J. K. 1971. A Planar Intersect Method for Sampling Fuel Volume and Surface Area. Forest Science 17:96–102.</w:t>
      </w:r>
    </w:p>
    <w:p w14:paraId="72BB29A1" w14:textId="77777777" w:rsidR="00512A92" w:rsidRPr="00512A92" w:rsidRDefault="00512A92" w:rsidP="00512A92">
      <w:pPr>
        <w:widowControl w:val="0"/>
        <w:autoSpaceDE w:val="0"/>
        <w:autoSpaceDN w:val="0"/>
        <w:adjustRightInd w:val="0"/>
        <w:spacing w:line="240" w:lineRule="auto"/>
        <w:ind w:left="480" w:hanging="480"/>
        <w:rPr>
          <w:rFonts w:ascii="Calibri" w:hAnsi="Calibri" w:cs="Calibri"/>
          <w:noProof/>
          <w:szCs w:val="24"/>
        </w:rPr>
      </w:pPr>
      <w:r w:rsidRPr="00512A92">
        <w:rPr>
          <w:rFonts w:ascii="Calibri" w:hAnsi="Calibri" w:cs="Calibri"/>
          <w:noProof/>
          <w:szCs w:val="24"/>
        </w:rPr>
        <w:t>Burgan, R. E., and R. C. Rothermel. 1984. BEHAVE: fire behavior prediction and fuel modeling system--FUEL subsystem. Page General Technical Report INT-167. Ogden, UT: U. S. Department of Agriculture, Forest Service, Intermountain Forest and Range Experiment Station. 126 p. Ogden, UT.</w:t>
      </w:r>
    </w:p>
    <w:p w14:paraId="1138FA28" w14:textId="77777777" w:rsidR="00512A92" w:rsidRPr="00512A92" w:rsidRDefault="00512A92" w:rsidP="00512A92">
      <w:pPr>
        <w:widowControl w:val="0"/>
        <w:autoSpaceDE w:val="0"/>
        <w:autoSpaceDN w:val="0"/>
        <w:adjustRightInd w:val="0"/>
        <w:spacing w:line="240" w:lineRule="auto"/>
        <w:ind w:left="480" w:hanging="480"/>
        <w:rPr>
          <w:rFonts w:ascii="Calibri" w:hAnsi="Calibri" w:cs="Calibri"/>
          <w:noProof/>
          <w:szCs w:val="24"/>
        </w:rPr>
      </w:pPr>
      <w:r w:rsidRPr="00512A92">
        <w:rPr>
          <w:rFonts w:ascii="Calibri" w:hAnsi="Calibri" w:cs="Calibri"/>
          <w:noProof/>
          <w:szCs w:val="24"/>
        </w:rPr>
        <w:t>Chiono, L. A., K. L. O’Hara, M. J. De Lasaux, G. A. Nader, and S. L. Stephens. 2012. Development of Vegetation and Surface Fuels Following Fire Hazard Reduction Treatment. Forests 3:700–722.</w:t>
      </w:r>
    </w:p>
    <w:p w14:paraId="51E17CF7" w14:textId="77777777" w:rsidR="00512A92" w:rsidRPr="00512A92" w:rsidRDefault="00512A92" w:rsidP="00512A92">
      <w:pPr>
        <w:widowControl w:val="0"/>
        <w:autoSpaceDE w:val="0"/>
        <w:autoSpaceDN w:val="0"/>
        <w:adjustRightInd w:val="0"/>
        <w:spacing w:line="240" w:lineRule="auto"/>
        <w:ind w:left="480" w:hanging="480"/>
        <w:rPr>
          <w:rFonts w:ascii="Calibri" w:hAnsi="Calibri" w:cs="Calibri"/>
          <w:noProof/>
          <w:szCs w:val="24"/>
        </w:rPr>
      </w:pPr>
      <w:r w:rsidRPr="00512A92">
        <w:rPr>
          <w:rFonts w:ascii="Calibri" w:hAnsi="Calibri" w:cs="Calibri"/>
          <w:noProof/>
          <w:szCs w:val="24"/>
        </w:rPr>
        <w:t>Coop, J. D., S. A. Parks, C. S. Stevens-Rumann, S. D. Crausbay, P. E. Higuera, M. D. Hurteau, A. Tepley, E. Whitman, T. Assal, B. M. Collins, K. T. Davis, S. Dobrowski, D. A. Falk, P. J. Fornwalt, P. Z. Fulé, B. J. Harvey, V. R. Kane, C. E. Littlefield, E. Q. Margolis, M. North, M. A. Parisien, S. Prichard, and K. C. Rodman. 2020, August 1. Wildfire-Driven Forest Conversion in Western North American Landscapes. Oxford University Press.</w:t>
      </w:r>
    </w:p>
    <w:p w14:paraId="5283DE8E" w14:textId="77777777" w:rsidR="00512A92" w:rsidRPr="00512A92" w:rsidRDefault="00512A92" w:rsidP="00512A92">
      <w:pPr>
        <w:widowControl w:val="0"/>
        <w:autoSpaceDE w:val="0"/>
        <w:autoSpaceDN w:val="0"/>
        <w:adjustRightInd w:val="0"/>
        <w:spacing w:line="240" w:lineRule="auto"/>
        <w:ind w:left="480" w:hanging="480"/>
        <w:rPr>
          <w:rFonts w:ascii="Calibri" w:hAnsi="Calibri" w:cs="Calibri"/>
          <w:noProof/>
          <w:szCs w:val="24"/>
        </w:rPr>
      </w:pPr>
      <w:r w:rsidRPr="00512A92">
        <w:rPr>
          <w:rFonts w:ascii="Calibri" w:hAnsi="Calibri" w:cs="Calibri"/>
          <w:noProof/>
          <w:szCs w:val="24"/>
        </w:rPr>
        <w:t>Crotteau, J. S., C. R. Keyes, S. M. Hood, D. L. R. Affleck, and A. Sala. 2018. Fuel dynamics after a bark beetle outbreak impacts experimental fuel treatments. Fire Ecology 14.</w:t>
      </w:r>
    </w:p>
    <w:p w14:paraId="27FDCAB9" w14:textId="77777777" w:rsidR="00512A92" w:rsidRPr="00512A92" w:rsidRDefault="00512A92" w:rsidP="00512A92">
      <w:pPr>
        <w:widowControl w:val="0"/>
        <w:autoSpaceDE w:val="0"/>
        <w:autoSpaceDN w:val="0"/>
        <w:adjustRightInd w:val="0"/>
        <w:spacing w:line="240" w:lineRule="auto"/>
        <w:ind w:left="480" w:hanging="480"/>
        <w:rPr>
          <w:rFonts w:ascii="Calibri" w:hAnsi="Calibri" w:cs="Calibri"/>
          <w:noProof/>
          <w:szCs w:val="24"/>
        </w:rPr>
      </w:pPr>
      <w:r w:rsidRPr="00512A92">
        <w:rPr>
          <w:rFonts w:ascii="Calibri" w:hAnsi="Calibri" w:cs="Calibri"/>
          <w:noProof/>
          <w:szCs w:val="24"/>
        </w:rPr>
        <w:t>Franklin, J. F., and K. N. Johnson. 2012. A Restoration Framework for Federal Forests in the Pacific Northwest. Journal of Forestry 110:429–439.</w:t>
      </w:r>
    </w:p>
    <w:p w14:paraId="4E56EC94" w14:textId="77777777" w:rsidR="00512A92" w:rsidRPr="00512A92" w:rsidRDefault="00512A92" w:rsidP="00512A92">
      <w:pPr>
        <w:widowControl w:val="0"/>
        <w:autoSpaceDE w:val="0"/>
        <w:autoSpaceDN w:val="0"/>
        <w:adjustRightInd w:val="0"/>
        <w:spacing w:line="240" w:lineRule="auto"/>
        <w:ind w:left="480" w:hanging="480"/>
        <w:rPr>
          <w:rFonts w:ascii="Calibri" w:hAnsi="Calibri" w:cs="Calibri"/>
          <w:noProof/>
          <w:szCs w:val="24"/>
        </w:rPr>
      </w:pPr>
      <w:r w:rsidRPr="00512A92">
        <w:rPr>
          <w:rFonts w:ascii="Calibri" w:hAnsi="Calibri" w:cs="Calibri"/>
          <w:noProof/>
          <w:szCs w:val="24"/>
        </w:rPr>
        <w:t>Hagmann, R. K., P. F. Hessburg, S. J. Prichard, N. A. Povak, P. M. Brown, P. Z. Fulé, R. E. Keane, E. E. Knapp, J. M. Lydersen, K. L. Metlen, M. J. Reilly, A. J. S. Meador, S. L. Stephens, J. T. Stevens, A. H. Taylor, L. L. Yocom, M. A. Battaglia, D. J. Churchill, L. D. Daniels, D. A. Falk, P. Henson, J. D. Johnston, M. A. Krawchuk, C. R. Levine, G. W. Meigs, A. G. Merschel, M. P. North, H. D. Safford, T. W. Swetnam, and A. E. M. Waltz. 2021. Evidence for widespread changes in the structure, composition, and fire regimes of western North American forests. Ecological Applications 0:e02431.</w:t>
      </w:r>
    </w:p>
    <w:p w14:paraId="77BECDA4" w14:textId="77777777" w:rsidR="00512A92" w:rsidRPr="00512A92" w:rsidRDefault="00512A92" w:rsidP="00512A92">
      <w:pPr>
        <w:widowControl w:val="0"/>
        <w:autoSpaceDE w:val="0"/>
        <w:autoSpaceDN w:val="0"/>
        <w:adjustRightInd w:val="0"/>
        <w:spacing w:line="240" w:lineRule="auto"/>
        <w:ind w:left="480" w:hanging="480"/>
        <w:rPr>
          <w:rFonts w:ascii="Calibri" w:hAnsi="Calibri" w:cs="Calibri"/>
          <w:noProof/>
          <w:szCs w:val="24"/>
        </w:rPr>
      </w:pPr>
      <w:r w:rsidRPr="00512A92">
        <w:rPr>
          <w:rFonts w:ascii="Calibri" w:hAnsi="Calibri" w:cs="Calibri"/>
          <w:noProof/>
          <w:szCs w:val="24"/>
        </w:rPr>
        <w:t>Hessburg, P. F., and J. K. Agee. 2003. An environmental narrative of Inland Northwest United States forests, 1800-2000. Pages 23–59 Forest Ecology and Management. Elsevier.</w:t>
      </w:r>
    </w:p>
    <w:p w14:paraId="6DE411A6" w14:textId="77777777" w:rsidR="00512A92" w:rsidRPr="00512A92" w:rsidRDefault="00512A92" w:rsidP="00512A92">
      <w:pPr>
        <w:widowControl w:val="0"/>
        <w:autoSpaceDE w:val="0"/>
        <w:autoSpaceDN w:val="0"/>
        <w:adjustRightInd w:val="0"/>
        <w:spacing w:line="240" w:lineRule="auto"/>
        <w:ind w:left="480" w:hanging="480"/>
        <w:rPr>
          <w:rFonts w:ascii="Calibri" w:hAnsi="Calibri" w:cs="Calibri"/>
          <w:noProof/>
          <w:szCs w:val="24"/>
        </w:rPr>
      </w:pPr>
      <w:r w:rsidRPr="00512A92">
        <w:rPr>
          <w:rFonts w:ascii="Calibri" w:hAnsi="Calibri" w:cs="Calibri"/>
          <w:noProof/>
          <w:szCs w:val="24"/>
        </w:rPr>
        <w:t>Hessburg, P. F., S. J. Prichard, R. K. Hagmann, N. A. Povak, and F. K. Lake. 2021. Wildfire and climate change adaptation of western North American forests: a case for intentional management. Ecological Applications:e02432.</w:t>
      </w:r>
    </w:p>
    <w:p w14:paraId="6185FDEC" w14:textId="77777777" w:rsidR="00512A92" w:rsidRPr="00512A92" w:rsidRDefault="00512A92" w:rsidP="00512A92">
      <w:pPr>
        <w:widowControl w:val="0"/>
        <w:autoSpaceDE w:val="0"/>
        <w:autoSpaceDN w:val="0"/>
        <w:adjustRightInd w:val="0"/>
        <w:spacing w:line="240" w:lineRule="auto"/>
        <w:ind w:left="480" w:hanging="480"/>
        <w:rPr>
          <w:rFonts w:ascii="Calibri" w:hAnsi="Calibri" w:cs="Calibri"/>
          <w:noProof/>
          <w:szCs w:val="24"/>
        </w:rPr>
      </w:pPr>
      <w:r w:rsidRPr="00512A92">
        <w:rPr>
          <w:rFonts w:ascii="Calibri" w:hAnsi="Calibri" w:cs="Calibri"/>
          <w:noProof/>
          <w:szCs w:val="24"/>
        </w:rPr>
        <w:t>Hood, S. M., C. R. Keyes, K. J. Bowen, D. C. Lutes, and C. Seielstad. 2020. Fuel Treatment Longevity in Ponderosa Pine-Dominated Forest 24 Years After Cutting and Prescribed Burning. Frontiers in Forests and Global Change 3:78.</w:t>
      </w:r>
    </w:p>
    <w:p w14:paraId="6C6B20DF" w14:textId="77777777" w:rsidR="00512A92" w:rsidRPr="00512A92" w:rsidRDefault="00512A92" w:rsidP="00512A92">
      <w:pPr>
        <w:widowControl w:val="0"/>
        <w:autoSpaceDE w:val="0"/>
        <w:autoSpaceDN w:val="0"/>
        <w:adjustRightInd w:val="0"/>
        <w:spacing w:line="240" w:lineRule="auto"/>
        <w:ind w:left="480" w:hanging="480"/>
        <w:rPr>
          <w:rFonts w:ascii="Calibri" w:hAnsi="Calibri" w:cs="Calibri"/>
          <w:noProof/>
          <w:szCs w:val="24"/>
        </w:rPr>
      </w:pPr>
      <w:r w:rsidRPr="00512A92">
        <w:rPr>
          <w:rFonts w:ascii="Calibri" w:hAnsi="Calibri" w:cs="Calibri"/>
          <w:noProof/>
          <w:szCs w:val="24"/>
        </w:rPr>
        <w:t>Jain, T., M. Battaglia, H.-S. Han, R. Graham, C. Keyes, J. Fried, and J. Sandquist. 2012. A Comprehensive Guide to Fuel Management Practices for Dry Mixed ConiferForests in the Northwestern United States. Page JFSP Synthesis Reports.</w:t>
      </w:r>
    </w:p>
    <w:p w14:paraId="64D8F88E" w14:textId="77777777" w:rsidR="00512A92" w:rsidRPr="00512A92" w:rsidRDefault="00512A92" w:rsidP="00512A92">
      <w:pPr>
        <w:widowControl w:val="0"/>
        <w:autoSpaceDE w:val="0"/>
        <w:autoSpaceDN w:val="0"/>
        <w:adjustRightInd w:val="0"/>
        <w:spacing w:line="240" w:lineRule="auto"/>
        <w:ind w:left="480" w:hanging="480"/>
        <w:rPr>
          <w:rFonts w:ascii="Calibri" w:hAnsi="Calibri" w:cs="Calibri"/>
          <w:noProof/>
          <w:szCs w:val="24"/>
        </w:rPr>
      </w:pPr>
      <w:r w:rsidRPr="00512A92">
        <w:rPr>
          <w:rFonts w:ascii="Calibri" w:hAnsi="Calibri" w:cs="Calibri"/>
          <w:noProof/>
          <w:szCs w:val="24"/>
        </w:rPr>
        <w:t>Keane, R. E., K. Gray, V. Bacciu, and S. Leirfallom. 2012. Spatial scaling of wildland fuels for six forest and rangeland ecosystems of the northern Rocky Mountains, USA. Landscape Ecology 27:1213–1234.</w:t>
      </w:r>
    </w:p>
    <w:p w14:paraId="72C44F00" w14:textId="77777777" w:rsidR="00512A92" w:rsidRPr="00512A92" w:rsidRDefault="00512A92" w:rsidP="00512A92">
      <w:pPr>
        <w:widowControl w:val="0"/>
        <w:autoSpaceDE w:val="0"/>
        <w:autoSpaceDN w:val="0"/>
        <w:adjustRightInd w:val="0"/>
        <w:spacing w:line="240" w:lineRule="auto"/>
        <w:ind w:left="480" w:hanging="480"/>
        <w:rPr>
          <w:rFonts w:ascii="Calibri" w:hAnsi="Calibri" w:cs="Calibri"/>
          <w:noProof/>
          <w:szCs w:val="24"/>
        </w:rPr>
      </w:pPr>
      <w:r w:rsidRPr="00512A92">
        <w:rPr>
          <w:rFonts w:ascii="Calibri" w:hAnsi="Calibri" w:cs="Calibri"/>
          <w:noProof/>
          <w:szCs w:val="24"/>
        </w:rPr>
        <w:t>Legendre, P., and L. Legendre. 2012. Numerical Ecology. Third edition. Elsevier.</w:t>
      </w:r>
    </w:p>
    <w:p w14:paraId="7017B705" w14:textId="77777777" w:rsidR="00512A92" w:rsidRPr="00512A92" w:rsidRDefault="00512A92" w:rsidP="00512A92">
      <w:pPr>
        <w:widowControl w:val="0"/>
        <w:autoSpaceDE w:val="0"/>
        <w:autoSpaceDN w:val="0"/>
        <w:adjustRightInd w:val="0"/>
        <w:spacing w:line="240" w:lineRule="auto"/>
        <w:ind w:left="480" w:hanging="480"/>
        <w:rPr>
          <w:rFonts w:ascii="Calibri" w:hAnsi="Calibri" w:cs="Calibri"/>
          <w:noProof/>
          <w:szCs w:val="24"/>
        </w:rPr>
      </w:pPr>
      <w:r w:rsidRPr="00512A92">
        <w:rPr>
          <w:rFonts w:ascii="Calibri" w:hAnsi="Calibri" w:cs="Calibri"/>
          <w:noProof/>
          <w:szCs w:val="24"/>
        </w:rPr>
        <w:t xml:space="preserve">Lillybridge, T. R., B. L. Kovalchik, C. K. Williams, and B. G. Smith. 1995. Field guide for forested plant associations of the Wenatchee National Forest. Page Gen. Tech. Rep. PNW-GTR-359. Portland, OR: U.S. Department of Agriculture, Forest Service, Pacific Northwest Research Station. 335 p. In </w:t>
      </w:r>
      <w:r w:rsidRPr="00512A92">
        <w:rPr>
          <w:rFonts w:ascii="Calibri" w:hAnsi="Calibri" w:cs="Calibri"/>
          <w:noProof/>
          <w:szCs w:val="24"/>
        </w:rPr>
        <w:lastRenderedPageBreak/>
        <w:t>cooperation with: Pacific Northwest Region, Wenatchee National Forest. Portland, OR.</w:t>
      </w:r>
    </w:p>
    <w:p w14:paraId="58D53D1E" w14:textId="77777777" w:rsidR="00512A92" w:rsidRPr="00512A92" w:rsidRDefault="00512A92" w:rsidP="00512A92">
      <w:pPr>
        <w:widowControl w:val="0"/>
        <w:autoSpaceDE w:val="0"/>
        <w:autoSpaceDN w:val="0"/>
        <w:adjustRightInd w:val="0"/>
        <w:spacing w:line="240" w:lineRule="auto"/>
        <w:ind w:left="480" w:hanging="480"/>
        <w:rPr>
          <w:rFonts w:ascii="Calibri" w:hAnsi="Calibri" w:cs="Calibri"/>
          <w:noProof/>
          <w:szCs w:val="24"/>
        </w:rPr>
      </w:pPr>
      <w:r w:rsidRPr="00512A92">
        <w:rPr>
          <w:rFonts w:ascii="Calibri" w:hAnsi="Calibri" w:cs="Calibri"/>
          <w:noProof/>
          <w:szCs w:val="24"/>
        </w:rPr>
        <w:t>van Mantgem, P. J., L. B. Lalemand, M. B. Keifer, and J. M. Kane. 2016. Duration of fuels reduction following prescribed fire in coniferous forests of U.S. national parks in California and the Colorado Plateau. Forest Ecology and Management 379:265–272.</w:t>
      </w:r>
    </w:p>
    <w:p w14:paraId="07967CF2" w14:textId="77777777" w:rsidR="00512A92" w:rsidRPr="00512A92" w:rsidRDefault="00512A92" w:rsidP="00512A92">
      <w:pPr>
        <w:widowControl w:val="0"/>
        <w:autoSpaceDE w:val="0"/>
        <w:autoSpaceDN w:val="0"/>
        <w:adjustRightInd w:val="0"/>
        <w:spacing w:line="240" w:lineRule="auto"/>
        <w:ind w:left="480" w:hanging="480"/>
        <w:rPr>
          <w:rFonts w:ascii="Calibri" w:hAnsi="Calibri" w:cs="Calibri"/>
          <w:noProof/>
          <w:szCs w:val="24"/>
        </w:rPr>
      </w:pPr>
      <w:r w:rsidRPr="00512A92">
        <w:rPr>
          <w:rFonts w:ascii="Calibri" w:hAnsi="Calibri" w:cs="Calibri"/>
          <w:noProof/>
          <w:szCs w:val="24"/>
        </w:rPr>
        <w:t>Morici, K. E., and J. D. Bailey. 2021. Long-Term Effects of Fuel Reduction Treatments on Surface Fuel Loading in the Blue Mountains of Oregon. Forests 2021, Vol. 12, Page 1306 12:1306.</w:t>
      </w:r>
    </w:p>
    <w:p w14:paraId="3344099C" w14:textId="77777777" w:rsidR="00512A92" w:rsidRPr="00512A92" w:rsidRDefault="00512A92" w:rsidP="00512A92">
      <w:pPr>
        <w:widowControl w:val="0"/>
        <w:autoSpaceDE w:val="0"/>
        <w:autoSpaceDN w:val="0"/>
        <w:adjustRightInd w:val="0"/>
        <w:spacing w:line="240" w:lineRule="auto"/>
        <w:ind w:left="480" w:hanging="480"/>
        <w:rPr>
          <w:rFonts w:ascii="Calibri" w:hAnsi="Calibri" w:cs="Calibri"/>
          <w:noProof/>
          <w:szCs w:val="24"/>
        </w:rPr>
      </w:pPr>
      <w:r w:rsidRPr="00512A92">
        <w:rPr>
          <w:rFonts w:ascii="Calibri" w:hAnsi="Calibri" w:cs="Calibri"/>
          <w:noProof/>
          <w:szCs w:val="24"/>
        </w:rPr>
        <w:t>Prichard, S. J., P. F. Hessburg, R. K. Hagmann, N. A. Povak, S. Z. Dobrowski, M. D. Hurteau, V. R. Kane, R. E. Keane, L. N. Kobziar, C. A. Kolden, M. North, S. A. Parks, H. D. Safford, J. T. Stevens, L. L. Yocom, D. J. Churchill, R. W. Gray, D. W. Huffman, F. K. Lake, and P. Khatri-Chhetri. 2021. Adapting western North American forests to climate change and wildfires: 10 common questions. Ecological Applications 0:e02433.</w:t>
      </w:r>
    </w:p>
    <w:p w14:paraId="54317A44" w14:textId="77777777" w:rsidR="00512A92" w:rsidRPr="00512A92" w:rsidRDefault="00512A92" w:rsidP="00512A92">
      <w:pPr>
        <w:widowControl w:val="0"/>
        <w:autoSpaceDE w:val="0"/>
        <w:autoSpaceDN w:val="0"/>
        <w:adjustRightInd w:val="0"/>
        <w:spacing w:line="240" w:lineRule="auto"/>
        <w:ind w:left="480" w:hanging="480"/>
        <w:rPr>
          <w:rFonts w:ascii="Calibri" w:hAnsi="Calibri" w:cs="Calibri"/>
          <w:noProof/>
          <w:szCs w:val="24"/>
        </w:rPr>
      </w:pPr>
      <w:r w:rsidRPr="00512A92">
        <w:rPr>
          <w:rFonts w:ascii="Calibri" w:hAnsi="Calibri" w:cs="Calibri"/>
          <w:noProof/>
          <w:szCs w:val="24"/>
        </w:rPr>
        <w:t>Radeloff, V. C., D. P. Helmers, H. Anu Kramer, M. H. Mockrin, P. M. Alexandre, A. Bar-Massada, V. Butsic, T. J. Hawbaker, S. Martinuzzi, A. D. Syphard, and S. I. Stewart. 2018. Rapid growth of the US wildland-urban interface raises wildfire risk. Proceedings of the National Academy of Sciences of the United States of America 115:3314–3319.</w:t>
      </w:r>
    </w:p>
    <w:p w14:paraId="092C5F51" w14:textId="77777777" w:rsidR="00512A92" w:rsidRPr="00512A92" w:rsidRDefault="00512A92" w:rsidP="00512A92">
      <w:pPr>
        <w:widowControl w:val="0"/>
        <w:autoSpaceDE w:val="0"/>
        <w:autoSpaceDN w:val="0"/>
        <w:adjustRightInd w:val="0"/>
        <w:spacing w:line="240" w:lineRule="auto"/>
        <w:ind w:left="480" w:hanging="480"/>
        <w:rPr>
          <w:rFonts w:ascii="Calibri" w:hAnsi="Calibri" w:cs="Calibri"/>
          <w:noProof/>
          <w:szCs w:val="24"/>
        </w:rPr>
      </w:pPr>
      <w:r w:rsidRPr="00512A92">
        <w:rPr>
          <w:rFonts w:ascii="Calibri" w:hAnsi="Calibri" w:cs="Calibri"/>
          <w:noProof/>
          <w:szCs w:val="24"/>
        </w:rPr>
        <w:t>Reinhardt, E. D., R. E. Keane, D. E. Calkin, and J. D. Cohen. 2008, December 10. Objectives and considerations for wildland fuel treatment in forested ecosystems of the interior western United States. Elsevier.</w:t>
      </w:r>
    </w:p>
    <w:p w14:paraId="06516D63" w14:textId="77777777" w:rsidR="00512A92" w:rsidRPr="00512A92" w:rsidRDefault="00512A92" w:rsidP="00512A92">
      <w:pPr>
        <w:widowControl w:val="0"/>
        <w:autoSpaceDE w:val="0"/>
        <w:autoSpaceDN w:val="0"/>
        <w:adjustRightInd w:val="0"/>
        <w:spacing w:line="240" w:lineRule="auto"/>
        <w:ind w:left="480" w:hanging="480"/>
        <w:rPr>
          <w:rFonts w:ascii="Calibri" w:hAnsi="Calibri" w:cs="Calibri"/>
          <w:noProof/>
          <w:szCs w:val="24"/>
        </w:rPr>
      </w:pPr>
      <w:r w:rsidRPr="00512A92">
        <w:rPr>
          <w:rFonts w:ascii="Calibri" w:hAnsi="Calibri" w:cs="Calibri"/>
          <w:noProof/>
          <w:szCs w:val="24"/>
        </w:rPr>
        <w:t>Rossman, A. K., J. D. Bakker, D. W. Peterson, and C. B. Halpern. 2020. Long-term effects of fuels treatments, overstory structure, and wildfire on tree regeneration in dry forests of Central Washington. Forests 11:888.</w:t>
      </w:r>
    </w:p>
    <w:p w14:paraId="7CDE22F6" w14:textId="77777777" w:rsidR="00512A92" w:rsidRPr="00512A92" w:rsidRDefault="00512A92" w:rsidP="00512A92">
      <w:pPr>
        <w:widowControl w:val="0"/>
        <w:autoSpaceDE w:val="0"/>
        <w:autoSpaceDN w:val="0"/>
        <w:adjustRightInd w:val="0"/>
        <w:spacing w:line="240" w:lineRule="auto"/>
        <w:ind w:left="480" w:hanging="480"/>
        <w:rPr>
          <w:rFonts w:ascii="Calibri" w:hAnsi="Calibri" w:cs="Calibri"/>
          <w:noProof/>
        </w:rPr>
      </w:pPr>
      <w:r w:rsidRPr="00512A92">
        <w:rPr>
          <w:rFonts w:ascii="Calibri" w:hAnsi="Calibri" w:cs="Calibri"/>
          <w:noProof/>
          <w:szCs w:val="24"/>
        </w:rPr>
        <w:t>Stephens, S. L., B. M. Collins, and G. Roller. 2012. Fuel treatment longevity in a Sierra Nevada mixed conifer forest. Forest Ecology and Management 285:204–212.</w:t>
      </w:r>
    </w:p>
    <w:p w14:paraId="65A2509F" w14:textId="17A8412D" w:rsidR="00512A92" w:rsidRPr="00512A92" w:rsidRDefault="00512A92">
      <w:pPr>
        <w:rPr>
          <w:b/>
          <w:bCs/>
        </w:rPr>
      </w:pPr>
      <w:r>
        <w:rPr>
          <w:b/>
          <w:bCs/>
        </w:rPr>
        <w:fldChar w:fldCharType="end"/>
      </w:r>
    </w:p>
    <w:p w14:paraId="6152B9E1" w14:textId="6D556560" w:rsidR="00512A92" w:rsidRPr="00512A92" w:rsidRDefault="00512A92">
      <w:r>
        <w:t>Tables, Figures, References</w:t>
      </w:r>
    </w:p>
    <w:p w14:paraId="38488A05" w14:textId="77777777" w:rsidR="00512A92" w:rsidRPr="00512A92" w:rsidRDefault="00512A92"/>
    <w:sectPr w:rsidR="00512A92" w:rsidRPr="00512A9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D2A6763"/>
    <w:multiLevelType w:val="hybridMultilevel"/>
    <w:tmpl w:val="FFAE75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193086"/>
    <w:rsid w:val="00023CD8"/>
    <w:rsid w:val="00193086"/>
    <w:rsid w:val="00273585"/>
    <w:rsid w:val="00354B77"/>
    <w:rsid w:val="00386BF8"/>
    <w:rsid w:val="003930A1"/>
    <w:rsid w:val="003E0E9A"/>
    <w:rsid w:val="00477139"/>
    <w:rsid w:val="004C20A2"/>
    <w:rsid w:val="004C7F48"/>
    <w:rsid w:val="00512A92"/>
    <w:rsid w:val="005527CB"/>
    <w:rsid w:val="005854CB"/>
    <w:rsid w:val="00596446"/>
    <w:rsid w:val="0060176F"/>
    <w:rsid w:val="006F5FEF"/>
    <w:rsid w:val="007846CD"/>
    <w:rsid w:val="00841B51"/>
    <w:rsid w:val="0093526C"/>
    <w:rsid w:val="00994E2A"/>
    <w:rsid w:val="0099538B"/>
    <w:rsid w:val="00A07B06"/>
    <w:rsid w:val="00A12F4E"/>
    <w:rsid w:val="00AA7C10"/>
    <w:rsid w:val="00B40E2E"/>
    <w:rsid w:val="00BD00BF"/>
    <w:rsid w:val="00BF4CA7"/>
    <w:rsid w:val="00C8026B"/>
    <w:rsid w:val="00D51BF7"/>
    <w:rsid w:val="00E7272B"/>
    <w:rsid w:val="00FB7E5D"/>
    <w:rsid w:val="00FE7B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DB200B"/>
  <w15:docId w15:val="{043CD15C-FDCB-4BDE-AC4A-CBE6D9BB59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9308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B7E5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jpe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file>

<file path=customXml/itemProps1.xml><?xml version="1.0" encoding="utf-8"?>
<ds:datastoreItem xmlns:ds="http://schemas.openxmlformats.org/officeDocument/2006/customXml" ds:itemID="{2AFB8BDD-CC55-4A63-AFF0-EE3D388396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158</TotalTime>
  <Pages>13</Pages>
  <Words>26817</Words>
  <Characters>152859</Characters>
  <Application>Microsoft Office Word</Application>
  <DocSecurity>0</DocSecurity>
  <Lines>1273</Lines>
  <Paragraphs>358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179318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Donald Radcliffe</dc:creator>
  <cp:keywords/>
  <dc:description/>
  <cp:lastModifiedBy>Donald Radcliffe</cp:lastModifiedBy>
  <cp:revision>3</cp:revision>
  <dcterms:created xsi:type="dcterms:W3CDTF">2022-03-07T04:08:00Z</dcterms:created>
  <dcterms:modified xsi:type="dcterms:W3CDTF">2022-03-07T08:03:00Z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bfb4fa27-566e-3528-8296-835bddb00cd1</vt:lpwstr>
  </property>
  <property fmtid="{D5CDD505-2E9C-101B-9397-08002B2CF9AE}" pid="4" name="Mendeley Citation Style_1">
    <vt:lpwstr>http://www.zotero.org/styles/ecology</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http://csl.mendeley.com/styles/497735051/american-political-science-association</vt:lpwstr>
  </property>
  <property fmtid="{D5CDD505-2E9C-101B-9397-08002B2CF9AE}" pid="8" name="Mendeley Recent Style Name 1_1">
    <vt:lpwstr>American Political Science Association - Donald Radcliffe - Don C Radcliffe</vt:lpwstr>
  </property>
  <property fmtid="{D5CDD505-2E9C-101B-9397-08002B2CF9AE}" pid="9" name="Mendeley Recent Style Id 2_1">
    <vt:lpwstr>https://csl.mendeley.com/styles/497735051/american-political-science-association-don-radcliffe-date</vt:lpwstr>
  </property>
  <property fmtid="{D5CDD505-2E9C-101B-9397-08002B2CF9AE}" pid="10" name="Mendeley Recent Style Name 2_1">
    <vt:lpwstr>American Political Science Association - Donald Radcliffe - Don C Radcliffe</vt:lpwstr>
  </property>
  <property fmtid="{D5CDD505-2E9C-101B-9397-08002B2CF9AE}" pid="11" name="Mendeley Recent Style Id 3_1">
    <vt:lpwstr>http://csl.mendeley.com/styles/497735051/american-political-science-association-don-radcliffe-date</vt:lpwstr>
  </property>
  <property fmtid="{D5CDD505-2E9C-101B-9397-08002B2CF9AE}" pid="12" name="Mendeley Recent Style Name 3_1">
    <vt:lpwstr>American Political Science Association - Donald Radcliffe - Don C Radcliffe</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http://www.zotero.org/styles/ecology</vt:lpwstr>
  </property>
  <property fmtid="{D5CDD505-2E9C-101B-9397-08002B2CF9AE}" pid="18" name="Mendeley Recent Style Name 6_1">
    <vt:lpwstr>Ecology</vt:lpwstr>
  </property>
  <property fmtid="{D5CDD505-2E9C-101B-9397-08002B2CF9AE}" pid="19" name="Mendeley Recent Style Id 7_1">
    <vt:lpwstr>http://www.zotero.org/styles/modern-language-association</vt:lpwstr>
  </property>
  <property fmtid="{D5CDD505-2E9C-101B-9397-08002B2CF9AE}" pid="20" name="Mendeley Recent Style Name 7_1">
    <vt:lpwstr>Modern Language Association 8th edition</vt:lpwstr>
  </property>
  <property fmtid="{D5CDD505-2E9C-101B-9397-08002B2CF9AE}" pid="21" name="Mendeley Recent Style Id 8_1">
    <vt:lpwstr>http://www.zotero.org/styles/nature</vt:lpwstr>
  </property>
  <property fmtid="{D5CDD505-2E9C-101B-9397-08002B2CF9AE}" pid="22" name="Mendeley Recent Style Name 8_1">
    <vt:lpwstr>Nature</vt:lpwstr>
  </property>
  <property fmtid="{D5CDD505-2E9C-101B-9397-08002B2CF9AE}" pid="23" name="Mendeley Recent Style Id 9_1">
    <vt:lpwstr>http://www.zotero.org/styles/springer-basic-author-date-no-et-al</vt:lpwstr>
  </property>
  <property fmtid="{D5CDD505-2E9C-101B-9397-08002B2CF9AE}" pid="24" name="Mendeley Recent Style Name 9_1">
    <vt:lpwstr>Springer - Basic (author-date, no "et al.")</vt:lpwstr>
  </property>
</Properties>
</file>