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B425" w14:textId="09E46F36" w:rsidR="00810E22" w:rsidRDefault="00810E22" w:rsidP="00810E22">
      <w:pPr>
        <w:spacing w:after="0"/>
        <w:rPr>
          <w:rFonts w:ascii="Times New Roman" w:hAnsi="Times New Roman" w:cs="Times New Roman"/>
          <w:b/>
          <w:bCs/>
          <w:sz w:val="28"/>
          <w:szCs w:val="28"/>
        </w:rPr>
      </w:pPr>
      <w:r w:rsidRPr="00A85A43">
        <w:rPr>
          <w:rFonts w:ascii="Times New Roman" w:hAnsi="Times New Roman" w:cs="Times New Roman"/>
          <w:b/>
          <w:bCs/>
          <w:sz w:val="28"/>
          <w:szCs w:val="28"/>
        </w:rPr>
        <w:t xml:space="preserve">Mission Creek </w:t>
      </w:r>
      <w:r w:rsidR="0024678E" w:rsidRPr="00A85A43">
        <w:rPr>
          <w:rFonts w:ascii="Times New Roman" w:hAnsi="Times New Roman" w:cs="Times New Roman"/>
          <w:b/>
          <w:bCs/>
          <w:sz w:val="28"/>
          <w:szCs w:val="28"/>
        </w:rPr>
        <w:t xml:space="preserve">Fuel </w:t>
      </w:r>
      <w:r w:rsidRPr="00A85A43">
        <w:rPr>
          <w:rFonts w:ascii="Times New Roman" w:hAnsi="Times New Roman" w:cs="Times New Roman"/>
          <w:b/>
          <w:bCs/>
          <w:sz w:val="28"/>
          <w:szCs w:val="28"/>
        </w:rPr>
        <w:t>Data</w:t>
      </w:r>
      <w:r w:rsidR="005A6503">
        <w:rPr>
          <w:rFonts w:ascii="Times New Roman" w:hAnsi="Times New Roman" w:cs="Times New Roman"/>
          <w:b/>
          <w:bCs/>
          <w:sz w:val="28"/>
          <w:szCs w:val="28"/>
        </w:rPr>
        <w:t xml:space="preserve"> Description and Metadata</w:t>
      </w:r>
    </w:p>
    <w:p w14:paraId="1B8B3313" w14:textId="77777777" w:rsidR="005A6503" w:rsidRDefault="005A6503" w:rsidP="00810E22">
      <w:pPr>
        <w:spacing w:after="0"/>
        <w:rPr>
          <w:rFonts w:ascii="Times New Roman" w:hAnsi="Times New Roman" w:cs="Times New Roman"/>
          <w:b/>
          <w:bCs/>
          <w:sz w:val="28"/>
          <w:szCs w:val="28"/>
        </w:rPr>
      </w:pPr>
    </w:p>
    <w:p w14:paraId="5F693BF9" w14:textId="1AECE973" w:rsidR="005A6503" w:rsidRPr="005A6503" w:rsidRDefault="005A6503" w:rsidP="00810E22">
      <w:pPr>
        <w:spacing w:after="0"/>
        <w:rPr>
          <w:rFonts w:ascii="Times New Roman" w:hAnsi="Times New Roman" w:cs="Times New Roman"/>
          <w:sz w:val="24"/>
          <w:szCs w:val="24"/>
        </w:rPr>
      </w:pPr>
      <w:r w:rsidRPr="005A6503">
        <w:rPr>
          <w:rFonts w:ascii="Times New Roman" w:hAnsi="Times New Roman" w:cs="Times New Roman"/>
          <w:sz w:val="24"/>
          <w:szCs w:val="24"/>
        </w:rPr>
        <w:t>Don Radcliffe, PhD Candidate</w:t>
      </w:r>
    </w:p>
    <w:p w14:paraId="75500546" w14:textId="5DDAD537" w:rsidR="005A6503" w:rsidRPr="005A6503" w:rsidRDefault="005A6503" w:rsidP="00810E22">
      <w:pPr>
        <w:spacing w:after="0"/>
        <w:rPr>
          <w:rFonts w:ascii="Times New Roman" w:hAnsi="Times New Roman" w:cs="Times New Roman"/>
          <w:sz w:val="24"/>
          <w:szCs w:val="24"/>
        </w:rPr>
      </w:pPr>
      <w:r w:rsidRPr="005A6503">
        <w:rPr>
          <w:rFonts w:ascii="Times New Roman" w:hAnsi="Times New Roman" w:cs="Times New Roman"/>
          <w:sz w:val="24"/>
          <w:szCs w:val="24"/>
        </w:rPr>
        <w:t>University of Washington School of Environmental and Forest Sciences</w:t>
      </w:r>
    </w:p>
    <w:p w14:paraId="7EF0C38E" w14:textId="1CACC467" w:rsidR="005A6503" w:rsidRPr="005A6503" w:rsidRDefault="005A6503" w:rsidP="00810E22">
      <w:pPr>
        <w:spacing w:after="0"/>
        <w:rPr>
          <w:rFonts w:ascii="Times New Roman" w:hAnsi="Times New Roman" w:cs="Times New Roman"/>
          <w:sz w:val="24"/>
          <w:szCs w:val="24"/>
        </w:rPr>
      </w:pPr>
      <w:r w:rsidRPr="005A6503">
        <w:rPr>
          <w:rFonts w:ascii="Times New Roman" w:hAnsi="Times New Roman" w:cs="Times New Roman"/>
          <w:sz w:val="24"/>
          <w:szCs w:val="24"/>
        </w:rPr>
        <w:t>dradclif@uw.edu</w:t>
      </w:r>
    </w:p>
    <w:p w14:paraId="67F84D71" w14:textId="25E048E9" w:rsidR="005A6503" w:rsidRPr="005A6503" w:rsidRDefault="005A6503" w:rsidP="00810E22">
      <w:pPr>
        <w:spacing w:after="0"/>
        <w:rPr>
          <w:rFonts w:ascii="Times New Roman" w:hAnsi="Times New Roman" w:cs="Times New Roman"/>
          <w:sz w:val="24"/>
          <w:szCs w:val="24"/>
        </w:rPr>
      </w:pPr>
      <w:r w:rsidRPr="005A6503">
        <w:rPr>
          <w:rFonts w:ascii="Times New Roman" w:hAnsi="Times New Roman" w:cs="Times New Roman"/>
          <w:sz w:val="24"/>
          <w:szCs w:val="24"/>
        </w:rPr>
        <w:t>donaldradcliffe91@gmail.com</w:t>
      </w:r>
    </w:p>
    <w:p w14:paraId="5F56EF04" w14:textId="0C29C0A3" w:rsidR="005A6503" w:rsidRPr="005A6503" w:rsidRDefault="005A6503" w:rsidP="00810E22">
      <w:pPr>
        <w:spacing w:after="0"/>
        <w:rPr>
          <w:rFonts w:ascii="Times New Roman" w:hAnsi="Times New Roman" w:cs="Times New Roman"/>
          <w:sz w:val="24"/>
          <w:szCs w:val="24"/>
        </w:rPr>
      </w:pPr>
      <w:r w:rsidRPr="005A6503">
        <w:rPr>
          <w:rFonts w:ascii="Times New Roman" w:hAnsi="Times New Roman" w:cs="Times New Roman"/>
          <w:sz w:val="24"/>
          <w:szCs w:val="24"/>
        </w:rPr>
        <w:t>(608) 333-2253</w:t>
      </w:r>
    </w:p>
    <w:p w14:paraId="38CFDB72" w14:textId="2AF765A8" w:rsidR="005A6503" w:rsidRDefault="005A6503" w:rsidP="00810E22">
      <w:pPr>
        <w:spacing w:after="0"/>
        <w:rPr>
          <w:rFonts w:ascii="Times New Roman" w:hAnsi="Times New Roman" w:cs="Times New Roman"/>
          <w:sz w:val="24"/>
          <w:szCs w:val="24"/>
        </w:rPr>
      </w:pPr>
      <w:proofErr w:type="spellStart"/>
      <w:r w:rsidRPr="005A6503">
        <w:rPr>
          <w:rFonts w:ascii="Times New Roman" w:hAnsi="Times New Roman" w:cs="Times New Roman"/>
          <w:sz w:val="24"/>
          <w:szCs w:val="24"/>
        </w:rPr>
        <w:t>Github</w:t>
      </w:r>
      <w:proofErr w:type="spellEnd"/>
      <w:r w:rsidRPr="005A6503">
        <w:rPr>
          <w:rFonts w:ascii="Times New Roman" w:hAnsi="Times New Roman" w:cs="Times New Roman"/>
          <w:sz w:val="24"/>
          <w:szCs w:val="24"/>
        </w:rPr>
        <w:t>: don-</w:t>
      </w:r>
      <w:proofErr w:type="spellStart"/>
      <w:r w:rsidRPr="005A6503">
        <w:rPr>
          <w:rFonts w:ascii="Times New Roman" w:hAnsi="Times New Roman" w:cs="Times New Roman"/>
          <w:sz w:val="24"/>
          <w:szCs w:val="24"/>
        </w:rPr>
        <w:t>radcliffe</w:t>
      </w:r>
      <w:proofErr w:type="spellEnd"/>
    </w:p>
    <w:p w14:paraId="765F6F29" w14:textId="5C035F12" w:rsidR="005A6503" w:rsidRPr="005A6503" w:rsidRDefault="005A6503" w:rsidP="00810E22">
      <w:pPr>
        <w:spacing w:after="0"/>
        <w:rPr>
          <w:rFonts w:ascii="Times New Roman" w:hAnsi="Times New Roman" w:cs="Times New Roman"/>
          <w:sz w:val="24"/>
          <w:szCs w:val="24"/>
        </w:rPr>
      </w:pPr>
      <w:r>
        <w:rPr>
          <w:rFonts w:ascii="Times New Roman" w:hAnsi="Times New Roman" w:cs="Times New Roman"/>
          <w:sz w:val="24"/>
          <w:szCs w:val="24"/>
        </w:rPr>
        <w:t>March 10</w:t>
      </w:r>
      <w:r w:rsidRPr="005A6503">
        <w:rPr>
          <w:rFonts w:ascii="Times New Roman" w:hAnsi="Times New Roman" w:cs="Times New Roman"/>
          <w:sz w:val="24"/>
          <w:szCs w:val="24"/>
          <w:vertAlign w:val="superscript"/>
        </w:rPr>
        <w:t>th</w:t>
      </w:r>
      <w:r>
        <w:rPr>
          <w:rFonts w:ascii="Times New Roman" w:hAnsi="Times New Roman" w:cs="Times New Roman"/>
          <w:sz w:val="24"/>
          <w:szCs w:val="24"/>
        </w:rPr>
        <w:t>, 2022</w:t>
      </w:r>
    </w:p>
    <w:p w14:paraId="1F9603DA" w14:textId="77777777" w:rsidR="00A85A43" w:rsidRPr="00A85A43" w:rsidRDefault="00A85A43" w:rsidP="00810E22">
      <w:pPr>
        <w:spacing w:after="0"/>
        <w:rPr>
          <w:rFonts w:ascii="Times New Roman" w:hAnsi="Times New Roman" w:cs="Times New Roman"/>
          <w:b/>
          <w:bCs/>
          <w:sz w:val="28"/>
          <w:szCs w:val="28"/>
        </w:rPr>
      </w:pPr>
    </w:p>
    <w:p w14:paraId="5DEE9BE0" w14:textId="5BF63A7E" w:rsidR="004C52CF" w:rsidRDefault="00556528" w:rsidP="00810E22">
      <w:pPr>
        <w:spacing w:after="0"/>
        <w:rPr>
          <w:rFonts w:ascii="Times New Roman" w:hAnsi="Times New Roman" w:cs="Times New Roman"/>
          <w:sz w:val="24"/>
          <w:szCs w:val="24"/>
        </w:rPr>
      </w:pPr>
      <w:r>
        <w:rPr>
          <w:rFonts w:ascii="Times New Roman" w:hAnsi="Times New Roman" w:cs="Times New Roman"/>
          <w:sz w:val="24"/>
          <w:szCs w:val="24"/>
        </w:rPr>
        <w:t>The following report describes fuel data from the Mission Creek site of the Fire and Fire Surrogates Study (FFS)</w:t>
      </w:r>
      <w:r w:rsidR="0024118D">
        <w:rPr>
          <w:rFonts w:ascii="Times New Roman" w:hAnsi="Times New Roman" w:cs="Times New Roman"/>
          <w:sz w:val="24"/>
          <w:szCs w:val="24"/>
        </w:rPr>
        <w:t>.</w:t>
      </w:r>
      <w:r w:rsidR="004C52CF">
        <w:rPr>
          <w:rFonts w:ascii="Times New Roman" w:hAnsi="Times New Roman" w:cs="Times New Roman"/>
          <w:sz w:val="24"/>
          <w:szCs w:val="24"/>
        </w:rPr>
        <w:t xml:space="preserve">  The data described are contained in the ‘mission_master_widest.csv’ file.  Additional sample protocols are listed in the ‘protocol_mission_creek_2020.doc’ file.</w:t>
      </w:r>
    </w:p>
    <w:p w14:paraId="6EB42977" w14:textId="77777777" w:rsidR="004C52CF" w:rsidRDefault="004C52CF" w:rsidP="00810E22">
      <w:pPr>
        <w:spacing w:after="0"/>
        <w:rPr>
          <w:rFonts w:ascii="Times New Roman" w:hAnsi="Times New Roman" w:cs="Times New Roman"/>
          <w:sz w:val="24"/>
          <w:szCs w:val="24"/>
        </w:rPr>
      </w:pPr>
    </w:p>
    <w:p w14:paraId="607E3162" w14:textId="0D156C98" w:rsidR="00810E22" w:rsidRDefault="0024678E" w:rsidP="00810E22">
      <w:pPr>
        <w:spacing w:after="0"/>
        <w:rPr>
          <w:rFonts w:ascii="Times New Roman" w:hAnsi="Times New Roman" w:cs="Times New Roman"/>
          <w:sz w:val="24"/>
          <w:szCs w:val="24"/>
        </w:rPr>
      </w:pPr>
      <w:r>
        <w:rPr>
          <w:rFonts w:ascii="Times New Roman" w:hAnsi="Times New Roman" w:cs="Times New Roman"/>
          <w:sz w:val="24"/>
          <w:szCs w:val="24"/>
        </w:rPr>
        <w:t>The Mission Creek s</w:t>
      </w:r>
      <w:r w:rsidR="00556528">
        <w:rPr>
          <w:rFonts w:ascii="Times New Roman" w:hAnsi="Times New Roman" w:cs="Times New Roman"/>
          <w:sz w:val="24"/>
          <w:szCs w:val="24"/>
        </w:rPr>
        <w:t xml:space="preserve">ite was one of original 13 sites of the FFS, a nationwide coordinated distributed experiment </w:t>
      </w:r>
      <w:r>
        <w:rPr>
          <w:rFonts w:ascii="Times New Roman" w:hAnsi="Times New Roman" w:cs="Times New Roman"/>
          <w:sz w:val="24"/>
          <w:szCs w:val="24"/>
        </w:rPr>
        <w:t>designed</w:t>
      </w:r>
      <w:r w:rsidR="00903D34">
        <w:rPr>
          <w:rFonts w:ascii="Times New Roman" w:hAnsi="Times New Roman" w:cs="Times New Roman"/>
          <w:sz w:val="24"/>
          <w:szCs w:val="24"/>
        </w:rPr>
        <w:t xml:space="preserve"> to study</w:t>
      </w:r>
      <w:r>
        <w:rPr>
          <w:rFonts w:ascii="Times New Roman" w:hAnsi="Times New Roman" w:cs="Times New Roman"/>
          <w:sz w:val="24"/>
          <w:szCs w:val="24"/>
        </w:rPr>
        <w:t xml:space="preserve"> the effects of the following forestry treatments: control, thin, burn, and thin plus burn</w:t>
      </w:r>
      <w:r w:rsidR="00556528">
        <w:rPr>
          <w:rFonts w:ascii="Times New Roman" w:hAnsi="Times New Roman" w:cs="Times New Roman"/>
          <w:sz w:val="24"/>
          <w:szCs w:val="24"/>
        </w:rPr>
        <w:t xml:space="preserve"> </w:t>
      </w:r>
      <w:r w:rsidR="00556528">
        <w:rPr>
          <w:rFonts w:ascii="Times New Roman" w:hAnsi="Times New Roman" w:cs="Times New Roman"/>
          <w:sz w:val="24"/>
          <w:szCs w:val="24"/>
        </w:rPr>
        <w:fldChar w:fldCharType="begin" w:fldLock="1"/>
      </w:r>
      <w:r w:rsidR="008617B3">
        <w:rPr>
          <w:rFonts w:ascii="Times New Roman" w:hAnsi="Times New Roman" w:cs="Times New Roman"/>
          <w:sz w:val="24"/>
          <w:szCs w:val="24"/>
        </w:rPr>
        <w:instrText>ADDIN CSL_CITATION {"citationItems":[{"id":"ITEM-1","itemData":{"DOI":"10.1093/forestscience/56.1.4","ISSN":"0015749X","abstract":"The National Fire and Fire Surrogate (FFS) study is described, from its conceptual stage in early 1996 to the completion of its short-term phase in May 2006. Comprising 12 sites, the FFS study is a comprehensive multidisciplinary experiment designed to evaluate the economics and ecological consequences of alternative fuel reduction treatments in seasonally dry forests of the United States. The FFS study uses a common experimental design across the 12-site network, with each site consisting of a fully replicated experiment that compares four treatments: an unmanipulated control, prescribed fire, mechanical treatments, and mechanical fire. We measured operational costs and variables within several components of the ecosystem, including vegetation, the fuel bed, soils, bark beetles, tree diseases, and wildlife in the same 10-ha experimental units. This design allowed us to assemble a fairly complete picture of ecosystem response to treatment at the site scale, and to compare treatment response across sites representing a wide variety of conditions. We offer the FFS study as a model for conducting a complex multidisciplinary management experiment focused on natural resource issues. We then discuss why we believe it was successful and how it could be improved. We discuss seven key features that we believe must be considered to conduct a successful multidisciplinary experiment: funding, design, partnerships, organization, standardization, data management, and outreach. Although experiments such as the FFS study are difficult to execute, they may be our best hope for answering some of our more pressing questions in the field of natural resource management. © 2010 by the Society of American Foresters.","author":[{"dropping-particle":"","family":"McIver","given":"James Duncan","non-dropping-particle":"","parse-names":false,"suffix":""},{"dropping-particle":"","family":"Weatherspoon","given":"Charles Phillip","non-dropping-particle":"","parse-names":false,"suffix":""}],"container-title":"Forest Science","id":"ITEM-1","issue":"1","issued":{"date-parts":[["2010","2"]]},"note":"Seven key features to conduct a successful multidisciplinary experiment\nfunding\ndesign\npartnerships\norganization\nstandardization\ndata management\noutreach\n\n~\n\nA 'southern rocky mountains' site was dropped early due to wildfires\n\nsouthern sierra site the only one that was never logged\n\ncentral sierra site masticated\n\nMore than 200 scientific and technical pubs\nand many other outreaches \n\nJFSP funding period ended 2006\n\nBy then most eastern sites had done 2 or 3 rx burns\n\nsupport from JFSP covered 92% of hard funding\n\nFuels could have been better studied in smaller treatments with more replicates, but that didn't accomadate the other vars\nscale issues common in interdisciplinary work\n\nOne of the benefits of FFS was the learning across disciplines\n\nProject was managed with a three tiered organization\ntechnical committee, oversight committee, network manager\n\ntechnical committee members recruited via established networks, likely reduced potential talent pool\n\nLevel of detail in protocol insufficient to prevent minor differences\n\nOne of the biggest challenges was construction of a reliable, efficient, and easy-to-use national database\n\nManagers interested in cost tradeoffs\noutreach other than publications\n\nFFS treatments generally agreed with manager assessement\n- an exception was surprise at low tree mort in rx burn treatments\n\nManager identified limitations\n- cost data at stand and not operational stand\n- limited social acceptability data\n- no comparison of effects reletive to wildfire\n- limited extrapolation to landscape scale\n\n$70,000 per publication\n\n","page":"4-17","title":"On conducting a multisite, multidisciplinary forestry research project: Lessons from the national fire and fire surrogate study","type":"article-journal","volume":"56"},"uris":["http://www.mendeley.com/documents/?uuid=081f6606-2ba8-36d4-aab1-1079eba5e509"]}],"mendeley":{"formattedCitation":"(McIver and Weatherspoon 2010)","plainTextFormattedCitation":"(McIver and Weatherspoon 2010)","previouslyFormattedCitation":"(McIver and Weatherspoon 2010)"},"properties":{"noteIndex":0},"schema":"https://github.com/citation-style-language/schema/raw/master/csl-citation.json"}</w:instrText>
      </w:r>
      <w:r w:rsidR="00556528">
        <w:rPr>
          <w:rFonts w:ascii="Times New Roman" w:hAnsi="Times New Roman" w:cs="Times New Roman"/>
          <w:sz w:val="24"/>
          <w:szCs w:val="24"/>
        </w:rPr>
        <w:fldChar w:fldCharType="separate"/>
      </w:r>
      <w:r w:rsidR="00556528" w:rsidRPr="00556528">
        <w:rPr>
          <w:rFonts w:ascii="Times New Roman" w:hAnsi="Times New Roman" w:cs="Times New Roman"/>
          <w:noProof/>
          <w:sz w:val="24"/>
          <w:szCs w:val="24"/>
        </w:rPr>
        <w:t>(McIver and Weatherspoon 2010)</w:t>
      </w:r>
      <w:r w:rsidR="00556528">
        <w:rPr>
          <w:rFonts w:ascii="Times New Roman" w:hAnsi="Times New Roman" w:cs="Times New Roman"/>
          <w:sz w:val="24"/>
          <w:szCs w:val="24"/>
        </w:rPr>
        <w:fldChar w:fldCharType="end"/>
      </w:r>
      <w:r w:rsidR="00556528">
        <w:rPr>
          <w:rFonts w:ascii="Times New Roman" w:hAnsi="Times New Roman" w:cs="Times New Roman"/>
          <w:sz w:val="24"/>
          <w:szCs w:val="24"/>
        </w:rPr>
        <w:t>.  The four treatments were implemented in 2001-2006 at the Mission Creek site, over three replicate units of roughly ten hectares each for each treatment</w:t>
      </w:r>
      <w:r w:rsidR="008617B3">
        <w:rPr>
          <w:rFonts w:ascii="Times New Roman" w:hAnsi="Times New Roman" w:cs="Times New Roman"/>
          <w:sz w:val="24"/>
          <w:szCs w:val="24"/>
        </w:rPr>
        <w:t xml:space="preserve"> </w:t>
      </w:r>
      <w:r w:rsidR="008617B3">
        <w:rPr>
          <w:rFonts w:ascii="Times New Roman" w:hAnsi="Times New Roman" w:cs="Times New Roman"/>
          <w:sz w:val="24"/>
          <w:szCs w:val="24"/>
        </w:rPr>
        <w:fldChar w:fldCharType="begin" w:fldLock="1"/>
      </w:r>
      <w:r w:rsidR="008617B3">
        <w:rPr>
          <w:rFonts w:ascii="Times New Roman" w:hAnsi="Times New Roman" w:cs="Times New Roman"/>
          <w:sz w:val="24"/>
          <w:szCs w:val="24"/>
        </w:rPr>
        <w:instrText>ADDIN CSL_CITATION {"citationItems":[{"id":"ITEM-1","itemData":{"DOI":"10.2737/PNW-RP-577","author":[{"dropping-particle":"","family":"Agee","given":"James K.","non-dropping-particle":"","parse-names":false,"suffix":""},{"dropping-particle":"","family":"Lehmkuhl","given":"John F.","non-dropping-particle":"","parse-names":false,"suffix":""}],"container-title":"Res. Pap. PNW-RP-577. Portland, OR: U.S. Department of Agriculture, Forest Service, Pacific Northwest Research Station. 158 p.","id":"ITEM-1","issued":{"date-parts":[["2009"]]},"number-of-pages":"158","publisher-place":"Portland, OR","title":"Dry forests of the Northeastern Cascades Fire and Fire Surrogate project site, Mission Creek, Okanogan-Wenatchee National Forest","type":"report","volume":"577"},"uris":["http://www.mendeley.com/documents/?uuid=5cdf019a-e01d-3ec8-b1ad-68fcf0ad3073"]}],"mendeley":{"formattedCitation":"(Agee and Lehmkuhl 2009)","plainTextFormattedCitation":"(Agee and Lehmkuhl 2009)","previouslyFormattedCitation":"(Agee and Lehmkuhl 2009)"},"properties":{"noteIndex":0},"schema":"https://github.com/citation-style-language/schema/raw/master/csl-citation.json"}</w:instrText>
      </w:r>
      <w:r w:rsidR="008617B3">
        <w:rPr>
          <w:rFonts w:ascii="Times New Roman" w:hAnsi="Times New Roman" w:cs="Times New Roman"/>
          <w:sz w:val="24"/>
          <w:szCs w:val="24"/>
        </w:rPr>
        <w:fldChar w:fldCharType="separate"/>
      </w:r>
      <w:r w:rsidR="008617B3" w:rsidRPr="008617B3">
        <w:rPr>
          <w:rFonts w:ascii="Times New Roman" w:hAnsi="Times New Roman" w:cs="Times New Roman"/>
          <w:noProof/>
          <w:sz w:val="24"/>
          <w:szCs w:val="24"/>
        </w:rPr>
        <w:t>(Agee and Lehmkuhl 2009)</w:t>
      </w:r>
      <w:r w:rsidR="008617B3">
        <w:rPr>
          <w:rFonts w:ascii="Times New Roman" w:hAnsi="Times New Roman" w:cs="Times New Roman"/>
          <w:sz w:val="24"/>
          <w:szCs w:val="24"/>
        </w:rPr>
        <w:fldChar w:fldCharType="end"/>
      </w:r>
      <w:r w:rsidR="008617B3">
        <w:rPr>
          <w:rFonts w:ascii="Times New Roman" w:hAnsi="Times New Roman" w:cs="Times New Roman"/>
          <w:sz w:val="24"/>
          <w:szCs w:val="24"/>
        </w:rPr>
        <w:t>.  In 2012</w:t>
      </w:r>
      <w:r w:rsidR="00903D34">
        <w:rPr>
          <w:rFonts w:ascii="Times New Roman" w:hAnsi="Times New Roman" w:cs="Times New Roman"/>
          <w:sz w:val="24"/>
          <w:szCs w:val="24"/>
        </w:rPr>
        <w:t>,</w:t>
      </w:r>
      <w:r w:rsidR="008617B3">
        <w:rPr>
          <w:rFonts w:ascii="Times New Roman" w:hAnsi="Times New Roman" w:cs="Times New Roman"/>
          <w:sz w:val="24"/>
          <w:szCs w:val="24"/>
        </w:rPr>
        <w:t xml:space="preserve"> a low severity wildfire burned through four of the replicate units: two control, one thin, and one burn </w:t>
      </w:r>
      <w:r w:rsidR="008617B3">
        <w:rPr>
          <w:rFonts w:ascii="Times New Roman" w:hAnsi="Times New Roman" w:cs="Times New Roman"/>
          <w:sz w:val="24"/>
          <w:szCs w:val="24"/>
        </w:rPr>
        <w:fldChar w:fldCharType="begin" w:fldLock="1"/>
      </w:r>
      <w:r w:rsidR="008617B3">
        <w:rPr>
          <w:rFonts w:ascii="Times New Roman" w:hAnsi="Times New Roman" w:cs="Times New Roman"/>
          <w:sz w:val="24"/>
          <w:szCs w:val="24"/>
        </w:rPr>
        <w:instrText>ADDIN CSL_CITATION {"citationItems":[{"id":"ITEM-1","itemData":{"DOI":"10.3390/F11080888","ISSN":"19994907","abstract":"The long-term effectiveness of dry-forest fuels treatments (restoration thinning and prescribed burning) depends, in part, on the pace at which trees regenerate and recruit into the overstory. Knowledge of the factors that shape post-treatment regeneration and growth is limited by the short timeframes and simple disturbance histories of past research. Here, we present results of a 15-year fuels-reduction experiment in central Washington, including responses to planned and unplanned disturbances. We explore the changing patterns of Douglas-fir regeneration in 72 permanent plots (0.1 ha) varying in overstory abundance (a function of density and basal area) and disturbance history-the latter including thinning, prescribed burning, and/or wildfire. Plots were measured before treatment (2000/2001), soon afterwards (2004/2005), and more than a decade later (2015). Thinning combined with burning enhanced sapling recruitment (ingrowth) into the overstory, although rates of ingrowth were consistently low and greatly exceeded by mortality. Relationships between seedling frequency (proportion of quadrats within a plot) and overstory abundance shifted from weakly negative before treatment to positive after thinning, to neutral in the longer term. However, these relationships were overshadowed by more recent, higher-severity prescribed fire and wildfire that stimulated seedling establishment while killing advanced regeneration and overstory trees. Our results highlight the dependence of regeneration responses on the history of, and time since, fuels treatment and subsequent disturbance. Managers must be aware of this spatial and temporal complexity and plan for future disturbances that are inevitable but unpredictable in timing and severity.","author":[{"dropping-particle":"","family":"Rossman","given":"Allison K.","non-dropping-particle":"","parse-names":false,"suffix":""},{"dropping-particle":"","family":"Bakker","given":"Jonathan D.","non-dropping-particle":"","parse-names":false,"suffix":""},{"dropping-particle":"","family":"Peterson","given":"David W.","non-dropping-particle":"","parse-names":false,"suffix":""},{"dropping-particle":"","family":"Halpern","given":"Charles B.","non-dropping-particle":"","parse-names":false,"suffix":""}],"container-title":"Forests","id":"ITEM-1","issue":"8","issued":{"date-parts":[["2020","8","1"]]},"note":"tb enhanced sap recruitment but greatly exceeded by mort\n\nRelationships between seedlings freq and overstory abundance shifted from weakly negative before treatment to positive after thinning, nuetral in longrun\n\nHigher sev fire and wildfire +","page":"888","publisher":"MDPI AG","title":"Long-term effects of fuels treatments, overstory structure, and wildfire on tree regeneration in dry forests of Central Washington","type":"article-journal","volume":"11"},"uris":["http://www.mendeley.com/documents/?uuid=b4b7f84f-1bdb-3adb-aff7-6014e3b8cd2e"]}],"mendeley":{"formattedCitation":"(Rossman et al. 2020)","plainTextFormattedCitation":"(Rossman et al. 2020)","previouslyFormattedCitation":"(Rossman et al. 2020)"},"properties":{"noteIndex":0},"schema":"https://github.com/citation-style-language/schema/raw/master/csl-citation.json"}</w:instrText>
      </w:r>
      <w:r w:rsidR="008617B3">
        <w:rPr>
          <w:rFonts w:ascii="Times New Roman" w:hAnsi="Times New Roman" w:cs="Times New Roman"/>
          <w:sz w:val="24"/>
          <w:szCs w:val="24"/>
        </w:rPr>
        <w:fldChar w:fldCharType="separate"/>
      </w:r>
      <w:r w:rsidR="008617B3" w:rsidRPr="008617B3">
        <w:rPr>
          <w:rFonts w:ascii="Times New Roman" w:hAnsi="Times New Roman" w:cs="Times New Roman"/>
          <w:noProof/>
          <w:sz w:val="24"/>
          <w:szCs w:val="24"/>
        </w:rPr>
        <w:t>(Rossman et al. 2020)</w:t>
      </w:r>
      <w:r w:rsidR="008617B3">
        <w:rPr>
          <w:rFonts w:ascii="Times New Roman" w:hAnsi="Times New Roman" w:cs="Times New Roman"/>
          <w:sz w:val="24"/>
          <w:szCs w:val="24"/>
        </w:rPr>
        <w:fldChar w:fldCharType="end"/>
      </w:r>
      <w:r w:rsidR="008617B3">
        <w:rPr>
          <w:rFonts w:ascii="Times New Roman" w:hAnsi="Times New Roman" w:cs="Times New Roman"/>
          <w:sz w:val="24"/>
          <w:szCs w:val="24"/>
        </w:rPr>
        <w:t>.</w:t>
      </w:r>
      <w:r w:rsidR="00556528">
        <w:rPr>
          <w:rFonts w:ascii="Times New Roman" w:hAnsi="Times New Roman" w:cs="Times New Roman"/>
          <w:sz w:val="24"/>
          <w:szCs w:val="24"/>
        </w:rPr>
        <w:t xml:space="preserve"> </w:t>
      </w:r>
      <w:r w:rsidR="008617B3">
        <w:rPr>
          <w:rFonts w:ascii="Times New Roman" w:hAnsi="Times New Roman" w:cs="Times New Roman"/>
          <w:sz w:val="24"/>
          <w:szCs w:val="24"/>
        </w:rPr>
        <w:t xml:space="preserve"> </w:t>
      </w:r>
      <w:r>
        <w:rPr>
          <w:rFonts w:ascii="Times New Roman" w:hAnsi="Times New Roman" w:cs="Times New Roman"/>
          <w:sz w:val="24"/>
          <w:szCs w:val="24"/>
        </w:rPr>
        <w:t xml:space="preserve">See protocol document for more details. </w:t>
      </w:r>
    </w:p>
    <w:p w14:paraId="10243D1A" w14:textId="77777777" w:rsidR="00BE0684" w:rsidRDefault="00BE0684" w:rsidP="00810E22">
      <w:pPr>
        <w:spacing w:after="0"/>
        <w:rPr>
          <w:rFonts w:ascii="Times New Roman" w:hAnsi="Times New Roman" w:cs="Times New Roman"/>
          <w:sz w:val="24"/>
          <w:szCs w:val="24"/>
        </w:rPr>
      </w:pPr>
    </w:p>
    <w:p w14:paraId="7AA4B021" w14:textId="7F197ED9" w:rsidR="008617B3" w:rsidRDefault="008617B3" w:rsidP="00810E22">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F97EC6">
        <w:rPr>
          <w:rFonts w:ascii="Times New Roman" w:hAnsi="Times New Roman" w:cs="Times New Roman"/>
          <w:sz w:val="24"/>
          <w:szCs w:val="24"/>
        </w:rPr>
        <w:t xml:space="preserve">fuel </w:t>
      </w:r>
      <w:r>
        <w:rPr>
          <w:rFonts w:ascii="Times New Roman" w:hAnsi="Times New Roman" w:cs="Times New Roman"/>
          <w:sz w:val="24"/>
          <w:szCs w:val="24"/>
        </w:rPr>
        <w:t>data used in analysis includes two sample periods, call</w:t>
      </w:r>
      <w:r w:rsidR="00903D34">
        <w:rPr>
          <w:rFonts w:ascii="Times New Roman" w:hAnsi="Times New Roman" w:cs="Times New Roman"/>
          <w:sz w:val="24"/>
          <w:szCs w:val="24"/>
        </w:rPr>
        <w:t>ed here</w:t>
      </w:r>
      <w:r>
        <w:rPr>
          <w:rFonts w:ascii="Times New Roman" w:hAnsi="Times New Roman" w:cs="Times New Roman"/>
          <w:sz w:val="24"/>
          <w:szCs w:val="24"/>
        </w:rPr>
        <w:t xml:space="preserve">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Pretreatment data were collected in 2000, and collection was led by James Agee of the University of Washington </w:t>
      </w:r>
      <w:r>
        <w:rPr>
          <w:rFonts w:ascii="Times New Roman" w:hAnsi="Times New Roman" w:cs="Times New Roman"/>
          <w:sz w:val="24"/>
          <w:szCs w:val="24"/>
        </w:rPr>
        <w:fldChar w:fldCharType="begin" w:fldLock="1"/>
      </w:r>
      <w:r w:rsidR="00F97EC6">
        <w:rPr>
          <w:rFonts w:ascii="Times New Roman" w:hAnsi="Times New Roman" w:cs="Times New Roman"/>
          <w:sz w:val="24"/>
          <w:szCs w:val="24"/>
        </w:rPr>
        <w:instrText>ADDIN CSL_CITATION {"citationItems":[{"id":"ITEM-1","itemData":{"DOI":"10.4996/fireecology.0202003","ISSN":"1933-9747","abstract":"Prescribed fire and low thinning were applied to dry forests dominated\\nby ponderosa pine\\n\\n(Pinus ponderosa) and Douglas-fir (Pseudotsuga menziesii) in the eastern\\nWashington\\n\\nCascades. Experimental design was an unbalanced analysis of variance\\nwith 4 control units, 4\\n\\nthin units, 2 burn units and 2 thin/burn units. Thinning was designed\\nto reduce basal area to 10-\\n\\n14 m2 ha-1 in a non-uniform pattern and burning was a low intensity\\nspring burn. Burn\\n\\ncoverage was spotty, ranging from 23-51%, and considered ineffective\\nin reducing fuels at the\\n\\ntime of application by management and research personnel. Both thinning\\nand burning had\\n\\neffects on vegetation and fuels variables. Thinning reduced canopy\\nclosure, canopy bulk\\n\\ndensity, and basal area, and increased canopy base height. Burning\\nhad no influence on these\\n\\ncanopy variables. Thinning increased 10-hr timelag (0.62-2.54 cm)\\nfuels. Burning decreased\\n\\n1-hr (0-0.62 cm) and 10-hr timelag fuels, forest floor depth and mass,\\nand increased fuelbed\\n\\ndepth. There were interactions between thinning and burning for 1-hr\\nand 10-hr timelag fuels,\\n\\nand fuelbed depth. These differences in fuel properties did not translate\\ninto differences in\\n\\nsimulated wildfire behavior and tree mortality. Thinning did increase\\npotential surface fire\\n\\nflame length under 97 percentile weather, and active crown fire potential\\ndecreased on thinned\\n\\nunits, but basal area survival did not significantly differ between\\ntreatments under 80 and 97\\n\\npercentile weather. The scale at which data are presented has a large\\ninfluence on interpretation\\n\\nof results. For example, torching fire behavior, expressed as an average\\nat the unit level, was\\n\\nlow, but 17% of the individual plots (about 30 plots total per unit)\\nacross all treatments did\\n\\nexhibit potential torching behavior.","author":[{"dropping-particle":"","family":"Agee","given":"James K.","non-dropping-particle":"","parse-names":false,"suffix":""},{"dropping-particle":"","family":"Lolley","given":"M. Reese","non-dropping-particle":"","parse-names":false,"suffix":""}],"container-title":"Fire Ecology","id":"ITEM-1","issue":"2","issued":{"date-parts":[["2006","12"]]},"note":"Thinning increased 10 hour fuels, increased potential surface flame length, but not active crown fire\n\nburning &amp;quot;ineffective&amp;quot;\n\nUnbalanced design\n\nburning decreased 1 10 forest floor depth mass, and increased fuelbed depth\n\ntb interaction for 1 10 fuelbed depth\n-did not translate into differences in sim fire\n\n~\n\nstand reconstructions showed that these trees sometimes survived many 20-30 fires\n\nclimate a mix of maritime and continental\n\nUnits of 10 ha specified for breeding bird surveys\n\nThinning objectives\nincrease resistance to bark beetle attack\n10-14ha\nlow thin\nhelicopter\n\nBurn coverage estimated visually on 900m2 plots around each sample plot\n\nRitchy Harrod did floristic samples\n\npre and post-treatment shrub and herb data exported to FUELCALC\n\nmarginal sum of squares test for unbalanced design\n\nVariables with slightly different collection protocol measured using ANCOVA\n\nWe should do ANCOVA to account for treatment differences\n\ntransformed herb biomass, 1 hour, 1000 hour rotten, canopy base height, forest floor biomass needed transformation but that didn't help\n&amp;quot;if significant these results should be interpreted cautiously&amp;quot;\n\nFire behavior estimated using NEXUS\n\nModelled each unit with actual slope and fixed 45% slope\n\nA megagram is a metric ton\n\nNeed to read more of it","page":"3-19","publisher":"Springer Science and Business Media LLC","title":"Thinning and Prescribed Fire Effects on Fuels and Potential Fire Behavior in an Eastern Cascades Forest, Washington, USA","type":"article-journal","volume":"2"},"uris":["http://www.mendeley.com/documents/?uuid=b6efc976-1dee-3df2-a93f-99d4d34dde14"]},{"id":"ITEM-2","itemData":{"DOI":"10.2737/PNW-RP-577","author":[{"dropping-particle":"","family":"Agee","given":"James K.","non-dropping-particle":"","parse-names":false,"suffix":""},{"dropping-particle":"","family":"Lehmkuhl","given":"John F.","non-dropping-particle":"","parse-names":false,"suffix":""}],"container-title":"Res. Pap. PNW-RP-577. Portland, OR: U.S. Department of Agriculture, Forest Service, Pacific Northwest Research Station. 158 p.","id":"ITEM-2","issued":{"date-parts":[["2009"]]},"number-of-pages":"158","publisher-place":"Portland, OR","title":"Dry forests of the Northeastern Cascades Fire and Fire Surrogate project site, Mission Creek, Okanogan-Wenatchee National Forest","type":"report","volume":"577"},"uris":["http://www.mendeley.com/documents/?uuid=5cdf019a-e01d-3ec8-b1ad-68fcf0ad3073"]}],"mendeley":{"formattedCitation":"(Agee and Lolley 2006, Agee and Lehmkuhl 2009)","plainTextFormattedCitation":"(Agee and Lolley 2006, Agee and Lehmkuhl 2009)","previouslyFormattedCitation":"(Agee and Lolley 2006, Agee and Lehmkuhl 2009)"},"properties":{"noteIndex":0},"schema":"https://github.com/citation-style-language/schema/raw/master/csl-citation.json"}</w:instrText>
      </w:r>
      <w:r>
        <w:rPr>
          <w:rFonts w:ascii="Times New Roman" w:hAnsi="Times New Roman" w:cs="Times New Roman"/>
          <w:sz w:val="24"/>
          <w:szCs w:val="24"/>
        </w:rPr>
        <w:fldChar w:fldCharType="separate"/>
      </w:r>
      <w:r w:rsidRPr="008617B3">
        <w:rPr>
          <w:rFonts w:ascii="Times New Roman" w:hAnsi="Times New Roman" w:cs="Times New Roman"/>
          <w:noProof/>
          <w:sz w:val="24"/>
          <w:szCs w:val="24"/>
        </w:rPr>
        <w:t>(Agee and Lolley 2006, Agee and Lehmkuhl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data were collected in 2019 and 2020, and collection was led by Don Radcliffe and Brian Harvey </w:t>
      </w:r>
      <w:r w:rsidR="00F97EC6">
        <w:rPr>
          <w:rFonts w:ascii="Times New Roman" w:hAnsi="Times New Roman" w:cs="Times New Roman"/>
          <w:sz w:val="24"/>
          <w:szCs w:val="24"/>
        </w:rPr>
        <w:t xml:space="preserve">of the University of Washington.  Immediate post </w:t>
      </w:r>
      <w:r w:rsidR="00903D34">
        <w:rPr>
          <w:rFonts w:ascii="Times New Roman" w:hAnsi="Times New Roman" w:cs="Times New Roman"/>
          <w:sz w:val="24"/>
          <w:szCs w:val="24"/>
        </w:rPr>
        <w:t xml:space="preserve">treatment </w:t>
      </w:r>
      <w:r w:rsidR="00F97EC6">
        <w:rPr>
          <w:rFonts w:ascii="Times New Roman" w:hAnsi="Times New Roman" w:cs="Times New Roman"/>
          <w:sz w:val="24"/>
          <w:szCs w:val="24"/>
        </w:rPr>
        <w:t xml:space="preserve">response data were also collected, and results are documented in </w:t>
      </w:r>
      <w:r w:rsidR="00F97EC6">
        <w:rPr>
          <w:rFonts w:ascii="Times New Roman" w:hAnsi="Times New Roman" w:cs="Times New Roman"/>
          <w:sz w:val="24"/>
          <w:szCs w:val="24"/>
        </w:rPr>
        <w:fldChar w:fldCharType="begin" w:fldLock="1"/>
      </w:r>
      <w:r w:rsidR="009F60E8">
        <w:rPr>
          <w:rFonts w:ascii="Times New Roman" w:hAnsi="Times New Roman" w:cs="Times New Roman"/>
          <w:sz w:val="24"/>
          <w:szCs w:val="24"/>
        </w:rPr>
        <w:instrText>ADDIN CSL_CITATION {"citationItems":[{"id":"ITEM-1","itemData":{"DOI":"10.4996/fireecology.0202003","ISSN":"1933-9747","abstract":"Prescribed fire and low thinning were applied to dry forests dominated\\nby ponderosa pine\\n\\n(Pinus ponderosa) and Douglas-fir (Pseudotsuga menziesii) in the eastern\\nWashington\\n\\nCascades. Experimental design was an unbalanced analysis of variance\\nwith 4 control units, 4\\n\\nthin units, 2 burn units and 2 thin/burn units. Thinning was designed\\nto reduce basal area to 10-\\n\\n14 m2 ha-1 in a non-uniform pattern and burning was a low intensity\\nspring burn. Burn\\n\\ncoverage was spotty, ranging from 23-51%, and considered ineffective\\nin reducing fuels at the\\n\\ntime of application by management and research personnel. Both thinning\\nand burning had\\n\\neffects on vegetation and fuels variables. Thinning reduced canopy\\nclosure, canopy bulk\\n\\ndensity, and basal area, and increased canopy base height. Burning\\nhad no influence on these\\n\\ncanopy variables. Thinning increased 10-hr timelag (0.62-2.54 cm)\\nfuels. Burning decreased\\n\\n1-hr (0-0.62 cm) and 10-hr timelag fuels, forest floor depth and mass,\\nand increased fuelbed\\n\\ndepth. There were interactions between thinning and burning for 1-hr\\nand 10-hr timelag fuels,\\n\\nand fuelbed depth. These differences in fuel properties did not translate\\ninto differences in\\n\\nsimulated wildfire behavior and tree mortality. Thinning did increase\\npotential surface fire\\n\\nflame length under 97 percentile weather, and active crown fire potential\\ndecreased on thinned\\n\\nunits, but basal area survival did not significantly differ between\\ntreatments under 80 and 97\\n\\npercentile weather. The scale at which data are presented has a large\\ninfluence on interpretation\\n\\nof results. For example, torching fire behavior, expressed as an average\\nat the unit level, was\\n\\nlow, but 17% of the individual plots (about 30 plots total per unit)\\nacross all treatments did\\n\\nexhibit potential torching behavior.","author":[{"dropping-particle":"","family":"Agee","given":"James K.","non-dropping-particle":"","parse-names":false,"suffix":""},{"dropping-particle":"","family":"Lolley","given":"M. Reese","non-dropping-particle":"","parse-names":false,"suffix":""}],"container-title":"Fire Ecology","id":"ITEM-1","issue":"2","issued":{"date-parts":[["2006","12"]]},"note":"Thinning increased 10 hour fuels, increased potential surface flame length, but not active crown fire\n\nburning &amp;quot;ineffective&amp;quot;\n\nUnbalanced design\n\nburning decreased 1 10 forest floor depth mass, and increased fuelbed depth\n\ntb interaction for 1 10 fuelbed depth\n-did not translate into differences in sim fire\n\n~\n\nstand reconstructions showed that these trees sometimes survived many 20-30 fires\n\nclimate a mix of maritime and continental\n\nUnits of 10 ha specified for breeding bird surveys\n\nThinning objectives\nincrease resistance to bark beetle attack\n10-14ha\nlow thin\nhelicopter\n\nBurn coverage estimated visually on 900m2 plots around each sample plot\n\nRitchy Harrod did floristic samples\n\npre and post-treatment shrub and herb data exported to FUELCALC\n\nmarginal sum of squares test for unbalanced design\n\nVariables with slightly different collection protocol measured using ANCOVA\n\nWe should do ANCOVA to account for treatment differences\n\ntransformed herb biomass, 1 hour, 1000 hour rotten, canopy base height, forest floor biomass needed transformation but that didn't help\n&amp;quot;if significant these results should be interpreted cautiously&amp;quot;\n\nFire behavior estimated using NEXUS\n\nModelled each unit with actual slope and fixed 45% slope\n\nA megagram is a metric ton\n\nNeed to read more of it","page":"3-19","publisher":"Springer Science and Business Media LLC","title":"Thinning and Prescribed Fire Effects on Fuels and Potential Fire Behavior in an Eastern Cascades Forest, Washington, USA","type":"article-journal","volume":"2"},"uris":["http://www.mendeley.com/documents/?uuid=b6efc976-1dee-3df2-a93f-99d4d34dde14"]}],"mendeley":{"formattedCitation":"(Agee and Lolley 2006)","manualFormatting":"Agee and Lolley (2006)","plainTextFormattedCitation":"(Agee and Lolley 2006)","previouslyFormattedCitation":"(Agee and Lolley 2006)"},"properties":{"noteIndex":0},"schema":"https://github.com/citation-style-language/schema/raw/master/csl-citation.json"}</w:instrText>
      </w:r>
      <w:r w:rsidR="00F97EC6">
        <w:rPr>
          <w:rFonts w:ascii="Times New Roman" w:hAnsi="Times New Roman" w:cs="Times New Roman"/>
          <w:sz w:val="24"/>
          <w:szCs w:val="24"/>
        </w:rPr>
        <w:fldChar w:fldCharType="separate"/>
      </w:r>
      <w:r w:rsidR="00F97EC6" w:rsidRPr="00F97EC6">
        <w:rPr>
          <w:rFonts w:ascii="Times New Roman" w:hAnsi="Times New Roman" w:cs="Times New Roman"/>
          <w:noProof/>
          <w:sz w:val="24"/>
          <w:szCs w:val="24"/>
        </w:rPr>
        <w:t xml:space="preserve">Agee and Lolley </w:t>
      </w:r>
      <w:r w:rsidR="009F60E8">
        <w:rPr>
          <w:rFonts w:ascii="Times New Roman" w:hAnsi="Times New Roman" w:cs="Times New Roman"/>
          <w:noProof/>
          <w:sz w:val="24"/>
          <w:szCs w:val="24"/>
        </w:rPr>
        <w:t>(</w:t>
      </w:r>
      <w:r w:rsidR="00F97EC6" w:rsidRPr="00F97EC6">
        <w:rPr>
          <w:rFonts w:ascii="Times New Roman" w:hAnsi="Times New Roman" w:cs="Times New Roman"/>
          <w:noProof/>
          <w:sz w:val="24"/>
          <w:szCs w:val="24"/>
        </w:rPr>
        <w:t>2006)</w:t>
      </w:r>
      <w:r w:rsidR="00F97EC6">
        <w:rPr>
          <w:rFonts w:ascii="Times New Roman" w:hAnsi="Times New Roman" w:cs="Times New Roman"/>
          <w:sz w:val="24"/>
          <w:szCs w:val="24"/>
        </w:rPr>
        <w:fldChar w:fldCharType="end"/>
      </w:r>
      <w:r w:rsidR="00F97EC6">
        <w:rPr>
          <w:rFonts w:ascii="Times New Roman" w:hAnsi="Times New Roman" w:cs="Times New Roman"/>
          <w:sz w:val="24"/>
          <w:szCs w:val="24"/>
        </w:rPr>
        <w:t>, but at the time of writing</w:t>
      </w:r>
      <w:r w:rsidR="009F60E8">
        <w:rPr>
          <w:rFonts w:ascii="Times New Roman" w:hAnsi="Times New Roman" w:cs="Times New Roman"/>
          <w:sz w:val="24"/>
          <w:szCs w:val="24"/>
        </w:rPr>
        <w:t xml:space="preserve"> this report</w:t>
      </w:r>
      <w:r w:rsidR="00F97EC6">
        <w:rPr>
          <w:rFonts w:ascii="Times New Roman" w:hAnsi="Times New Roman" w:cs="Times New Roman"/>
          <w:sz w:val="24"/>
          <w:szCs w:val="24"/>
        </w:rPr>
        <w:t xml:space="preserve"> these data have not been relocated in raw form.  </w:t>
      </w:r>
    </w:p>
    <w:p w14:paraId="05FEB5D9" w14:textId="77777777" w:rsidR="00BE0684" w:rsidRDefault="00BE0684" w:rsidP="009F60E8">
      <w:pPr>
        <w:spacing w:after="0"/>
        <w:rPr>
          <w:rFonts w:ascii="Times New Roman" w:hAnsi="Times New Roman" w:cs="Times New Roman"/>
          <w:sz w:val="24"/>
          <w:szCs w:val="24"/>
        </w:rPr>
      </w:pPr>
    </w:p>
    <w:p w14:paraId="6D5E4CE6" w14:textId="71773A26" w:rsidR="00F97EC6" w:rsidRDefault="00F97EC6" w:rsidP="009F60E8">
      <w:pPr>
        <w:spacing w:after="0"/>
        <w:rPr>
          <w:rFonts w:ascii="Times New Roman" w:hAnsi="Times New Roman" w:cs="Times New Roman"/>
          <w:sz w:val="24"/>
          <w:szCs w:val="24"/>
        </w:rPr>
      </w:pPr>
      <w:r>
        <w:rPr>
          <w:rFonts w:ascii="Times New Roman" w:hAnsi="Times New Roman" w:cs="Times New Roman"/>
          <w:sz w:val="24"/>
          <w:szCs w:val="24"/>
        </w:rPr>
        <w:t xml:space="preserve">The goal of the current analyses is to analyze whether treatments affected fuel loading in the long term (greater than one decade following treatment, in our dataset 13-18 years following final treatment), and whether pretreatment differences in replicate units affected the long-term response.  </w:t>
      </w:r>
      <w:r w:rsidR="004077B9">
        <w:rPr>
          <w:rFonts w:ascii="Times New Roman" w:hAnsi="Times New Roman" w:cs="Times New Roman"/>
          <w:sz w:val="24"/>
          <w:szCs w:val="24"/>
        </w:rPr>
        <w:t>The fuel components that will be analyzed are detailed in the text below.  Surface fuel</w:t>
      </w:r>
      <w:r w:rsidR="009F60E8">
        <w:rPr>
          <w:rFonts w:ascii="Times New Roman" w:hAnsi="Times New Roman" w:cs="Times New Roman"/>
          <w:sz w:val="24"/>
          <w:szCs w:val="24"/>
        </w:rPr>
        <w:t xml:space="preserve"> data</w:t>
      </w:r>
      <w:r w:rsidR="004077B9">
        <w:rPr>
          <w:rFonts w:ascii="Times New Roman" w:hAnsi="Times New Roman" w:cs="Times New Roman"/>
          <w:sz w:val="24"/>
          <w:szCs w:val="24"/>
        </w:rPr>
        <w:t xml:space="preserve"> </w:t>
      </w:r>
      <w:r w:rsidR="009F60E8">
        <w:rPr>
          <w:rFonts w:ascii="Times New Roman" w:hAnsi="Times New Roman" w:cs="Times New Roman"/>
          <w:sz w:val="24"/>
          <w:szCs w:val="24"/>
        </w:rPr>
        <w:t xml:space="preserve">were collected and summarized using Brown’s transects </w:t>
      </w:r>
      <w:r w:rsidR="009F60E8">
        <w:rPr>
          <w:rFonts w:ascii="Times New Roman" w:hAnsi="Times New Roman" w:cs="Times New Roman"/>
          <w:sz w:val="24"/>
          <w:szCs w:val="24"/>
        </w:rPr>
        <w:fldChar w:fldCharType="begin" w:fldLock="1"/>
      </w:r>
      <w:r w:rsidR="009F60E8">
        <w:rPr>
          <w:rFonts w:ascii="Times New Roman" w:hAnsi="Times New Roman" w:cs="Times New Roman"/>
          <w:sz w:val="24"/>
          <w:szCs w:val="24"/>
        </w:rPr>
        <w:instrText>ADDIN CSL_CITATION {"citationItems":[{"id":"ITEM-1","itemData":{"DOI":"10.1093/FORESTSCIENCE/17.1.96","ISSN":"0015-749X","abstract":"The method requires a tally of intersections between sampling planes and vegetative particles categorized by size and shape classes. These planes may be of any size and positioned at any orientation with respect to the ground. The method applies to both randomly and nonrandomly oriented particles that approximate either circles or rectangles in cross section. Estimates that accounted for all angles of particle intersection were more accurate than estimates that assumed perpendicular angles of intersection in a cheatgrass field test. Forest Sci. 17:96-102.","author":[{"dropping-particle":"","family":"Brown","given":"James K.","non-dropping-particle":"","parse-names":false,"suffix":""}],"container-title":"Forest Science","id":"ITEM-1","issue":"1","issued":{"date-parts":[["1971","3","1"]]},"page":"96-102","publisher":"Oxford Academic","title":"A Planar Intersect Method for Sampling Fuel Volume and Surface Area","type":"article-journal","volume":"17"},"uris":["http://www.mendeley.com/documents/?uuid=b6a77ac9-0868-3293-a7a8-5dd54ad9ddb2"]}],"mendeley":{"formattedCitation":"(Brown 1971)","plainTextFormattedCitation":"(Brown 1971)","previouslyFormattedCitation":"(Brown 1971)"},"properties":{"noteIndex":0},"schema":"https://github.com/citation-style-language/schema/raw/master/csl-citation.json"}</w:instrText>
      </w:r>
      <w:r w:rsidR="009F60E8">
        <w:rPr>
          <w:rFonts w:ascii="Times New Roman" w:hAnsi="Times New Roman" w:cs="Times New Roman"/>
          <w:sz w:val="24"/>
          <w:szCs w:val="24"/>
        </w:rPr>
        <w:fldChar w:fldCharType="separate"/>
      </w:r>
      <w:r w:rsidR="009F60E8" w:rsidRPr="009F60E8">
        <w:rPr>
          <w:rFonts w:ascii="Times New Roman" w:hAnsi="Times New Roman" w:cs="Times New Roman"/>
          <w:noProof/>
          <w:sz w:val="24"/>
          <w:szCs w:val="24"/>
        </w:rPr>
        <w:t>(Brown 1971)</w:t>
      </w:r>
      <w:r w:rsidR="009F60E8">
        <w:rPr>
          <w:rFonts w:ascii="Times New Roman" w:hAnsi="Times New Roman" w:cs="Times New Roman"/>
          <w:sz w:val="24"/>
          <w:szCs w:val="24"/>
        </w:rPr>
        <w:fldChar w:fldCharType="end"/>
      </w:r>
      <w:r w:rsidR="009F60E8">
        <w:rPr>
          <w:rFonts w:ascii="Times New Roman" w:hAnsi="Times New Roman" w:cs="Times New Roman"/>
          <w:sz w:val="24"/>
          <w:szCs w:val="24"/>
        </w:rPr>
        <w:t xml:space="preserve">, with two transects per plot.  More details of the Mission Creek Brown’s transects are outlined in </w:t>
      </w:r>
      <w:r w:rsidR="009F60E8">
        <w:rPr>
          <w:rFonts w:ascii="Times New Roman" w:hAnsi="Times New Roman" w:cs="Times New Roman"/>
          <w:sz w:val="24"/>
          <w:szCs w:val="24"/>
        </w:rPr>
        <w:fldChar w:fldCharType="begin" w:fldLock="1"/>
      </w:r>
      <w:r w:rsidR="00796BB7">
        <w:rPr>
          <w:rFonts w:ascii="Times New Roman" w:hAnsi="Times New Roman" w:cs="Times New Roman"/>
          <w:sz w:val="24"/>
          <w:szCs w:val="24"/>
        </w:rPr>
        <w:instrText>ADDIN CSL_CITATION {"citationItems":[{"id":"ITEM-1","itemData":{"DOI":"10.4996/fireecology.0202003","ISSN":"1933-9747","abstract":"Prescribed fire and low thinning were applied to dry forests dominated\\nby ponderosa pine\\n\\n(Pinus ponderosa) and Douglas-fir (Pseudotsuga menziesii) in the eastern\\nWashington\\n\\nCascades. Experimental design was an unbalanced analysis of variance\\nwith 4 control units, 4\\n\\nthin units, 2 burn units and 2 thin/burn units. Thinning was designed\\nto reduce basal area to 10-\\n\\n14 m2 ha-1 in a non-uniform pattern and burning was a low intensity\\nspring burn. Burn\\n\\ncoverage was spotty, ranging from 23-51%, and considered ineffective\\nin reducing fuels at the\\n\\ntime of application by management and research personnel. Both thinning\\nand burning had\\n\\neffects on vegetation and fuels variables. Thinning reduced canopy\\nclosure, canopy bulk\\n\\ndensity, and basal area, and increased canopy base height. Burning\\nhad no influence on these\\n\\ncanopy variables. Thinning increased 10-hr timelag (0.62-2.54 cm)\\nfuels. Burning decreased\\n\\n1-hr (0-0.62 cm) and 10-hr timelag fuels, forest floor depth and mass,\\nand increased fuelbed\\n\\ndepth. There were interactions between thinning and burning for 1-hr\\nand 10-hr timelag fuels,\\n\\nand fuelbed depth. These differences in fuel properties did not translate\\ninto differences in\\n\\nsimulated wildfire behavior and tree mortality. Thinning did increase\\npotential surface fire\\n\\nflame length under 97 percentile weather, and active crown fire potential\\ndecreased on thinned\\n\\nunits, but basal area survival did not significantly differ between\\ntreatments under 80 and 97\\n\\npercentile weather. The scale at which data are presented has a large\\ninfluence on interpretation\\n\\nof results. For example, torching fire behavior, expressed as an average\\nat the unit level, was\\n\\nlow, but 17% of the individual plots (about 30 plots total per unit)\\nacross all treatments did\\n\\nexhibit potential torching behavior.","author":[{"dropping-particle":"","family":"Agee","given":"James K.","non-dropping-particle":"","parse-names":false,"suffix":""},{"dropping-particle":"","family":"Lolley","given":"M. Reese","non-dropping-particle":"","parse-names":false,"suffix":""}],"container-title":"Fire Ecology","id":"ITEM-1","issue":"2","issued":{"date-parts":[["2006","12"]]},"note":"Thinning increased 10 hour fuels, increased potential surface flame length, but not active crown fire\n\nburning &amp;quot;ineffective&amp;quot;\n\nUnbalanced design\n\nburning decreased 1 10 forest floor depth mass, and increased fuelbed depth\n\ntb interaction for 1 10 fuelbed depth\n-did not translate into differences in sim fire\n\n~\n\nstand reconstructions showed that these trees sometimes survived many 20-30 fires\n\nclimate a mix of maritime and continental\n\nUnits of 10 ha specified for breeding bird surveys\n\nThinning objectives\nincrease resistance to bark beetle attack\n10-14ha\nlow thin\nhelicopter\n\nBurn coverage estimated visually on 900m2 plots around each sample plot\n\nRitchy Harrod did floristic samples\n\npre and post-treatment shrub and herb data exported to FUELCALC\n\nmarginal sum of squares test for unbalanced design\n\nVariables with slightly different collection protocol measured using ANCOVA\n\nWe should do ANCOVA to account for treatment differences\n\ntransformed herb biomass, 1 hour, 1000 hour rotten, canopy base height, forest floor biomass needed transformation but that didn't help\n&amp;quot;if significant these results should be interpreted cautiously&amp;quot;\n\nFire behavior estimated using NEXUS\n\nModelled each unit with actual slope and fixed 45% slope\n\nA megagram is a metric ton\n\nNeed to read more of it","page":"3-19","publisher":"Springer Science and Business Media LLC","title":"Thinning and Prescribed Fire Effects on Fuels and Potential Fire Behavior in an Eastern Cascades Forest, Washington, USA","type":"article-journal","volume":"2"},"uris":["http://www.mendeley.com/documents/?uuid=b6efc976-1dee-3df2-a93f-99d4d34dde14"]}],"mendeley":{"formattedCitation":"(Agee and Lolley 2006)","manualFormatting":"Agee and Lolley (2006)","plainTextFormattedCitation":"(Agee and Lolley 2006)","previouslyFormattedCitation":"(Agee and Lolley 2006)"},"properties":{"noteIndex":0},"schema":"https://github.com/citation-style-language/schema/raw/master/csl-citation.json"}</w:instrText>
      </w:r>
      <w:r w:rsidR="009F60E8">
        <w:rPr>
          <w:rFonts w:ascii="Times New Roman" w:hAnsi="Times New Roman" w:cs="Times New Roman"/>
          <w:sz w:val="24"/>
          <w:szCs w:val="24"/>
        </w:rPr>
        <w:fldChar w:fldCharType="separate"/>
      </w:r>
      <w:r w:rsidR="009F60E8" w:rsidRPr="009F60E8">
        <w:rPr>
          <w:rFonts w:ascii="Times New Roman" w:hAnsi="Times New Roman" w:cs="Times New Roman"/>
          <w:noProof/>
          <w:sz w:val="24"/>
          <w:szCs w:val="24"/>
        </w:rPr>
        <w:t xml:space="preserve">Agee and Lolley </w:t>
      </w:r>
      <w:r w:rsidR="009F60E8">
        <w:rPr>
          <w:rFonts w:ascii="Times New Roman" w:hAnsi="Times New Roman" w:cs="Times New Roman"/>
          <w:noProof/>
          <w:sz w:val="24"/>
          <w:szCs w:val="24"/>
        </w:rPr>
        <w:t>(</w:t>
      </w:r>
      <w:r w:rsidR="009F60E8" w:rsidRPr="009F60E8">
        <w:rPr>
          <w:rFonts w:ascii="Times New Roman" w:hAnsi="Times New Roman" w:cs="Times New Roman"/>
          <w:noProof/>
          <w:sz w:val="24"/>
          <w:szCs w:val="24"/>
        </w:rPr>
        <w:t>2006)</w:t>
      </w:r>
      <w:r w:rsidR="009F60E8">
        <w:rPr>
          <w:rFonts w:ascii="Times New Roman" w:hAnsi="Times New Roman" w:cs="Times New Roman"/>
          <w:sz w:val="24"/>
          <w:szCs w:val="24"/>
        </w:rPr>
        <w:fldChar w:fldCharType="end"/>
      </w:r>
      <w:r w:rsidR="009F60E8">
        <w:rPr>
          <w:rFonts w:ascii="Times New Roman" w:hAnsi="Times New Roman" w:cs="Times New Roman"/>
          <w:sz w:val="24"/>
          <w:szCs w:val="24"/>
        </w:rPr>
        <w:t xml:space="preserve"> and the attached protocol document.  Tree attributes were collected and summarized from fixed area radius plots, the details of which are described in the attached protocol document. </w:t>
      </w:r>
    </w:p>
    <w:p w14:paraId="71749FEB" w14:textId="77777777" w:rsidR="00BE0684" w:rsidRDefault="00BE0684" w:rsidP="009F60E8">
      <w:pPr>
        <w:spacing w:after="0"/>
        <w:rPr>
          <w:rFonts w:ascii="Times New Roman" w:hAnsi="Times New Roman" w:cs="Times New Roman"/>
          <w:sz w:val="24"/>
          <w:szCs w:val="24"/>
        </w:rPr>
      </w:pPr>
    </w:p>
    <w:p w14:paraId="0945E9FC" w14:textId="1457CB28" w:rsidR="00BE05F6" w:rsidRDefault="003615AB" w:rsidP="009F60E8">
      <w:pPr>
        <w:spacing w:after="0"/>
        <w:rPr>
          <w:rFonts w:ascii="Times New Roman" w:hAnsi="Times New Roman" w:cs="Times New Roman"/>
          <w:sz w:val="24"/>
          <w:szCs w:val="24"/>
        </w:rPr>
      </w:pPr>
      <w:r>
        <w:rPr>
          <w:rFonts w:ascii="Times New Roman" w:hAnsi="Times New Roman" w:cs="Times New Roman"/>
          <w:sz w:val="24"/>
          <w:szCs w:val="24"/>
        </w:rPr>
        <w:t xml:space="preserve">All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data were double-checked after entry, and </w:t>
      </w:r>
      <w:r w:rsidR="00A743B8">
        <w:rPr>
          <w:rFonts w:ascii="Times New Roman" w:hAnsi="Times New Roman" w:cs="Times New Roman"/>
          <w:sz w:val="24"/>
          <w:szCs w:val="24"/>
        </w:rPr>
        <w:t xml:space="preserve">each column was graphed to check for outliers.  Additional data files/scripts are available upon request.  </w:t>
      </w:r>
      <w:r w:rsidR="00F91926">
        <w:rPr>
          <w:rFonts w:ascii="Times New Roman" w:hAnsi="Times New Roman" w:cs="Times New Roman"/>
          <w:sz w:val="24"/>
          <w:szCs w:val="24"/>
        </w:rPr>
        <w:t xml:space="preserve">All data, metadata, and analyses are </w:t>
      </w:r>
      <w:proofErr w:type="gramStart"/>
      <w:r w:rsidR="00F91926">
        <w:rPr>
          <w:rFonts w:ascii="Times New Roman" w:hAnsi="Times New Roman" w:cs="Times New Roman"/>
          <w:sz w:val="24"/>
          <w:szCs w:val="24"/>
        </w:rPr>
        <w:t>saved</w:t>
      </w:r>
      <w:proofErr w:type="gramEnd"/>
      <w:r w:rsidR="00F91926">
        <w:rPr>
          <w:rFonts w:ascii="Times New Roman" w:hAnsi="Times New Roman" w:cs="Times New Roman"/>
          <w:sz w:val="24"/>
          <w:szCs w:val="24"/>
        </w:rPr>
        <w:t xml:space="preserve"> and version controlled on Don’s </w:t>
      </w:r>
      <w:proofErr w:type="spellStart"/>
      <w:r w:rsidR="00F91926">
        <w:rPr>
          <w:rFonts w:ascii="Times New Roman" w:hAnsi="Times New Roman" w:cs="Times New Roman"/>
          <w:sz w:val="24"/>
          <w:szCs w:val="24"/>
        </w:rPr>
        <w:t>github</w:t>
      </w:r>
      <w:proofErr w:type="spellEnd"/>
      <w:r w:rsidR="00F91926">
        <w:rPr>
          <w:rFonts w:ascii="Times New Roman" w:hAnsi="Times New Roman" w:cs="Times New Roman"/>
          <w:sz w:val="24"/>
          <w:szCs w:val="24"/>
        </w:rPr>
        <w:t xml:space="preserve"> page (</w:t>
      </w:r>
      <w:r w:rsidR="00F91926" w:rsidRPr="00F91926">
        <w:rPr>
          <w:rFonts w:ascii="Times New Roman" w:hAnsi="Times New Roman" w:cs="Times New Roman"/>
          <w:sz w:val="24"/>
          <w:szCs w:val="24"/>
        </w:rPr>
        <w:t>don-</w:t>
      </w:r>
      <w:proofErr w:type="spellStart"/>
      <w:r w:rsidR="00F91926" w:rsidRPr="00F91926">
        <w:rPr>
          <w:rFonts w:ascii="Times New Roman" w:hAnsi="Times New Roman" w:cs="Times New Roman"/>
          <w:sz w:val="24"/>
          <w:szCs w:val="24"/>
        </w:rPr>
        <w:t>radcliffe</w:t>
      </w:r>
      <w:proofErr w:type="spellEnd"/>
      <w:r w:rsidR="00F91926">
        <w:rPr>
          <w:rFonts w:ascii="Times New Roman" w:hAnsi="Times New Roman" w:cs="Times New Roman"/>
          <w:sz w:val="24"/>
          <w:szCs w:val="24"/>
        </w:rPr>
        <w:t xml:space="preserve">).  The repository </w:t>
      </w:r>
      <w:r w:rsidR="00F91926">
        <w:rPr>
          <w:rFonts w:ascii="Times New Roman" w:hAnsi="Times New Roman" w:cs="Times New Roman"/>
          <w:sz w:val="24"/>
          <w:szCs w:val="24"/>
        </w:rPr>
        <w:lastRenderedPageBreak/>
        <w:t xml:space="preserve">is currently </w:t>
      </w:r>
      <w:proofErr w:type="gramStart"/>
      <w:r w:rsidR="00F91926">
        <w:rPr>
          <w:rFonts w:ascii="Times New Roman" w:hAnsi="Times New Roman" w:cs="Times New Roman"/>
          <w:sz w:val="24"/>
          <w:szCs w:val="24"/>
        </w:rPr>
        <w:t>private, but</w:t>
      </w:r>
      <w:proofErr w:type="gramEnd"/>
      <w:r w:rsidR="00F91926">
        <w:rPr>
          <w:rFonts w:ascii="Times New Roman" w:hAnsi="Times New Roman" w:cs="Times New Roman"/>
          <w:sz w:val="24"/>
          <w:szCs w:val="24"/>
        </w:rPr>
        <w:t xml:space="preserve"> will be made public once a publication is produced from the </w:t>
      </w:r>
      <w:proofErr w:type="spellStart"/>
      <w:r w:rsidR="00F91926">
        <w:rPr>
          <w:rFonts w:ascii="Times New Roman" w:hAnsi="Times New Roman" w:cs="Times New Roman"/>
          <w:sz w:val="24"/>
          <w:szCs w:val="24"/>
        </w:rPr>
        <w:t>longterm</w:t>
      </w:r>
      <w:proofErr w:type="spellEnd"/>
      <w:r w:rsidR="00F91926">
        <w:rPr>
          <w:rFonts w:ascii="Times New Roman" w:hAnsi="Times New Roman" w:cs="Times New Roman"/>
          <w:sz w:val="24"/>
          <w:szCs w:val="24"/>
        </w:rPr>
        <w:t xml:space="preserve"> Mission Creek data. </w:t>
      </w:r>
    </w:p>
    <w:p w14:paraId="07198491" w14:textId="78FF69A4" w:rsidR="006D20F8" w:rsidRDefault="006D20F8" w:rsidP="009F60E8">
      <w:pPr>
        <w:spacing w:after="0"/>
        <w:rPr>
          <w:rFonts w:ascii="Times New Roman" w:hAnsi="Times New Roman" w:cs="Times New Roman"/>
          <w:sz w:val="24"/>
          <w:szCs w:val="24"/>
        </w:rPr>
      </w:pPr>
    </w:p>
    <w:p w14:paraId="7984B6E7" w14:textId="04978AFB" w:rsidR="006D20F8" w:rsidRDefault="006D20F8" w:rsidP="009F60E8">
      <w:pPr>
        <w:spacing w:after="0"/>
        <w:rPr>
          <w:rFonts w:ascii="Times New Roman" w:hAnsi="Times New Roman" w:cs="Times New Roman"/>
          <w:sz w:val="24"/>
          <w:szCs w:val="24"/>
        </w:rPr>
      </w:pPr>
      <w:r>
        <w:rPr>
          <w:rFonts w:ascii="Times New Roman" w:hAnsi="Times New Roman" w:cs="Times New Roman"/>
          <w:sz w:val="24"/>
          <w:szCs w:val="24"/>
        </w:rPr>
        <w:t>The following table lists metadata for response variables used in the SEFS 502 final report.  Note that for fire modelling variables, I’ve presented the ‘moderate’ fire weather and fuel conditions, which were determined from 80</w:t>
      </w:r>
      <w:r w:rsidRPr="006D20F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conditions using procedures described briefly below and in more detail in the report.  In the ‘</w:t>
      </w:r>
      <w:proofErr w:type="spellStart"/>
      <w:r>
        <w:rPr>
          <w:rFonts w:ascii="Times New Roman" w:hAnsi="Times New Roman" w:cs="Times New Roman"/>
          <w:sz w:val="24"/>
          <w:szCs w:val="24"/>
        </w:rPr>
        <w:t>mission_master_wide</w:t>
      </w:r>
      <w:proofErr w:type="spellEnd"/>
      <w:r>
        <w:rPr>
          <w:rFonts w:ascii="Times New Roman" w:hAnsi="Times New Roman" w:cs="Times New Roman"/>
          <w:sz w:val="24"/>
          <w:szCs w:val="24"/>
        </w:rPr>
        <w:t>’ .csv, these variables are also available using ‘mild’, 60</w:t>
      </w:r>
      <w:r w:rsidRPr="006D20F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and ‘severe’, 97</w:t>
      </w:r>
      <w:r w:rsidRPr="006D20F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conditions.  Additionally, basal area and density mortality variables are available with a ‘null’ model, in which a </w:t>
      </w:r>
      <w:proofErr w:type="gramStart"/>
      <w:r>
        <w:rPr>
          <w:rFonts w:ascii="Times New Roman" w:hAnsi="Times New Roman" w:cs="Times New Roman"/>
          <w:sz w:val="24"/>
          <w:szCs w:val="24"/>
        </w:rPr>
        <w:t>four foot</w:t>
      </w:r>
      <w:proofErr w:type="gramEnd"/>
      <w:r>
        <w:rPr>
          <w:rFonts w:ascii="Times New Roman" w:hAnsi="Times New Roman" w:cs="Times New Roman"/>
          <w:sz w:val="24"/>
          <w:szCs w:val="24"/>
        </w:rPr>
        <w:t xml:space="preserve"> surface flame-length was applied to every plot in the dataset. </w:t>
      </w:r>
    </w:p>
    <w:p w14:paraId="4F48942D" w14:textId="77777777" w:rsidR="00F91926" w:rsidRPr="008400A7" w:rsidRDefault="00F91926" w:rsidP="009F60E8">
      <w:pPr>
        <w:spacing w:after="0"/>
        <w:rPr>
          <w:rFonts w:ascii="Times New Roman" w:hAnsi="Times New Roman" w:cs="Times New Roman"/>
          <w:sz w:val="24"/>
          <w:szCs w:val="24"/>
        </w:rPr>
      </w:pPr>
    </w:p>
    <w:p w14:paraId="45F22F9C" w14:textId="5836059D" w:rsidR="005A6A1C" w:rsidRPr="00A743B8" w:rsidRDefault="00A743B8" w:rsidP="00810E22">
      <w:pPr>
        <w:spacing w:after="0"/>
        <w:rPr>
          <w:rFonts w:ascii="Times New Roman" w:hAnsi="Times New Roman" w:cs="Times New Roman"/>
          <w:i/>
          <w:iCs/>
          <w:sz w:val="24"/>
          <w:szCs w:val="24"/>
        </w:rPr>
      </w:pPr>
      <w:r w:rsidRPr="00A743B8">
        <w:rPr>
          <w:rFonts w:ascii="Times New Roman" w:hAnsi="Times New Roman" w:cs="Times New Roman"/>
          <w:i/>
          <w:iCs/>
          <w:sz w:val="24"/>
          <w:szCs w:val="24"/>
        </w:rPr>
        <w:t>R</w:t>
      </w:r>
      <w:r w:rsidR="009A5A73" w:rsidRPr="00A743B8">
        <w:rPr>
          <w:rFonts w:ascii="Times New Roman" w:hAnsi="Times New Roman" w:cs="Times New Roman"/>
          <w:i/>
          <w:iCs/>
          <w:sz w:val="24"/>
          <w:szCs w:val="24"/>
        </w:rPr>
        <w:t>esponse Variable Metadata</w:t>
      </w:r>
    </w:p>
    <w:p w14:paraId="750D25B8" w14:textId="77777777" w:rsidR="00A743B8" w:rsidRPr="00A743B8" w:rsidRDefault="00A743B8" w:rsidP="00810E22">
      <w:pPr>
        <w:spacing w:after="0"/>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71"/>
        <w:gridCol w:w="2614"/>
        <w:gridCol w:w="4765"/>
      </w:tblGrid>
      <w:tr w:rsidR="005C4BA7" w:rsidRPr="005C4BA7" w14:paraId="13EDE3CD" w14:textId="77777777" w:rsidTr="009A5A73">
        <w:trPr>
          <w:trHeight w:val="288"/>
        </w:trPr>
        <w:tc>
          <w:tcPr>
            <w:tcW w:w="1971" w:type="dxa"/>
            <w:noWrap/>
            <w:hideMark/>
          </w:tcPr>
          <w:p w14:paraId="4C92C48E" w14:textId="359552CA" w:rsidR="005C4BA7" w:rsidRPr="009A5A73" w:rsidRDefault="00933276" w:rsidP="005C4BA7">
            <w:pPr>
              <w:rPr>
                <w:rFonts w:ascii="Times New Roman" w:hAnsi="Times New Roman" w:cs="Times New Roman"/>
                <w:b/>
                <w:bCs/>
                <w:sz w:val="20"/>
                <w:szCs w:val="20"/>
              </w:rPr>
            </w:pPr>
            <w:r>
              <w:rPr>
                <w:rFonts w:ascii="Times New Roman" w:hAnsi="Times New Roman" w:cs="Times New Roman"/>
                <w:b/>
                <w:bCs/>
                <w:sz w:val="20"/>
                <w:szCs w:val="20"/>
              </w:rPr>
              <w:t>variable</w:t>
            </w:r>
          </w:p>
        </w:tc>
        <w:tc>
          <w:tcPr>
            <w:tcW w:w="2614" w:type="dxa"/>
            <w:noWrap/>
            <w:hideMark/>
          </w:tcPr>
          <w:p w14:paraId="358B574D" w14:textId="77777777" w:rsidR="005C4BA7" w:rsidRPr="009A5A73" w:rsidRDefault="005C4BA7" w:rsidP="005C4BA7">
            <w:pPr>
              <w:rPr>
                <w:rFonts w:ascii="Times New Roman" w:hAnsi="Times New Roman" w:cs="Times New Roman"/>
                <w:b/>
                <w:bCs/>
                <w:sz w:val="20"/>
                <w:szCs w:val="20"/>
              </w:rPr>
            </w:pPr>
            <w:r w:rsidRPr="009A5A73">
              <w:rPr>
                <w:rFonts w:ascii="Times New Roman" w:hAnsi="Times New Roman" w:cs="Times New Roman"/>
                <w:b/>
                <w:bCs/>
                <w:sz w:val="20"/>
                <w:szCs w:val="20"/>
              </w:rPr>
              <w:t>units</w:t>
            </w:r>
          </w:p>
        </w:tc>
        <w:tc>
          <w:tcPr>
            <w:tcW w:w="4765" w:type="dxa"/>
            <w:noWrap/>
            <w:hideMark/>
          </w:tcPr>
          <w:p w14:paraId="607F6FB9" w14:textId="77777777" w:rsidR="005C4BA7" w:rsidRPr="009A5A73" w:rsidRDefault="005C4BA7" w:rsidP="005C4BA7">
            <w:pPr>
              <w:rPr>
                <w:rFonts w:ascii="Times New Roman" w:hAnsi="Times New Roman" w:cs="Times New Roman"/>
                <w:b/>
                <w:bCs/>
                <w:sz w:val="20"/>
                <w:szCs w:val="20"/>
              </w:rPr>
            </w:pPr>
            <w:r w:rsidRPr="009A5A73">
              <w:rPr>
                <w:rFonts w:ascii="Times New Roman" w:hAnsi="Times New Roman" w:cs="Times New Roman"/>
                <w:b/>
                <w:bCs/>
                <w:sz w:val="20"/>
                <w:szCs w:val="20"/>
              </w:rPr>
              <w:t>explanation</w:t>
            </w:r>
          </w:p>
        </w:tc>
      </w:tr>
      <w:tr w:rsidR="005C4BA7" w:rsidRPr="005C4BA7" w14:paraId="71B6E6EB" w14:textId="77777777" w:rsidTr="009A5A73">
        <w:trPr>
          <w:trHeight w:val="288"/>
        </w:trPr>
        <w:tc>
          <w:tcPr>
            <w:tcW w:w="1971" w:type="dxa"/>
            <w:noWrap/>
            <w:hideMark/>
          </w:tcPr>
          <w:p w14:paraId="2848EFEA"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plot</w:t>
            </w:r>
          </w:p>
        </w:tc>
        <w:tc>
          <w:tcPr>
            <w:tcW w:w="2614" w:type="dxa"/>
            <w:noWrap/>
            <w:hideMark/>
          </w:tcPr>
          <w:p w14:paraId="11289F94" w14:textId="489984E5" w:rsidR="005C4BA7" w:rsidRPr="005C4BA7" w:rsidRDefault="004C52CF" w:rsidP="005C4BA7">
            <w:pPr>
              <w:rPr>
                <w:rFonts w:ascii="Times New Roman" w:hAnsi="Times New Roman" w:cs="Times New Roman"/>
                <w:sz w:val="20"/>
                <w:szCs w:val="20"/>
              </w:rPr>
            </w:pPr>
            <w:r>
              <w:rPr>
                <w:rFonts w:ascii="Times New Roman" w:hAnsi="Times New Roman" w:cs="Times New Roman"/>
                <w:sz w:val="20"/>
                <w:szCs w:val="20"/>
              </w:rPr>
              <w:t>categorical</w:t>
            </w:r>
          </w:p>
        </w:tc>
        <w:tc>
          <w:tcPr>
            <w:tcW w:w="4765" w:type="dxa"/>
            <w:noWrap/>
            <w:hideMark/>
          </w:tcPr>
          <w:p w14:paraId="3DC2B56D" w14:textId="2BBAB6C6"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S</w:t>
            </w:r>
            <w:r w:rsidR="005C4BA7" w:rsidRPr="005C4BA7">
              <w:rPr>
                <w:rFonts w:ascii="Times New Roman" w:hAnsi="Times New Roman" w:cs="Times New Roman"/>
                <w:sz w:val="20"/>
                <w:szCs w:val="20"/>
              </w:rPr>
              <w:t xml:space="preserve">ample plot the raw data were collected from, combined into the </w:t>
            </w:r>
            <w:proofErr w:type="spellStart"/>
            <w:r w:rsidR="005C4BA7" w:rsidRPr="005C4BA7">
              <w:rPr>
                <w:rFonts w:ascii="Times New Roman" w:hAnsi="Times New Roman" w:cs="Times New Roman"/>
                <w:sz w:val="20"/>
                <w:szCs w:val="20"/>
              </w:rPr>
              <w:t>unit</w:t>
            </w:r>
            <w:r w:rsidR="004C52CF">
              <w:rPr>
                <w:rFonts w:ascii="Times New Roman" w:hAnsi="Times New Roman" w:cs="Times New Roman"/>
                <w:sz w:val="20"/>
                <w:szCs w:val="20"/>
              </w:rPr>
              <w:t>name</w:t>
            </w:r>
            <w:r w:rsidR="005C4BA7" w:rsidRPr="005C4BA7">
              <w:rPr>
                <w:rFonts w:ascii="Times New Roman" w:hAnsi="Times New Roman" w:cs="Times New Roman"/>
                <w:sz w:val="20"/>
                <w:szCs w:val="20"/>
              </w:rPr>
              <w:t>_</w:t>
            </w:r>
            <w:r w:rsidR="004C52CF">
              <w:rPr>
                <w:rFonts w:ascii="Times New Roman" w:hAnsi="Times New Roman" w:cs="Times New Roman"/>
                <w:sz w:val="20"/>
                <w:szCs w:val="20"/>
              </w:rPr>
              <w:t>plot</w:t>
            </w:r>
            <w:r w:rsidR="005C4BA7" w:rsidRPr="005C4BA7">
              <w:rPr>
                <w:rFonts w:ascii="Times New Roman" w:hAnsi="Times New Roman" w:cs="Times New Roman"/>
                <w:sz w:val="20"/>
                <w:szCs w:val="20"/>
              </w:rPr>
              <w:t>number</w:t>
            </w:r>
            <w:proofErr w:type="spellEnd"/>
            <w:r w:rsidR="005C4BA7" w:rsidRPr="005C4BA7">
              <w:rPr>
                <w:rFonts w:ascii="Times New Roman" w:hAnsi="Times New Roman" w:cs="Times New Roman"/>
                <w:sz w:val="20"/>
                <w:szCs w:val="20"/>
              </w:rPr>
              <w:t xml:space="preserve"> format because plot n</w:t>
            </w:r>
            <w:r w:rsidR="004C52CF">
              <w:rPr>
                <w:rFonts w:ascii="Times New Roman" w:hAnsi="Times New Roman" w:cs="Times New Roman"/>
                <w:sz w:val="20"/>
                <w:szCs w:val="20"/>
              </w:rPr>
              <w:t>umbers</w:t>
            </w:r>
            <w:r w:rsidR="005C4BA7" w:rsidRPr="005C4BA7">
              <w:rPr>
                <w:rFonts w:ascii="Times New Roman" w:hAnsi="Times New Roman" w:cs="Times New Roman"/>
                <w:sz w:val="20"/>
                <w:szCs w:val="20"/>
              </w:rPr>
              <w:t xml:space="preserve"> duplicated across different replicate units</w:t>
            </w:r>
            <w:r>
              <w:rPr>
                <w:rFonts w:ascii="Times New Roman" w:hAnsi="Times New Roman" w:cs="Times New Roman"/>
                <w:sz w:val="20"/>
                <w:szCs w:val="20"/>
              </w:rPr>
              <w:t>.</w:t>
            </w:r>
          </w:p>
        </w:tc>
      </w:tr>
      <w:tr w:rsidR="005C4BA7" w:rsidRPr="005C4BA7" w14:paraId="70FBEBC6" w14:textId="77777777" w:rsidTr="009A5A73">
        <w:trPr>
          <w:trHeight w:val="288"/>
        </w:trPr>
        <w:tc>
          <w:tcPr>
            <w:tcW w:w="1971" w:type="dxa"/>
            <w:noWrap/>
            <w:hideMark/>
          </w:tcPr>
          <w:p w14:paraId="10C5BAC9"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period</w:t>
            </w:r>
          </w:p>
        </w:tc>
        <w:tc>
          <w:tcPr>
            <w:tcW w:w="2614" w:type="dxa"/>
            <w:noWrap/>
            <w:hideMark/>
          </w:tcPr>
          <w:p w14:paraId="0C9B7CC7"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categorical</w:t>
            </w:r>
          </w:p>
        </w:tc>
        <w:tc>
          <w:tcPr>
            <w:tcW w:w="4765" w:type="dxa"/>
            <w:noWrap/>
            <w:hideMark/>
          </w:tcPr>
          <w:p w14:paraId="7BE73C29" w14:textId="6A26349E"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S</w:t>
            </w:r>
            <w:r w:rsidR="005C4BA7" w:rsidRPr="005C4BA7">
              <w:rPr>
                <w:rFonts w:ascii="Times New Roman" w:hAnsi="Times New Roman" w:cs="Times New Roman"/>
                <w:sz w:val="20"/>
                <w:szCs w:val="20"/>
              </w:rPr>
              <w:t>ample period.  'pretreatment' was collected 1-6 years before treatment, in the year 2000.  '</w:t>
            </w:r>
            <w:proofErr w:type="spellStart"/>
            <w:r w:rsidR="005C4BA7" w:rsidRPr="005C4BA7">
              <w:rPr>
                <w:rFonts w:ascii="Times New Roman" w:hAnsi="Times New Roman" w:cs="Times New Roman"/>
                <w:sz w:val="20"/>
                <w:szCs w:val="20"/>
              </w:rPr>
              <w:t>longterm</w:t>
            </w:r>
            <w:proofErr w:type="spellEnd"/>
            <w:r w:rsidR="005C4BA7" w:rsidRPr="005C4BA7">
              <w:rPr>
                <w:rFonts w:ascii="Times New Roman" w:hAnsi="Times New Roman" w:cs="Times New Roman"/>
                <w:sz w:val="20"/>
                <w:szCs w:val="20"/>
              </w:rPr>
              <w:t xml:space="preserve">' was collected 14-19 years after treatment, in 2019 &amp; 2020. </w:t>
            </w:r>
          </w:p>
        </w:tc>
      </w:tr>
      <w:tr w:rsidR="005C4BA7" w:rsidRPr="005C4BA7" w14:paraId="229646FF" w14:textId="77777777" w:rsidTr="009A5A73">
        <w:trPr>
          <w:trHeight w:val="288"/>
        </w:trPr>
        <w:tc>
          <w:tcPr>
            <w:tcW w:w="1971" w:type="dxa"/>
            <w:noWrap/>
            <w:hideMark/>
          </w:tcPr>
          <w:p w14:paraId="0B9106F1"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basal_area</w:t>
            </w:r>
            <w:proofErr w:type="spellEnd"/>
          </w:p>
        </w:tc>
        <w:tc>
          <w:tcPr>
            <w:tcW w:w="2614" w:type="dxa"/>
            <w:noWrap/>
            <w:hideMark/>
          </w:tcPr>
          <w:p w14:paraId="55C3F057"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meters_squared_per_hectare</w:t>
            </w:r>
            <w:proofErr w:type="spellEnd"/>
          </w:p>
        </w:tc>
        <w:tc>
          <w:tcPr>
            <w:tcW w:w="4765" w:type="dxa"/>
            <w:noWrap/>
            <w:hideMark/>
          </w:tcPr>
          <w:p w14:paraId="5B4FE1CC" w14:textId="36759E24"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B</w:t>
            </w:r>
            <w:r w:rsidR="005C4BA7" w:rsidRPr="005C4BA7">
              <w:rPr>
                <w:rFonts w:ascii="Times New Roman" w:hAnsi="Times New Roman" w:cs="Times New Roman"/>
                <w:sz w:val="20"/>
                <w:szCs w:val="20"/>
              </w:rPr>
              <w:t>asal area calculated from raw plot data (tree diameters)</w:t>
            </w:r>
            <w:r w:rsidR="00903D34">
              <w:rPr>
                <w:rFonts w:ascii="Times New Roman" w:hAnsi="Times New Roman" w:cs="Times New Roman"/>
                <w:sz w:val="20"/>
                <w:szCs w:val="20"/>
              </w:rPr>
              <w:t>.</w:t>
            </w:r>
            <w:r w:rsidR="00F91926">
              <w:rPr>
                <w:rFonts w:ascii="Times New Roman" w:hAnsi="Times New Roman" w:cs="Times New Roman"/>
                <w:sz w:val="20"/>
                <w:szCs w:val="20"/>
              </w:rPr>
              <w:t xml:space="preserve">  Potential range 0-infinity.</w:t>
            </w:r>
          </w:p>
        </w:tc>
      </w:tr>
      <w:tr w:rsidR="005C4BA7" w:rsidRPr="005C4BA7" w14:paraId="7557F33B" w14:textId="77777777" w:rsidTr="009A5A73">
        <w:trPr>
          <w:trHeight w:val="288"/>
        </w:trPr>
        <w:tc>
          <w:tcPr>
            <w:tcW w:w="1971" w:type="dxa"/>
            <w:noWrap/>
            <w:hideMark/>
          </w:tcPr>
          <w:p w14:paraId="7A2E7016"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density</w:t>
            </w:r>
          </w:p>
        </w:tc>
        <w:tc>
          <w:tcPr>
            <w:tcW w:w="2614" w:type="dxa"/>
            <w:noWrap/>
            <w:hideMark/>
          </w:tcPr>
          <w:p w14:paraId="628EF8D2"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trees_per_hecatare</w:t>
            </w:r>
            <w:proofErr w:type="spellEnd"/>
          </w:p>
        </w:tc>
        <w:tc>
          <w:tcPr>
            <w:tcW w:w="4765" w:type="dxa"/>
            <w:noWrap/>
            <w:hideMark/>
          </w:tcPr>
          <w:p w14:paraId="093C9CCC" w14:textId="2EC8085D"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T</w:t>
            </w:r>
            <w:r w:rsidR="005C4BA7" w:rsidRPr="005C4BA7">
              <w:rPr>
                <w:rFonts w:ascii="Times New Roman" w:hAnsi="Times New Roman" w:cs="Times New Roman"/>
                <w:sz w:val="20"/>
                <w:szCs w:val="20"/>
              </w:rPr>
              <w:t>ree density calculated from raw plot data</w:t>
            </w:r>
            <w:r w:rsidR="00903D34">
              <w:rPr>
                <w:rFonts w:ascii="Times New Roman" w:hAnsi="Times New Roman" w:cs="Times New Roman"/>
                <w:sz w:val="20"/>
                <w:szCs w:val="20"/>
              </w:rPr>
              <w:t>.</w:t>
            </w:r>
            <w:r w:rsidR="00F91926">
              <w:rPr>
                <w:rFonts w:ascii="Times New Roman" w:hAnsi="Times New Roman" w:cs="Times New Roman"/>
                <w:sz w:val="20"/>
                <w:szCs w:val="20"/>
              </w:rPr>
              <w:t xml:space="preserve"> Potential range 0-infinity.</w:t>
            </w:r>
          </w:p>
        </w:tc>
      </w:tr>
      <w:tr w:rsidR="005C4BA7" w:rsidRPr="005C4BA7" w14:paraId="17EE84D1" w14:textId="77777777" w:rsidTr="009A5A73">
        <w:trPr>
          <w:trHeight w:val="288"/>
        </w:trPr>
        <w:tc>
          <w:tcPr>
            <w:tcW w:w="1971" w:type="dxa"/>
            <w:noWrap/>
            <w:hideMark/>
          </w:tcPr>
          <w:p w14:paraId="4A1B1652"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qmd</w:t>
            </w:r>
            <w:proofErr w:type="spellEnd"/>
          </w:p>
        </w:tc>
        <w:tc>
          <w:tcPr>
            <w:tcW w:w="2614" w:type="dxa"/>
            <w:noWrap/>
            <w:hideMark/>
          </w:tcPr>
          <w:p w14:paraId="0C34133F"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centimeters</w:t>
            </w:r>
          </w:p>
        </w:tc>
        <w:tc>
          <w:tcPr>
            <w:tcW w:w="4765" w:type="dxa"/>
            <w:noWrap/>
            <w:hideMark/>
          </w:tcPr>
          <w:p w14:paraId="6EE66646" w14:textId="4E4E7939"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Q</w:t>
            </w:r>
            <w:r w:rsidR="005C4BA7" w:rsidRPr="005C4BA7">
              <w:rPr>
                <w:rFonts w:ascii="Times New Roman" w:hAnsi="Times New Roman" w:cs="Times New Roman"/>
                <w:sz w:val="20"/>
                <w:szCs w:val="20"/>
              </w:rPr>
              <w:t>uadratic mean diameter of trees on a plot</w:t>
            </w:r>
            <w:r w:rsidR="00903D34">
              <w:rPr>
                <w:rFonts w:ascii="Times New Roman" w:hAnsi="Times New Roman" w:cs="Times New Roman"/>
                <w:sz w:val="20"/>
                <w:szCs w:val="20"/>
              </w:rPr>
              <w:t>.</w:t>
            </w:r>
            <w:r w:rsidR="00F91926">
              <w:rPr>
                <w:rFonts w:ascii="Times New Roman" w:hAnsi="Times New Roman" w:cs="Times New Roman"/>
                <w:sz w:val="20"/>
                <w:szCs w:val="20"/>
              </w:rPr>
              <w:t xml:space="preserve"> Potential range 0-infinity.</w:t>
            </w:r>
          </w:p>
        </w:tc>
      </w:tr>
      <w:tr w:rsidR="005C4BA7" w:rsidRPr="005C4BA7" w14:paraId="01806980" w14:textId="77777777" w:rsidTr="009A5A73">
        <w:trPr>
          <w:trHeight w:val="288"/>
        </w:trPr>
        <w:tc>
          <w:tcPr>
            <w:tcW w:w="1971" w:type="dxa"/>
            <w:noWrap/>
            <w:hideMark/>
          </w:tcPr>
          <w:p w14:paraId="346A034B"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one_hour</w:t>
            </w:r>
            <w:proofErr w:type="spellEnd"/>
          </w:p>
        </w:tc>
        <w:tc>
          <w:tcPr>
            <w:tcW w:w="2614" w:type="dxa"/>
            <w:noWrap/>
            <w:hideMark/>
          </w:tcPr>
          <w:p w14:paraId="620D2504"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3E55ED61" w14:textId="3247D9D6"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O</w:t>
            </w:r>
            <w:r w:rsidR="005C4BA7" w:rsidRPr="005C4BA7">
              <w:rPr>
                <w:rFonts w:ascii="Times New Roman" w:hAnsi="Times New Roman" w:cs="Times New Roman"/>
                <w:sz w:val="20"/>
                <w:szCs w:val="20"/>
              </w:rPr>
              <w:t>ne hour</w:t>
            </w:r>
            <w:proofErr w:type="gramEnd"/>
            <w:r w:rsidR="005C4BA7" w:rsidRPr="005C4BA7">
              <w:rPr>
                <w:rFonts w:ascii="Times New Roman" w:hAnsi="Times New Roman" w:cs="Times New Roman"/>
                <w:sz w:val="20"/>
                <w:szCs w:val="20"/>
              </w:rPr>
              <w:t xml:space="preserve"> fuels; surface woody fuels between 0 and 0.64 centimeters in diameter</w:t>
            </w:r>
            <w:r w:rsidR="009E3961">
              <w:rPr>
                <w:rFonts w:ascii="Times New Roman" w:hAnsi="Times New Roman" w:cs="Times New Roman"/>
                <w:sz w:val="20"/>
                <w:szCs w:val="20"/>
              </w:rPr>
              <w:t>.</w:t>
            </w:r>
            <w:r w:rsidR="00F91926">
              <w:rPr>
                <w:rFonts w:ascii="Times New Roman" w:hAnsi="Times New Roman" w:cs="Times New Roman"/>
                <w:sz w:val="20"/>
                <w:szCs w:val="20"/>
              </w:rPr>
              <w:t xml:space="preserve">  Potential range </w:t>
            </w:r>
            <w:r w:rsidR="002C761D">
              <w:rPr>
                <w:rFonts w:ascii="Times New Roman" w:hAnsi="Times New Roman" w:cs="Times New Roman"/>
                <w:sz w:val="20"/>
                <w:szCs w:val="20"/>
              </w:rPr>
              <w:t>0-infinity.</w:t>
            </w:r>
          </w:p>
        </w:tc>
      </w:tr>
      <w:tr w:rsidR="005C4BA7" w:rsidRPr="005C4BA7" w14:paraId="4B0A12FF" w14:textId="77777777" w:rsidTr="009A5A73">
        <w:trPr>
          <w:trHeight w:val="288"/>
        </w:trPr>
        <w:tc>
          <w:tcPr>
            <w:tcW w:w="1971" w:type="dxa"/>
            <w:noWrap/>
            <w:hideMark/>
          </w:tcPr>
          <w:p w14:paraId="365BFD03"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ten_hour</w:t>
            </w:r>
            <w:proofErr w:type="spellEnd"/>
          </w:p>
        </w:tc>
        <w:tc>
          <w:tcPr>
            <w:tcW w:w="2614" w:type="dxa"/>
            <w:noWrap/>
            <w:hideMark/>
          </w:tcPr>
          <w:p w14:paraId="020627B3"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0E8CCFBC" w14:textId="379A023F"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T</w:t>
            </w:r>
            <w:r w:rsidR="005C4BA7" w:rsidRPr="005C4BA7">
              <w:rPr>
                <w:rFonts w:ascii="Times New Roman" w:hAnsi="Times New Roman" w:cs="Times New Roman"/>
                <w:sz w:val="20"/>
                <w:szCs w:val="20"/>
              </w:rPr>
              <w:t>en hour</w:t>
            </w:r>
            <w:proofErr w:type="gramEnd"/>
            <w:r w:rsidR="005C4BA7" w:rsidRPr="005C4BA7">
              <w:rPr>
                <w:rFonts w:ascii="Times New Roman" w:hAnsi="Times New Roman" w:cs="Times New Roman"/>
                <w:sz w:val="20"/>
                <w:szCs w:val="20"/>
              </w:rPr>
              <w:t xml:space="preserve"> fuels, surface woody fuels between 0.64 and 2.5 centimeters in diameter</w:t>
            </w:r>
            <w:r w:rsidR="002C761D">
              <w:rPr>
                <w:rFonts w:ascii="Times New Roman" w:hAnsi="Times New Roman" w:cs="Times New Roman"/>
                <w:sz w:val="20"/>
                <w:szCs w:val="20"/>
              </w:rPr>
              <w:t>. Potential range 0-infinity.</w:t>
            </w:r>
          </w:p>
        </w:tc>
      </w:tr>
      <w:tr w:rsidR="005C4BA7" w:rsidRPr="005C4BA7" w14:paraId="1D3F872E" w14:textId="77777777" w:rsidTr="009A5A73">
        <w:trPr>
          <w:trHeight w:val="288"/>
        </w:trPr>
        <w:tc>
          <w:tcPr>
            <w:tcW w:w="1971" w:type="dxa"/>
            <w:noWrap/>
            <w:hideMark/>
          </w:tcPr>
          <w:p w14:paraId="5C87A736"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hundred_hour</w:t>
            </w:r>
            <w:proofErr w:type="spellEnd"/>
          </w:p>
        </w:tc>
        <w:tc>
          <w:tcPr>
            <w:tcW w:w="2614" w:type="dxa"/>
            <w:noWrap/>
            <w:hideMark/>
          </w:tcPr>
          <w:p w14:paraId="5B26B601"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50BDD274" w14:textId="6FC990DF"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H</w:t>
            </w:r>
            <w:r w:rsidR="005C4BA7" w:rsidRPr="005C4BA7">
              <w:rPr>
                <w:rFonts w:ascii="Times New Roman" w:hAnsi="Times New Roman" w:cs="Times New Roman"/>
                <w:sz w:val="20"/>
                <w:szCs w:val="20"/>
              </w:rPr>
              <w:t>undred hour</w:t>
            </w:r>
            <w:proofErr w:type="gramEnd"/>
            <w:r w:rsidR="005C4BA7" w:rsidRPr="005C4BA7">
              <w:rPr>
                <w:rFonts w:ascii="Times New Roman" w:hAnsi="Times New Roman" w:cs="Times New Roman"/>
                <w:sz w:val="20"/>
                <w:szCs w:val="20"/>
              </w:rPr>
              <w:t xml:space="preserve"> fuels, surface woody fuels between 2.5 and 7.6 centimeters in diameter</w:t>
            </w:r>
            <w:r w:rsidR="002C761D">
              <w:rPr>
                <w:rFonts w:ascii="Times New Roman" w:hAnsi="Times New Roman" w:cs="Times New Roman"/>
                <w:sz w:val="20"/>
                <w:szCs w:val="20"/>
              </w:rPr>
              <w:t xml:space="preserve">. </w:t>
            </w:r>
            <w:r w:rsidR="008D1392">
              <w:rPr>
                <w:rFonts w:ascii="Times New Roman" w:hAnsi="Times New Roman" w:cs="Times New Roman"/>
                <w:sz w:val="20"/>
                <w:szCs w:val="20"/>
              </w:rPr>
              <w:t>Potential range 0-infinity.</w:t>
            </w:r>
          </w:p>
        </w:tc>
      </w:tr>
      <w:tr w:rsidR="005C4BA7" w:rsidRPr="005C4BA7" w14:paraId="698D80F4" w14:textId="77777777" w:rsidTr="009A5A73">
        <w:trPr>
          <w:trHeight w:val="288"/>
        </w:trPr>
        <w:tc>
          <w:tcPr>
            <w:tcW w:w="1971" w:type="dxa"/>
            <w:noWrap/>
            <w:hideMark/>
          </w:tcPr>
          <w:p w14:paraId="2931BDCA"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thousand_sound</w:t>
            </w:r>
            <w:proofErr w:type="spellEnd"/>
          </w:p>
        </w:tc>
        <w:tc>
          <w:tcPr>
            <w:tcW w:w="2614" w:type="dxa"/>
            <w:noWrap/>
            <w:hideMark/>
          </w:tcPr>
          <w:p w14:paraId="744AAC32"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3F062385" w14:textId="440C3A5B"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T</w:t>
            </w:r>
            <w:r w:rsidR="005C4BA7" w:rsidRPr="005C4BA7">
              <w:rPr>
                <w:rFonts w:ascii="Times New Roman" w:hAnsi="Times New Roman" w:cs="Times New Roman"/>
                <w:sz w:val="20"/>
                <w:szCs w:val="20"/>
              </w:rPr>
              <w:t>housand hour</w:t>
            </w:r>
            <w:proofErr w:type="gramEnd"/>
            <w:r w:rsidR="005C4BA7" w:rsidRPr="005C4BA7">
              <w:rPr>
                <w:rFonts w:ascii="Times New Roman" w:hAnsi="Times New Roman" w:cs="Times New Roman"/>
                <w:sz w:val="20"/>
                <w:szCs w:val="20"/>
              </w:rPr>
              <w:t xml:space="preserve"> fuels in decay classes 1-3, surface woody fuels greater than 7.6 centimeters in </w:t>
            </w:r>
            <w:r w:rsidR="009E3961">
              <w:rPr>
                <w:rFonts w:ascii="Times New Roman" w:hAnsi="Times New Roman" w:cs="Times New Roman"/>
                <w:sz w:val="20"/>
                <w:szCs w:val="20"/>
              </w:rPr>
              <w:t>diameter</w:t>
            </w:r>
            <w:r w:rsidR="008D1392">
              <w:rPr>
                <w:rFonts w:ascii="Times New Roman" w:hAnsi="Times New Roman" w:cs="Times New Roman"/>
                <w:sz w:val="20"/>
                <w:szCs w:val="20"/>
              </w:rPr>
              <w:t xml:space="preserve">.  </w:t>
            </w:r>
            <w:proofErr w:type="spellStart"/>
            <w:r w:rsidR="008D1392">
              <w:rPr>
                <w:rFonts w:ascii="Times New Roman" w:hAnsi="Times New Roman" w:cs="Times New Roman"/>
                <w:sz w:val="20"/>
                <w:szCs w:val="20"/>
              </w:rPr>
              <w:t>Potential_range</w:t>
            </w:r>
            <w:proofErr w:type="spellEnd"/>
            <w:r w:rsidR="008D1392">
              <w:rPr>
                <w:rFonts w:ascii="Times New Roman" w:hAnsi="Times New Roman" w:cs="Times New Roman"/>
                <w:sz w:val="20"/>
                <w:szCs w:val="20"/>
              </w:rPr>
              <w:t xml:space="preserve"> 0-infinity.</w:t>
            </w:r>
          </w:p>
        </w:tc>
      </w:tr>
      <w:tr w:rsidR="005C4BA7" w:rsidRPr="005C4BA7" w14:paraId="4BC8BCAE" w14:textId="77777777" w:rsidTr="009A5A73">
        <w:trPr>
          <w:trHeight w:val="288"/>
        </w:trPr>
        <w:tc>
          <w:tcPr>
            <w:tcW w:w="1971" w:type="dxa"/>
            <w:noWrap/>
            <w:hideMark/>
          </w:tcPr>
          <w:p w14:paraId="7498F019"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thousand_rotten</w:t>
            </w:r>
            <w:proofErr w:type="spellEnd"/>
          </w:p>
        </w:tc>
        <w:tc>
          <w:tcPr>
            <w:tcW w:w="2614" w:type="dxa"/>
            <w:noWrap/>
            <w:hideMark/>
          </w:tcPr>
          <w:p w14:paraId="2A3FD8A8"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13194715" w14:textId="2C9B53FF"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T</w:t>
            </w:r>
            <w:r w:rsidR="005C4BA7" w:rsidRPr="005C4BA7">
              <w:rPr>
                <w:rFonts w:ascii="Times New Roman" w:hAnsi="Times New Roman" w:cs="Times New Roman"/>
                <w:sz w:val="20"/>
                <w:szCs w:val="20"/>
              </w:rPr>
              <w:t>housand hour</w:t>
            </w:r>
            <w:proofErr w:type="gramEnd"/>
            <w:r w:rsidR="005C4BA7" w:rsidRPr="005C4BA7">
              <w:rPr>
                <w:rFonts w:ascii="Times New Roman" w:hAnsi="Times New Roman" w:cs="Times New Roman"/>
                <w:sz w:val="20"/>
                <w:szCs w:val="20"/>
              </w:rPr>
              <w:t xml:space="preserve"> fuels in decay classes 4-5, surface woody fuels greater than 7.6 centimeters in diameter</w:t>
            </w:r>
            <w:r w:rsidR="008D1392">
              <w:rPr>
                <w:rFonts w:ascii="Times New Roman" w:hAnsi="Times New Roman" w:cs="Times New Roman"/>
                <w:sz w:val="20"/>
                <w:szCs w:val="20"/>
              </w:rPr>
              <w:t>. Potential range 0-infinity.</w:t>
            </w:r>
          </w:p>
        </w:tc>
      </w:tr>
      <w:tr w:rsidR="005C4BA7" w:rsidRPr="005C4BA7" w14:paraId="7545D933" w14:textId="77777777" w:rsidTr="009A5A73">
        <w:trPr>
          <w:trHeight w:val="288"/>
        </w:trPr>
        <w:tc>
          <w:tcPr>
            <w:tcW w:w="1971" w:type="dxa"/>
            <w:noWrap/>
            <w:hideMark/>
          </w:tcPr>
          <w:p w14:paraId="6EFB470F" w14:textId="190074FC" w:rsidR="005C4BA7" w:rsidRPr="005C4BA7" w:rsidRDefault="009E4E92" w:rsidP="005C4BA7">
            <w:pPr>
              <w:rPr>
                <w:rFonts w:ascii="Times New Roman" w:hAnsi="Times New Roman" w:cs="Times New Roman"/>
                <w:sz w:val="20"/>
                <w:szCs w:val="20"/>
              </w:rPr>
            </w:pPr>
            <w:proofErr w:type="spellStart"/>
            <w:r>
              <w:rPr>
                <w:rFonts w:ascii="Times New Roman" w:hAnsi="Times New Roman" w:cs="Times New Roman"/>
                <w:sz w:val="20"/>
                <w:szCs w:val="20"/>
              </w:rPr>
              <w:t>fuel_</w:t>
            </w:r>
            <w:r w:rsidR="005C4BA7" w:rsidRPr="005C4BA7">
              <w:rPr>
                <w:rFonts w:ascii="Times New Roman" w:hAnsi="Times New Roman" w:cs="Times New Roman"/>
                <w:sz w:val="20"/>
                <w:szCs w:val="20"/>
              </w:rPr>
              <w:t>height</w:t>
            </w:r>
            <w:proofErr w:type="spellEnd"/>
          </w:p>
        </w:tc>
        <w:tc>
          <w:tcPr>
            <w:tcW w:w="2614" w:type="dxa"/>
            <w:noWrap/>
            <w:hideMark/>
          </w:tcPr>
          <w:p w14:paraId="38E20136"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centimeters</w:t>
            </w:r>
          </w:p>
        </w:tc>
        <w:tc>
          <w:tcPr>
            <w:tcW w:w="4765" w:type="dxa"/>
            <w:noWrap/>
            <w:hideMark/>
          </w:tcPr>
          <w:p w14:paraId="501FF6A4" w14:textId="36A1EBAD"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M</w:t>
            </w:r>
            <w:r w:rsidR="005C4BA7" w:rsidRPr="005C4BA7">
              <w:rPr>
                <w:rFonts w:ascii="Times New Roman" w:hAnsi="Times New Roman" w:cs="Times New Roman"/>
                <w:sz w:val="20"/>
                <w:szCs w:val="20"/>
              </w:rPr>
              <w:t>aximum height of dead woody fuel,</w:t>
            </w:r>
            <w:proofErr w:type="gramEnd"/>
            <w:r w:rsidR="005C4BA7" w:rsidRPr="005C4BA7">
              <w:rPr>
                <w:rFonts w:ascii="Times New Roman" w:hAnsi="Times New Roman" w:cs="Times New Roman"/>
                <w:sz w:val="20"/>
                <w:szCs w:val="20"/>
              </w:rPr>
              <w:t xml:space="preserve"> averaged over multiple sample locations in plot</w:t>
            </w:r>
            <w:r w:rsidR="00903D34">
              <w:rPr>
                <w:rFonts w:ascii="Times New Roman" w:hAnsi="Times New Roman" w:cs="Times New Roman"/>
                <w:sz w:val="20"/>
                <w:szCs w:val="20"/>
              </w:rPr>
              <w:t>.</w:t>
            </w:r>
            <w:r w:rsidR="008D1392">
              <w:rPr>
                <w:rFonts w:ascii="Times New Roman" w:hAnsi="Times New Roman" w:cs="Times New Roman"/>
                <w:sz w:val="20"/>
                <w:szCs w:val="20"/>
              </w:rPr>
              <w:t xml:space="preserve"> Potential range 0-200.</w:t>
            </w:r>
          </w:p>
        </w:tc>
      </w:tr>
      <w:tr w:rsidR="005C4BA7" w:rsidRPr="005C4BA7" w14:paraId="2E2E9241" w14:textId="77777777" w:rsidTr="009A5A73">
        <w:trPr>
          <w:trHeight w:val="288"/>
        </w:trPr>
        <w:tc>
          <w:tcPr>
            <w:tcW w:w="1971" w:type="dxa"/>
            <w:noWrap/>
            <w:hideMark/>
          </w:tcPr>
          <w:p w14:paraId="13AA81C0"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litter</w:t>
            </w:r>
          </w:p>
        </w:tc>
        <w:tc>
          <w:tcPr>
            <w:tcW w:w="2614" w:type="dxa"/>
            <w:noWrap/>
            <w:hideMark/>
          </w:tcPr>
          <w:p w14:paraId="0F405EEC"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3E2F0DBB" w14:textId="0C0CCF73" w:rsidR="005C4BA7" w:rsidRPr="005C4BA7" w:rsidRDefault="00B1208D" w:rsidP="005C4BA7">
            <w:pPr>
              <w:rPr>
                <w:rFonts w:ascii="Times New Roman" w:hAnsi="Times New Roman" w:cs="Times New Roman"/>
                <w:sz w:val="20"/>
                <w:szCs w:val="20"/>
              </w:rPr>
            </w:pPr>
            <w:proofErr w:type="gramStart"/>
            <w:r>
              <w:rPr>
                <w:rFonts w:ascii="Times New Roman" w:hAnsi="Times New Roman" w:cs="Times New Roman"/>
                <w:sz w:val="20"/>
                <w:szCs w:val="20"/>
              </w:rPr>
              <w:t>B</w:t>
            </w:r>
            <w:r w:rsidR="005C4BA7" w:rsidRPr="005C4BA7">
              <w:rPr>
                <w:rFonts w:ascii="Times New Roman" w:hAnsi="Times New Roman" w:cs="Times New Roman"/>
                <w:sz w:val="20"/>
                <w:szCs w:val="20"/>
              </w:rPr>
              <w:t>iomass of forest litter layer,</w:t>
            </w:r>
            <w:proofErr w:type="gramEnd"/>
            <w:r w:rsidR="005C4BA7" w:rsidRPr="005C4BA7">
              <w:rPr>
                <w:rFonts w:ascii="Times New Roman" w:hAnsi="Times New Roman" w:cs="Times New Roman"/>
                <w:sz w:val="20"/>
                <w:szCs w:val="20"/>
              </w:rPr>
              <w:t xml:space="preserve"> measured and summarized using the protocol of Brown, J.K. 1974.</w:t>
            </w:r>
            <w:r w:rsidR="008D1392">
              <w:rPr>
                <w:rFonts w:ascii="Times New Roman" w:hAnsi="Times New Roman" w:cs="Times New Roman"/>
                <w:sz w:val="20"/>
                <w:szCs w:val="20"/>
              </w:rPr>
              <w:t xml:space="preserve">  Potential range 0-infinity.</w:t>
            </w:r>
          </w:p>
        </w:tc>
      </w:tr>
      <w:tr w:rsidR="005C4BA7" w:rsidRPr="005C4BA7" w14:paraId="58840F73" w14:textId="77777777" w:rsidTr="009A5A73">
        <w:trPr>
          <w:trHeight w:val="288"/>
        </w:trPr>
        <w:tc>
          <w:tcPr>
            <w:tcW w:w="1971" w:type="dxa"/>
            <w:noWrap/>
            <w:hideMark/>
          </w:tcPr>
          <w:p w14:paraId="4BADA0DA"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duff</w:t>
            </w:r>
          </w:p>
        </w:tc>
        <w:tc>
          <w:tcPr>
            <w:tcW w:w="2614" w:type="dxa"/>
            <w:noWrap/>
            <w:hideMark/>
          </w:tcPr>
          <w:p w14:paraId="5F00B1D8"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5EED813E" w14:textId="212873A0"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B</w:t>
            </w:r>
            <w:r w:rsidR="005C4BA7" w:rsidRPr="005C4BA7">
              <w:rPr>
                <w:rFonts w:ascii="Times New Roman" w:hAnsi="Times New Roman" w:cs="Times New Roman"/>
                <w:sz w:val="20"/>
                <w:szCs w:val="20"/>
              </w:rPr>
              <w:t>iomass of duff layer (partially decomposed organic material of which parent source is unrecognizable)</w:t>
            </w:r>
            <w:r>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w:t>
            </w:r>
          </w:p>
        </w:tc>
      </w:tr>
      <w:tr w:rsidR="005C4BA7" w:rsidRPr="005C4BA7" w14:paraId="75E0A683" w14:textId="77777777" w:rsidTr="009A5A73">
        <w:trPr>
          <w:trHeight w:val="288"/>
        </w:trPr>
        <w:tc>
          <w:tcPr>
            <w:tcW w:w="1971" w:type="dxa"/>
            <w:noWrap/>
            <w:hideMark/>
          </w:tcPr>
          <w:p w14:paraId="5D518624"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shrub</w:t>
            </w:r>
          </w:p>
        </w:tc>
        <w:tc>
          <w:tcPr>
            <w:tcW w:w="2614" w:type="dxa"/>
            <w:noWrap/>
            <w:hideMark/>
          </w:tcPr>
          <w:p w14:paraId="1B940B57"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70E3FFFE" w14:textId="6A0D7850"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B</w:t>
            </w:r>
            <w:r w:rsidR="005C4BA7" w:rsidRPr="005C4BA7">
              <w:rPr>
                <w:rFonts w:ascii="Times New Roman" w:hAnsi="Times New Roman" w:cs="Times New Roman"/>
                <w:sz w:val="20"/>
                <w:szCs w:val="20"/>
              </w:rPr>
              <w:t xml:space="preserve">iomass of shrub layer, sampled and summarized using the protocol of </w:t>
            </w:r>
            <w:r w:rsidR="009E3961">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{"citationItems":[{"id":"ITEM-1","itemData":{"DOI":"10.2737/INT-GTR-167","author":[{"dropping-particle":"","family":"Burgan","given":"Robert E.","non-dropping-particle":"","parse-names":false,"suffix":""},{"dropping-particle":"","family":"Rothermel","given":"Richard C.","non-dropping-particle":"","parse-names":false,"suffix":""}],"container-title":"General Technical Report INT-167. Ogden, UT: U. S. Department of Agriculture, Forest Service, Intermountain Forest and Range Experiment Station. 126 p.","id":"ITEM-1","issued":{"date-parts":[["1984"]]},"publisher-place":"Ogden, UT","title":"BEHAVE: fire behavior prediction and fuel modeling system--FUEL subsystem","type":"report","volume":"167"},"uris":["http://www.mendeley.com/documents/?uuid=5a2e654c-4a71-3e91-bcce-6e23c284eceb"]}],"mendeley":{"formattedCitation":"(Burgan and Rothermel 1984)","plainTextFormattedCitation":"(Burgan and Rothermel 1984)","previouslyFormattedCitation":"(Burgan and Rothermel 1984)"},"properties":{"noteIndex":0},"schema":"https://github.com/citation-style-language/schema/raw/master/csl-citation.json"}</w:instrText>
            </w:r>
            <w:r w:rsidR="009E3961">
              <w:rPr>
                <w:rFonts w:ascii="Times New Roman" w:hAnsi="Times New Roman" w:cs="Times New Roman"/>
                <w:sz w:val="20"/>
                <w:szCs w:val="20"/>
              </w:rPr>
              <w:fldChar w:fldCharType="separate"/>
            </w:r>
            <w:r w:rsidR="009E3961" w:rsidRPr="009E3961">
              <w:rPr>
                <w:rFonts w:ascii="Times New Roman" w:hAnsi="Times New Roman" w:cs="Times New Roman"/>
                <w:noProof/>
                <w:sz w:val="20"/>
                <w:szCs w:val="20"/>
              </w:rPr>
              <w:t>(Burgan and Rothermel 1984)</w:t>
            </w:r>
            <w:r w:rsidR="009E3961">
              <w:rPr>
                <w:rFonts w:ascii="Times New Roman" w:hAnsi="Times New Roman" w:cs="Times New Roman"/>
                <w:sz w:val="20"/>
                <w:szCs w:val="20"/>
              </w:rPr>
              <w:fldChar w:fldCharType="end"/>
            </w:r>
            <w:r>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w:t>
            </w:r>
          </w:p>
        </w:tc>
      </w:tr>
      <w:tr w:rsidR="005C4BA7" w:rsidRPr="005C4BA7" w14:paraId="1C8E7D27" w14:textId="77777777" w:rsidTr="009A5A73">
        <w:trPr>
          <w:trHeight w:val="288"/>
        </w:trPr>
        <w:tc>
          <w:tcPr>
            <w:tcW w:w="1971" w:type="dxa"/>
            <w:noWrap/>
            <w:hideMark/>
          </w:tcPr>
          <w:p w14:paraId="4660D784"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lastRenderedPageBreak/>
              <w:t>herb</w:t>
            </w:r>
          </w:p>
        </w:tc>
        <w:tc>
          <w:tcPr>
            <w:tcW w:w="2614" w:type="dxa"/>
            <w:noWrap/>
            <w:hideMark/>
          </w:tcPr>
          <w:p w14:paraId="0C38BA66"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5B6A6AC2" w14:textId="7A5565FD"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B</w:t>
            </w:r>
            <w:r w:rsidR="005C4BA7" w:rsidRPr="005C4BA7">
              <w:rPr>
                <w:rFonts w:ascii="Times New Roman" w:hAnsi="Times New Roman" w:cs="Times New Roman"/>
                <w:sz w:val="20"/>
                <w:szCs w:val="20"/>
              </w:rPr>
              <w:t>iomass of herb layer, sampled and summarized using the protocol of</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{"citationItems":[{"id":"ITEM-1","itemData":{"DOI":"10.2737/INT-GTR-167","author":[{"dropping-particle":"","family":"Burgan","given":"Robert E.","non-dropping-particle":"","parse-names":false,"suffix":""},{"dropping-particle":"","family":"Rothermel","given":"Richard C.","non-dropping-particle":"","parse-names":false,"suffix":""}],"container-title":"General Technical Report INT-167. Ogden, UT: U. S. Department of Agriculture, Forest Service, Intermountain Forest and Range Experiment Station. 126 p.","id":"ITEM-1","issued":{"date-parts":[["1984"]]},"publisher-place":"Ogden, UT","title":"BEHAVE: fire behavior prediction and fuel modeling system--FUEL subsystem","type":"report","volume":"167"},"uris":["http://www.mendeley.com/documents/?uuid=5a2e654c-4a71-3e91-bcce-6e23c284eceb"]}],"mendeley":{"formattedCitation":"(Burgan and Rothermel 1984)","plainTextFormattedCitation":"(Burgan and Rothermel 1984)","previouslyFormattedCitation":"(Burgan and Rothermel 1984)"},"properties":{"noteIndex":0},"schema":"https://github.com/citation-style-language/schema/raw/master/csl-citation.json"}</w:instrText>
            </w:r>
            <w:r>
              <w:rPr>
                <w:rFonts w:ascii="Times New Roman" w:hAnsi="Times New Roman" w:cs="Times New Roman"/>
                <w:sz w:val="20"/>
                <w:szCs w:val="20"/>
              </w:rPr>
              <w:fldChar w:fldCharType="separate"/>
            </w:r>
            <w:r w:rsidRPr="00B1208D">
              <w:rPr>
                <w:rFonts w:ascii="Times New Roman" w:hAnsi="Times New Roman" w:cs="Times New Roman"/>
                <w:noProof/>
                <w:sz w:val="20"/>
                <w:szCs w:val="20"/>
              </w:rPr>
              <w:t>(Burgan and Rothermel 1984)</w:t>
            </w:r>
            <w:r>
              <w:rPr>
                <w:rFonts w:ascii="Times New Roman" w:hAnsi="Times New Roman" w:cs="Times New Roman"/>
                <w:sz w:val="20"/>
                <w:szCs w:val="20"/>
              </w:rPr>
              <w:fldChar w:fldCharType="end"/>
            </w:r>
            <w:r>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w:t>
            </w:r>
          </w:p>
        </w:tc>
      </w:tr>
      <w:tr w:rsidR="005C4BA7" w:rsidRPr="005C4BA7" w14:paraId="7161518A" w14:textId="77777777" w:rsidTr="009A5A73">
        <w:trPr>
          <w:trHeight w:val="288"/>
        </w:trPr>
        <w:tc>
          <w:tcPr>
            <w:tcW w:w="1971" w:type="dxa"/>
            <w:noWrap/>
            <w:hideMark/>
          </w:tcPr>
          <w:p w14:paraId="2164117E"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canopy_base_height</w:t>
            </w:r>
            <w:proofErr w:type="spellEnd"/>
          </w:p>
        </w:tc>
        <w:tc>
          <w:tcPr>
            <w:tcW w:w="2614" w:type="dxa"/>
            <w:noWrap/>
            <w:hideMark/>
          </w:tcPr>
          <w:p w14:paraId="16FFDDD3" w14:textId="77777777" w:rsidR="005C4BA7" w:rsidRPr="005C4BA7" w:rsidRDefault="005C4BA7" w:rsidP="005C4BA7">
            <w:pPr>
              <w:rPr>
                <w:rFonts w:ascii="Times New Roman" w:hAnsi="Times New Roman" w:cs="Times New Roman"/>
                <w:sz w:val="20"/>
                <w:szCs w:val="20"/>
              </w:rPr>
            </w:pPr>
            <w:r w:rsidRPr="005C4BA7">
              <w:rPr>
                <w:rFonts w:ascii="Times New Roman" w:hAnsi="Times New Roman" w:cs="Times New Roman"/>
                <w:sz w:val="20"/>
                <w:szCs w:val="20"/>
              </w:rPr>
              <w:t>meters</w:t>
            </w:r>
          </w:p>
        </w:tc>
        <w:tc>
          <w:tcPr>
            <w:tcW w:w="4765" w:type="dxa"/>
            <w:noWrap/>
            <w:hideMark/>
          </w:tcPr>
          <w:p w14:paraId="6A0588E3" w14:textId="1ED4521D"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C</w:t>
            </w:r>
            <w:r w:rsidR="005C4BA7" w:rsidRPr="005C4BA7">
              <w:rPr>
                <w:rFonts w:ascii="Times New Roman" w:hAnsi="Times New Roman" w:cs="Times New Roman"/>
                <w:sz w:val="20"/>
                <w:szCs w:val="20"/>
              </w:rPr>
              <w:t xml:space="preserve">anopy base height, estimated </w:t>
            </w:r>
            <w:r w:rsidR="00BE05F6">
              <w:rPr>
                <w:rFonts w:ascii="Times New Roman" w:hAnsi="Times New Roman" w:cs="Times New Roman"/>
                <w:sz w:val="20"/>
                <w:szCs w:val="20"/>
              </w:rPr>
              <w:t xml:space="preserve">from stand structural data </w:t>
            </w:r>
            <w:r w:rsidR="005C4BA7" w:rsidRPr="005C4BA7">
              <w:rPr>
                <w:rFonts w:ascii="Times New Roman" w:hAnsi="Times New Roman" w:cs="Times New Roman"/>
                <w:sz w:val="20"/>
                <w:szCs w:val="20"/>
              </w:rPr>
              <w:t xml:space="preserve">using FVS-FFE program </w:t>
            </w:r>
            <w:r w:rsidR="008400A7">
              <w:rPr>
                <w:rFonts w:ascii="Times New Roman" w:hAnsi="Times New Roman" w:cs="Times New Roman"/>
                <w:sz w:val="20"/>
                <w:szCs w:val="20"/>
              </w:rPr>
              <w:t>version</w:t>
            </w:r>
            <w:r w:rsidR="005C4BA7" w:rsidRPr="005C4BA7">
              <w:rPr>
                <w:rFonts w:ascii="Times New Roman" w:hAnsi="Times New Roman" w:cs="Times New Roman"/>
                <w:sz w:val="20"/>
                <w:szCs w:val="20"/>
              </w:rPr>
              <w:t xml:space="preserve"> 3431</w:t>
            </w:r>
            <w:r>
              <w:rPr>
                <w:rFonts w:ascii="Times New Roman" w:hAnsi="Times New Roman" w:cs="Times New Roman"/>
                <w:sz w:val="20"/>
                <w:szCs w:val="20"/>
              </w:rPr>
              <w:t xml:space="preserve">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{"citationItems":[{"id":"ITEM-1","itemData":{"DOI":"10.2737/RMRS-GTR-116","author":[{"dropping-particle":"","family":"Reinhardt","given":"Elizabeth","non-dropping-particle":"","parse-names":false,"suffix":""},{"dropping-particle":"","family":"Crookston","given":"Nicholas L.","non-dropping-particle":"","parse-names":false,"suffix":""}],"container-title":"Gen. Tech. Rep. RMRS-GTR-116. Ogden, UT: U.S. Department of Agriculture, Forest Service, Rocky Mountain Research Station. 209 p.","id":"ITEM-1","issued":{"date-parts":[["2003"]]},"title":"The Fire and Fuels Extension to the Forest Vegetation Simulator","type":"article-journal","volume":"116"},"uris":["http://www.mendeley.com/documents/?uuid=d5e171dc-645f-38dd-a9fb-4454f1820e98"]}],"mendeley":{"formattedCitation":"(Reinhardt and Crookston 2003)","plainTextFormattedCitation":"(Reinhardt and Crookston 2003)","previouslyFormattedCitation":"(Reinhardt and Crookston 2003)"},"properties":{"noteIndex":0},"schema":"https://github.com/citation-style-language/schema/raw/master/csl-citation.json"}</w:instrText>
            </w:r>
            <w:r>
              <w:rPr>
                <w:rFonts w:ascii="Times New Roman" w:hAnsi="Times New Roman" w:cs="Times New Roman"/>
                <w:sz w:val="20"/>
                <w:szCs w:val="20"/>
              </w:rPr>
              <w:fldChar w:fldCharType="separate"/>
            </w:r>
            <w:r w:rsidRPr="00B1208D">
              <w:rPr>
                <w:rFonts w:ascii="Times New Roman" w:hAnsi="Times New Roman" w:cs="Times New Roman"/>
                <w:noProof/>
                <w:sz w:val="20"/>
                <w:szCs w:val="20"/>
              </w:rPr>
              <w:t>(Reinhardt and Crookston 2003)</w:t>
            </w:r>
            <w:r>
              <w:rPr>
                <w:rFonts w:ascii="Times New Roman" w:hAnsi="Times New Roman" w:cs="Times New Roman"/>
                <w:sz w:val="20"/>
                <w:szCs w:val="20"/>
              </w:rPr>
              <w:fldChar w:fldCharType="end"/>
            </w:r>
            <w:r>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 </w:t>
            </w:r>
          </w:p>
        </w:tc>
      </w:tr>
      <w:tr w:rsidR="005C4BA7" w:rsidRPr="005C4BA7" w14:paraId="46FA872E" w14:textId="77777777" w:rsidTr="009A5A73">
        <w:trPr>
          <w:trHeight w:val="288"/>
        </w:trPr>
        <w:tc>
          <w:tcPr>
            <w:tcW w:w="1971" w:type="dxa"/>
            <w:noWrap/>
            <w:hideMark/>
          </w:tcPr>
          <w:p w14:paraId="3D821C9C"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canopy_bulk_density</w:t>
            </w:r>
            <w:proofErr w:type="spellEnd"/>
          </w:p>
        </w:tc>
        <w:tc>
          <w:tcPr>
            <w:tcW w:w="2614" w:type="dxa"/>
            <w:noWrap/>
            <w:hideMark/>
          </w:tcPr>
          <w:p w14:paraId="439061B7" w14:textId="77777777" w:rsidR="005C4BA7" w:rsidRPr="005C4BA7" w:rsidRDefault="005C4BA7" w:rsidP="005C4BA7">
            <w:pPr>
              <w:rPr>
                <w:rFonts w:ascii="Times New Roman" w:hAnsi="Times New Roman" w:cs="Times New Roman"/>
                <w:sz w:val="20"/>
                <w:szCs w:val="20"/>
              </w:rPr>
            </w:pPr>
            <w:proofErr w:type="spellStart"/>
            <w:r w:rsidRPr="005C4BA7">
              <w:rPr>
                <w:rFonts w:ascii="Times New Roman" w:hAnsi="Times New Roman" w:cs="Times New Roman"/>
                <w:sz w:val="20"/>
                <w:szCs w:val="20"/>
              </w:rPr>
              <w:t>megagrams_per_hectare</w:t>
            </w:r>
            <w:proofErr w:type="spellEnd"/>
          </w:p>
        </w:tc>
        <w:tc>
          <w:tcPr>
            <w:tcW w:w="4765" w:type="dxa"/>
            <w:noWrap/>
            <w:hideMark/>
          </w:tcPr>
          <w:p w14:paraId="770647B9" w14:textId="73A938D9" w:rsidR="005C4BA7" w:rsidRPr="005C4BA7" w:rsidRDefault="00B1208D" w:rsidP="005C4BA7">
            <w:pPr>
              <w:rPr>
                <w:rFonts w:ascii="Times New Roman" w:hAnsi="Times New Roman" w:cs="Times New Roman"/>
                <w:sz w:val="20"/>
                <w:szCs w:val="20"/>
              </w:rPr>
            </w:pPr>
            <w:r>
              <w:rPr>
                <w:rFonts w:ascii="Times New Roman" w:hAnsi="Times New Roman" w:cs="Times New Roman"/>
                <w:sz w:val="20"/>
                <w:szCs w:val="20"/>
              </w:rPr>
              <w:t>C</w:t>
            </w:r>
            <w:r w:rsidR="005C4BA7" w:rsidRPr="005C4BA7">
              <w:rPr>
                <w:rFonts w:ascii="Times New Roman" w:hAnsi="Times New Roman" w:cs="Times New Roman"/>
                <w:sz w:val="20"/>
                <w:szCs w:val="20"/>
              </w:rPr>
              <w:t xml:space="preserve">anopy bulk density, estimated </w:t>
            </w:r>
            <w:r w:rsidR="00BE05F6">
              <w:rPr>
                <w:rFonts w:ascii="Times New Roman" w:hAnsi="Times New Roman" w:cs="Times New Roman"/>
                <w:sz w:val="20"/>
                <w:szCs w:val="20"/>
              </w:rPr>
              <w:t xml:space="preserve">from stand structural data </w:t>
            </w:r>
            <w:r w:rsidR="005C4BA7" w:rsidRPr="005C4BA7">
              <w:rPr>
                <w:rFonts w:ascii="Times New Roman" w:hAnsi="Times New Roman" w:cs="Times New Roman"/>
                <w:sz w:val="20"/>
                <w:szCs w:val="20"/>
              </w:rPr>
              <w:t xml:space="preserve">using FVS-FFE program </w:t>
            </w:r>
            <w:r w:rsidR="008400A7">
              <w:rPr>
                <w:rFonts w:ascii="Times New Roman" w:hAnsi="Times New Roman" w:cs="Times New Roman"/>
                <w:sz w:val="20"/>
                <w:szCs w:val="20"/>
              </w:rPr>
              <w:t>version</w:t>
            </w:r>
            <w:r w:rsidR="005C4BA7" w:rsidRPr="005C4BA7">
              <w:rPr>
                <w:rFonts w:ascii="Times New Roman" w:hAnsi="Times New Roman" w:cs="Times New Roman"/>
                <w:sz w:val="20"/>
                <w:szCs w:val="20"/>
              </w:rPr>
              <w:t xml:space="preserve"> 343</w:t>
            </w:r>
            <w:r w:rsidR="008400A7">
              <w:rPr>
                <w:rFonts w:ascii="Times New Roman" w:hAnsi="Times New Roman" w:cs="Times New Roman"/>
                <w:sz w:val="20"/>
                <w:szCs w:val="20"/>
              </w:rPr>
              <w:t>1</w:t>
            </w:r>
            <w:r w:rsidR="00BE05F6">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 </w:t>
            </w:r>
          </w:p>
        </w:tc>
      </w:tr>
      <w:tr w:rsidR="009E4E92" w:rsidRPr="005C4BA7" w14:paraId="15155C5D" w14:textId="77777777" w:rsidTr="009A5A73">
        <w:trPr>
          <w:trHeight w:val="288"/>
        </w:trPr>
        <w:tc>
          <w:tcPr>
            <w:tcW w:w="1971" w:type="dxa"/>
            <w:noWrap/>
          </w:tcPr>
          <w:p w14:paraId="2608786A" w14:textId="3B53D87B" w:rsidR="009E4E92" w:rsidRPr="005C4BA7" w:rsidRDefault="009E4E92" w:rsidP="009E4E92">
            <w:pPr>
              <w:rPr>
                <w:rFonts w:ascii="Times New Roman" w:hAnsi="Times New Roman" w:cs="Times New Roman"/>
                <w:sz w:val="20"/>
                <w:szCs w:val="20"/>
              </w:rPr>
            </w:pPr>
            <w:proofErr w:type="spellStart"/>
            <w:r>
              <w:rPr>
                <w:rFonts w:ascii="Times New Roman" w:hAnsi="Times New Roman" w:cs="Times New Roman"/>
                <w:sz w:val="20"/>
                <w:szCs w:val="20"/>
              </w:rPr>
              <w:t>surface_flame</w:t>
            </w:r>
            <w:proofErr w:type="spellEnd"/>
          </w:p>
        </w:tc>
        <w:tc>
          <w:tcPr>
            <w:tcW w:w="2614" w:type="dxa"/>
            <w:noWrap/>
          </w:tcPr>
          <w:p w14:paraId="2E004D15" w14:textId="3E77DADB" w:rsidR="009E4E92" w:rsidRPr="005C4BA7" w:rsidRDefault="009E4E92" w:rsidP="009E4E92">
            <w:pPr>
              <w:rPr>
                <w:rFonts w:ascii="Times New Roman" w:hAnsi="Times New Roman" w:cs="Times New Roman"/>
                <w:sz w:val="20"/>
                <w:szCs w:val="20"/>
              </w:rPr>
            </w:pPr>
            <w:r>
              <w:rPr>
                <w:rFonts w:ascii="Times New Roman" w:hAnsi="Times New Roman" w:cs="Times New Roman"/>
                <w:sz w:val="20"/>
                <w:szCs w:val="20"/>
              </w:rPr>
              <w:t>meters</w:t>
            </w:r>
          </w:p>
        </w:tc>
        <w:tc>
          <w:tcPr>
            <w:tcW w:w="4765" w:type="dxa"/>
            <w:noWrap/>
          </w:tcPr>
          <w:p w14:paraId="5C99D88C" w14:textId="6F813A7C" w:rsidR="009E4E92" w:rsidRDefault="008400A7" w:rsidP="009E4E92">
            <w:pPr>
              <w:rPr>
                <w:rFonts w:ascii="Times New Roman" w:hAnsi="Times New Roman" w:cs="Times New Roman"/>
                <w:sz w:val="20"/>
                <w:szCs w:val="20"/>
              </w:rPr>
            </w:pPr>
            <w:r>
              <w:rPr>
                <w:rFonts w:ascii="Times New Roman" w:hAnsi="Times New Roman" w:cs="Times New Roman"/>
                <w:sz w:val="20"/>
                <w:szCs w:val="20"/>
              </w:rPr>
              <w:t>Surface flame height, estimated</w:t>
            </w:r>
            <w:r w:rsidR="00BE05F6">
              <w:rPr>
                <w:rFonts w:ascii="Times New Roman" w:hAnsi="Times New Roman" w:cs="Times New Roman"/>
                <w:sz w:val="20"/>
                <w:szCs w:val="20"/>
              </w:rPr>
              <w:t xml:space="preserve"> from fuel data</w:t>
            </w:r>
            <w:r>
              <w:rPr>
                <w:rFonts w:ascii="Times New Roman" w:hAnsi="Times New Roman" w:cs="Times New Roman"/>
                <w:sz w:val="20"/>
                <w:szCs w:val="20"/>
              </w:rPr>
              <w:t xml:space="preserve"> using FVS-FFE program version 3431</w:t>
            </w:r>
            <w:r w:rsidR="00BE05F6">
              <w:rPr>
                <w:rFonts w:ascii="Times New Roman" w:hAnsi="Times New Roman" w:cs="Times New Roman"/>
                <w:sz w:val="20"/>
                <w:szCs w:val="20"/>
              </w:rPr>
              <w:t>, with 80% percentile weather and fuel moisture parameters for June 15 – September 15 of 2002-2017</w:t>
            </w:r>
            <w:r w:rsidR="00A5359E">
              <w:rPr>
                <w:rFonts w:ascii="Times New Roman" w:hAnsi="Times New Roman" w:cs="Times New Roman"/>
                <w:sz w:val="20"/>
                <w:szCs w:val="20"/>
              </w:rPr>
              <w:t xml:space="preserve">, determined from Fire Family Plus </w:t>
            </w:r>
            <w:r w:rsidR="00A5359E">
              <w:rPr>
                <w:rFonts w:ascii="Times New Roman" w:hAnsi="Times New Roman" w:cs="Times New Roman"/>
                <w:sz w:val="20"/>
                <w:szCs w:val="20"/>
              </w:rPr>
              <w:fldChar w:fldCharType="begin" w:fldLock="1"/>
            </w:r>
            <w:r w:rsidR="009A553A">
              <w:rPr>
                <w:rFonts w:ascii="Times New Roman" w:hAnsi="Times New Roman" w:cs="Times New Roman"/>
                <w:sz w:val="20"/>
                <w:szCs w:val="20"/>
              </w:rPr>
              <w:instrText>ADDIN CSL_CITATION {"citationItems":[{"id":"ITEM-1","itemData":{"DOI":"10.2737/RMRS-GTR-67","author":[{"dropping-particle":"","family":"Bradshaw","given":"Larry","non-dropping-particle":"","parse-names":false,"suffix":""},{"dropping-particle":"","family":"McCormick","given":"Erin","non-dropping-particle":"","parse-names":false,"suffix":""}],"container-title":"Gen. Tech. Rep. RMRS-GTR-67. Ogden, UT: U.S. Department of Agriculture, Forest Service, Rocky Mountain Research Station.","id":"ITEM-1","issued":{"date-parts":[["2000"]]},"title":"FireFamily Plus user's guide, Version 2.0","type":"article-journal","volume":"67"},"uris":["http://www.mendeley.com/documents/?uuid=f37099cd-0d33-3ada-8c51-3d8e66d17952"]}],"mendeley":{"formattedCitation":"(Bradshaw and McCormick 2000)","plainTextFormattedCitation":"(Bradshaw and McCormick 2000)","previouslyFormattedCitation":"(Bradshaw and McCormick 2000)"},"properties":{"noteIndex":0},"schema":"https://github.com/citation-style-language/schema/raw/master/csl-citation.json"}</w:instrText>
            </w:r>
            <w:r w:rsidR="00A5359E">
              <w:rPr>
                <w:rFonts w:ascii="Times New Roman" w:hAnsi="Times New Roman" w:cs="Times New Roman"/>
                <w:sz w:val="20"/>
                <w:szCs w:val="20"/>
              </w:rPr>
              <w:fldChar w:fldCharType="separate"/>
            </w:r>
            <w:r w:rsidR="00A5359E" w:rsidRPr="00A5359E">
              <w:rPr>
                <w:rFonts w:ascii="Times New Roman" w:hAnsi="Times New Roman" w:cs="Times New Roman"/>
                <w:noProof/>
                <w:sz w:val="20"/>
                <w:szCs w:val="20"/>
              </w:rPr>
              <w:t>(Bradshaw and McCormick 2000)</w:t>
            </w:r>
            <w:r w:rsidR="00A5359E">
              <w:rPr>
                <w:rFonts w:ascii="Times New Roman" w:hAnsi="Times New Roman" w:cs="Times New Roman"/>
                <w:sz w:val="20"/>
                <w:szCs w:val="20"/>
              </w:rPr>
              <w:fldChar w:fldCharType="end"/>
            </w:r>
            <w:r w:rsidR="00BE05F6">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w:t>
            </w:r>
          </w:p>
        </w:tc>
      </w:tr>
      <w:tr w:rsidR="008400A7" w:rsidRPr="005C4BA7" w14:paraId="56091049" w14:textId="77777777" w:rsidTr="009A5A73">
        <w:trPr>
          <w:trHeight w:val="288"/>
        </w:trPr>
        <w:tc>
          <w:tcPr>
            <w:tcW w:w="1971" w:type="dxa"/>
            <w:noWrap/>
          </w:tcPr>
          <w:p w14:paraId="39BBDA9E" w14:textId="4FE18050" w:rsidR="008400A7" w:rsidRDefault="00BE05F6" w:rsidP="009E4E92">
            <w:pPr>
              <w:rPr>
                <w:rFonts w:ascii="Times New Roman" w:hAnsi="Times New Roman" w:cs="Times New Roman"/>
                <w:sz w:val="20"/>
                <w:szCs w:val="20"/>
              </w:rPr>
            </w:pPr>
            <w:proofErr w:type="spellStart"/>
            <w:r>
              <w:rPr>
                <w:rFonts w:ascii="Times New Roman" w:hAnsi="Times New Roman" w:cs="Times New Roman"/>
                <w:sz w:val="20"/>
                <w:szCs w:val="20"/>
              </w:rPr>
              <w:t>total_flame</w:t>
            </w:r>
            <w:proofErr w:type="spellEnd"/>
          </w:p>
        </w:tc>
        <w:tc>
          <w:tcPr>
            <w:tcW w:w="2614" w:type="dxa"/>
            <w:noWrap/>
          </w:tcPr>
          <w:p w14:paraId="76BEA7DA" w14:textId="58D2A61F" w:rsidR="008400A7" w:rsidRDefault="00BE05F6" w:rsidP="009E4E92">
            <w:pPr>
              <w:rPr>
                <w:rFonts w:ascii="Times New Roman" w:hAnsi="Times New Roman" w:cs="Times New Roman"/>
                <w:sz w:val="20"/>
                <w:szCs w:val="20"/>
              </w:rPr>
            </w:pPr>
            <w:r>
              <w:rPr>
                <w:rFonts w:ascii="Times New Roman" w:hAnsi="Times New Roman" w:cs="Times New Roman"/>
                <w:sz w:val="20"/>
                <w:szCs w:val="20"/>
              </w:rPr>
              <w:t>meters</w:t>
            </w:r>
          </w:p>
        </w:tc>
        <w:tc>
          <w:tcPr>
            <w:tcW w:w="4765" w:type="dxa"/>
            <w:noWrap/>
          </w:tcPr>
          <w:p w14:paraId="0B3A48D7" w14:textId="766518EC" w:rsidR="008400A7" w:rsidRDefault="00BE05F6" w:rsidP="009E4E92">
            <w:pPr>
              <w:rPr>
                <w:rFonts w:ascii="Times New Roman" w:hAnsi="Times New Roman" w:cs="Times New Roman"/>
                <w:sz w:val="20"/>
                <w:szCs w:val="20"/>
              </w:rPr>
            </w:pPr>
            <w:r>
              <w:rPr>
                <w:rFonts w:ascii="Times New Roman" w:hAnsi="Times New Roman" w:cs="Times New Roman"/>
                <w:sz w:val="20"/>
                <w:szCs w:val="20"/>
              </w:rPr>
              <w:t xml:space="preserve">Total flame height including surface and crown fire, </w:t>
            </w:r>
            <w:r w:rsidR="001F2F61">
              <w:rPr>
                <w:rFonts w:ascii="Times New Roman" w:hAnsi="Times New Roman" w:cs="Times New Roman"/>
                <w:sz w:val="20"/>
                <w:szCs w:val="20"/>
              </w:rPr>
              <w:t>estimated from fuel data using FVS-FFE program version 3431, with 80% percentile weather and fuel moisture parameters for June 15 – September 15 of 2002-2017</w:t>
            </w:r>
            <w:r w:rsidR="00A5359E">
              <w:rPr>
                <w:rFonts w:ascii="Times New Roman" w:hAnsi="Times New Roman" w:cs="Times New Roman"/>
                <w:sz w:val="20"/>
                <w:szCs w:val="20"/>
              </w:rPr>
              <w:t>, determined from Fire Family Plus</w:t>
            </w:r>
            <w:r w:rsidR="001F2F61">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w:t>
            </w:r>
          </w:p>
        </w:tc>
      </w:tr>
      <w:tr w:rsidR="00BE05F6" w:rsidRPr="005C4BA7" w14:paraId="318148E0" w14:textId="77777777" w:rsidTr="009A5A73">
        <w:trPr>
          <w:trHeight w:val="288"/>
        </w:trPr>
        <w:tc>
          <w:tcPr>
            <w:tcW w:w="1971" w:type="dxa"/>
            <w:noWrap/>
          </w:tcPr>
          <w:p w14:paraId="0A6FF1E9" w14:textId="482BBEC1" w:rsidR="00BE05F6" w:rsidRDefault="00BE05F6" w:rsidP="009E4E92">
            <w:pPr>
              <w:rPr>
                <w:rFonts w:ascii="Times New Roman" w:hAnsi="Times New Roman" w:cs="Times New Roman"/>
                <w:sz w:val="20"/>
                <w:szCs w:val="20"/>
              </w:rPr>
            </w:pPr>
            <w:proofErr w:type="spellStart"/>
            <w:r>
              <w:rPr>
                <w:rFonts w:ascii="Times New Roman" w:hAnsi="Times New Roman" w:cs="Times New Roman"/>
                <w:sz w:val="20"/>
                <w:szCs w:val="20"/>
              </w:rPr>
              <w:t>torching_index</w:t>
            </w:r>
            <w:proofErr w:type="spellEnd"/>
          </w:p>
        </w:tc>
        <w:tc>
          <w:tcPr>
            <w:tcW w:w="2614" w:type="dxa"/>
            <w:noWrap/>
          </w:tcPr>
          <w:p w14:paraId="03A02F78" w14:textId="296DE163" w:rsidR="00BE05F6" w:rsidRDefault="00A5359E" w:rsidP="009E4E92">
            <w:pPr>
              <w:rPr>
                <w:rFonts w:ascii="Times New Roman" w:hAnsi="Times New Roman" w:cs="Times New Roman"/>
                <w:sz w:val="20"/>
                <w:szCs w:val="20"/>
              </w:rPr>
            </w:pPr>
            <w:proofErr w:type="spellStart"/>
            <w:r>
              <w:rPr>
                <w:rFonts w:ascii="Times New Roman" w:hAnsi="Times New Roman" w:cs="Times New Roman"/>
                <w:sz w:val="20"/>
                <w:szCs w:val="20"/>
              </w:rPr>
              <w:t>kilometers_per_hour</w:t>
            </w:r>
            <w:proofErr w:type="spellEnd"/>
          </w:p>
        </w:tc>
        <w:tc>
          <w:tcPr>
            <w:tcW w:w="4765" w:type="dxa"/>
            <w:noWrap/>
          </w:tcPr>
          <w:p w14:paraId="3349CE6F" w14:textId="670C0298" w:rsidR="00BE05F6" w:rsidRDefault="00A5359E" w:rsidP="009E4E92">
            <w:pPr>
              <w:rPr>
                <w:rFonts w:ascii="Times New Roman" w:hAnsi="Times New Roman" w:cs="Times New Roman"/>
                <w:sz w:val="20"/>
                <w:szCs w:val="20"/>
              </w:rPr>
            </w:pPr>
            <w:r>
              <w:rPr>
                <w:rFonts w:ascii="Times New Roman" w:hAnsi="Times New Roman" w:cs="Times New Roman"/>
                <w:sz w:val="20"/>
                <w:szCs w:val="20"/>
              </w:rPr>
              <w:t xml:space="preserve">20 foot windspeed that is expected to ignite the crown layer, </w:t>
            </w:r>
            <w:r>
              <w:rPr>
                <w:rFonts w:ascii="Times New Roman" w:hAnsi="Times New Roman" w:cs="Times New Roman"/>
                <w:sz w:val="20"/>
                <w:szCs w:val="20"/>
              </w:rPr>
              <w:t xml:space="preserve">estimated from fuel </w:t>
            </w:r>
            <w:r>
              <w:rPr>
                <w:rFonts w:ascii="Times New Roman" w:hAnsi="Times New Roman" w:cs="Times New Roman"/>
                <w:sz w:val="20"/>
                <w:szCs w:val="20"/>
              </w:rPr>
              <w:t xml:space="preserve"> and stand structure </w:t>
            </w:r>
            <w:r>
              <w:rPr>
                <w:rFonts w:ascii="Times New Roman" w:hAnsi="Times New Roman" w:cs="Times New Roman"/>
                <w:sz w:val="20"/>
                <w:szCs w:val="20"/>
              </w:rPr>
              <w:t>data using FVS-FFE program version 3431, with 80% percentile weather and fuel moisture parameters for June 15 – September 15 of 2002-2017</w:t>
            </w:r>
            <w:r>
              <w:rPr>
                <w:rFonts w:ascii="Times New Roman" w:hAnsi="Times New Roman" w:cs="Times New Roman"/>
                <w:sz w:val="20"/>
                <w:szCs w:val="20"/>
              </w:rPr>
              <w:t>, determined from Fire Family Plus</w:t>
            </w:r>
            <w:r>
              <w:rPr>
                <w:rFonts w:ascii="Times New Roman" w:hAnsi="Times New Roman" w:cs="Times New Roman"/>
                <w:sz w:val="20"/>
                <w:szCs w:val="20"/>
              </w:rPr>
              <w:t>.</w:t>
            </w:r>
            <w:r w:rsidR="008D1392">
              <w:rPr>
                <w:rFonts w:ascii="Times New Roman" w:hAnsi="Times New Roman" w:cs="Times New Roman"/>
                <w:sz w:val="20"/>
                <w:szCs w:val="20"/>
              </w:rPr>
              <w:t xml:space="preserve"> Potential range 0-infinity.</w:t>
            </w:r>
          </w:p>
        </w:tc>
      </w:tr>
      <w:tr w:rsidR="00753049" w:rsidRPr="005C4BA7" w14:paraId="260E9794" w14:textId="77777777" w:rsidTr="009A5A73">
        <w:trPr>
          <w:trHeight w:val="288"/>
        </w:trPr>
        <w:tc>
          <w:tcPr>
            <w:tcW w:w="1971" w:type="dxa"/>
            <w:noWrap/>
          </w:tcPr>
          <w:p w14:paraId="3927DFC4" w14:textId="6E3C8B68" w:rsidR="00753049" w:rsidRDefault="00753049" w:rsidP="009E4E92">
            <w:pPr>
              <w:rPr>
                <w:rFonts w:ascii="Times New Roman" w:hAnsi="Times New Roman" w:cs="Times New Roman"/>
                <w:sz w:val="20"/>
                <w:szCs w:val="20"/>
              </w:rPr>
            </w:pPr>
            <w:proofErr w:type="spellStart"/>
            <w:r>
              <w:rPr>
                <w:rFonts w:ascii="Times New Roman" w:hAnsi="Times New Roman" w:cs="Times New Roman"/>
                <w:sz w:val="20"/>
                <w:szCs w:val="20"/>
              </w:rPr>
              <w:t>torching_probability</w:t>
            </w:r>
            <w:proofErr w:type="spellEnd"/>
          </w:p>
        </w:tc>
        <w:tc>
          <w:tcPr>
            <w:tcW w:w="2614" w:type="dxa"/>
            <w:noWrap/>
          </w:tcPr>
          <w:p w14:paraId="49C022A4" w14:textId="7C4FE3D2" w:rsidR="00753049" w:rsidRDefault="00753049" w:rsidP="009E4E92">
            <w:pPr>
              <w:rPr>
                <w:rFonts w:ascii="Times New Roman" w:hAnsi="Times New Roman" w:cs="Times New Roman"/>
                <w:sz w:val="20"/>
                <w:szCs w:val="20"/>
              </w:rPr>
            </w:pPr>
            <w:r>
              <w:rPr>
                <w:rFonts w:ascii="Times New Roman" w:hAnsi="Times New Roman" w:cs="Times New Roman"/>
                <w:sz w:val="20"/>
                <w:szCs w:val="20"/>
              </w:rPr>
              <w:t>percent</w:t>
            </w:r>
          </w:p>
        </w:tc>
        <w:tc>
          <w:tcPr>
            <w:tcW w:w="4765" w:type="dxa"/>
            <w:noWrap/>
          </w:tcPr>
          <w:p w14:paraId="6AFDCF82" w14:textId="26633201" w:rsidR="00753049" w:rsidRDefault="00753049" w:rsidP="009E4E92">
            <w:pPr>
              <w:rPr>
                <w:rFonts w:ascii="Times New Roman" w:hAnsi="Times New Roman" w:cs="Times New Roman"/>
                <w:sz w:val="20"/>
                <w:szCs w:val="20"/>
              </w:rPr>
            </w:pPr>
            <w:r>
              <w:rPr>
                <w:rFonts w:ascii="Times New Roman" w:hAnsi="Times New Roman" w:cs="Times New Roman"/>
                <w:sz w:val="20"/>
                <w:szCs w:val="20"/>
              </w:rPr>
              <w:t xml:space="preserve">Probability of ‘finding a small area’ that will torch under the fire weather and fuel moisture conditions given.  </w:t>
            </w:r>
            <w:r>
              <w:rPr>
                <w:rFonts w:ascii="Times New Roman" w:hAnsi="Times New Roman" w:cs="Times New Roman"/>
                <w:sz w:val="20"/>
                <w:szCs w:val="20"/>
              </w:rPr>
              <w:t>, estimated from fuel  and stand structure data using FVS-FFE program version 3431, with 80% percentile weather and fuel moisture parameters for June 15 – September 15 of 2002-2017, determined from Fire Family Plus.</w:t>
            </w:r>
            <w:r w:rsidR="008D1392">
              <w:rPr>
                <w:rFonts w:ascii="Times New Roman" w:hAnsi="Times New Roman" w:cs="Times New Roman"/>
                <w:sz w:val="20"/>
                <w:szCs w:val="20"/>
              </w:rPr>
              <w:t xml:space="preserve">  Potential range 0-100.</w:t>
            </w:r>
          </w:p>
        </w:tc>
      </w:tr>
      <w:tr w:rsidR="00A5359E" w:rsidRPr="005C4BA7" w14:paraId="07BDAFAF" w14:textId="77777777" w:rsidTr="009A5A73">
        <w:trPr>
          <w:trHeight w:val="288"/>
        </w:trPr>
        <w:tc>
          <w:tcPr>
            <w:tcW w:w="1971" w:type="dxa"/>
            <w:noWrap/>
          </w:tcPr>
          <w:p w14:paraId="41D3F270" w14:textId="33E04551" w:rsidR="00A5359E" w:rsidRDefault="00A5359E" w:rsidP="00A5359E">
            <w:pPr>
              <w:rPr>
                <w:rFonts w:ascii="Times New Roman" w:hAnsi="Times New Roman" w:cs="Times New Roman"/>
                <w:sz w:val="20"/>
                <w:szCs w:val="20"/>
              </w:rPr>
            </w:pPr>
            <w:proofErr w:type="spellStart"/>
            <w:r>
              <w:rPr>
                <w:rFonts w:ascii="Times New Roman" w:hAnsi="Times New Roman" w:cs="Times New Roman"/>
                <w:sz w:val="20"/>
                <w:szCs w:val="20"/>
              </w:rPr>
              <w:t>crowning_index</w:t>
            </w:r>
            <w:proofErr w:type="spellEnd"/>
          </w:p>
        </w:tc>
        <w:tc>
          <w:tcPr>
            <w:tcW w:w="2614" w:type="dxa"/>
            <w:noWrap/>
          </w:tcPr>
          <w:p w14:paraId="7B088F72" w14:textId="1CFF32BC" w:rsidR="00A5359E" w:rsidRDefault="00A5359E" w:rsidP="00A5359E">
            <w:pPr>
              <w:rPr>
                <w:rFonts w:ascii="Times New Roman" w:hAnsi="Times New Roman" w:cs="Times New Roman"/>
                <w:sz w:val="20"/>
                <w:szCs w:val="20"/>
              </w:rPr>
            </w:pPr>
            <w:proofErr w:type="spellStart"/>
            <w:r>
              <w:rPr>
                <w:rFonts w:ascii="Times New Roman" w:hAnsi="Times New Roman" w:cs="Times New Roman"/>
                <w:sz w:val="20"/>
                <w:szCs w:val="20"/>
              </w:rPr>
              <w:t>kilometers_per_hour</w:t>
            </w:r>
            <w:proofErr w:type="spellEnd"/>
          </w:p>
        </w:tc>
        <w:tc>
          <w:tcPr>
            <w:tcW w:w="4765" w:type="dxa"/>
            <w:noWrap/>
          </w:tcPr>
          <w:p w14:paraId="127403AD" w14:textId="077FA96F" w:rsidR="00A5359E" w:rsidRDefault="00A5359E" w:rsidP="00A5359E">
            <w:pPr>
              <w:rPr>
                <w:rFonts w:ascii="Times New Roman" w:hAnsi="Times New Roman" w:cs="Times New Roman"/>
                <w:sz w:val="20"/>
                <w:szCs w:val="20"/>
              </w:rPr>
            </w:pPr>
            <w:r>
              <w:rPr>
                <w:rFonts w:ascii="Times New Roman" w:hAnsi="Times New Roman" w:cs="Times New Roman"/>
                <w:sz w:val="20"/>
                <w:szCs w:val="20"/>
              </w:rPr>
              <w:t xml:space="preserve">20 foot windspeed that is expected to </w:t>
            </w:r>
            <w:r>
              <w:rPr>
                <w:rFonts w:ascii="Times New Roman" w:hAnsi="Times New Roman" w:cs="Times New Roman"/>
                <w:sz w:val="20"/>
                <w:szCs w:val="20"/>
              </w:rPr>
              <w:t>maintain an active crown fire</w:t>
            </w:r>
            <w:r>
              <w:rPr>
                <w:rFonts w:ascii="Times New Roman" w:hAnsi="Times New Roman" w:cs="Times New Roman"/>
                <w:sz w:val="20"/>
                <w:szCs w:val="20"/>
              </w:rPr>
              <w:t xml:space="preserve">, estimated from </w:t>
            </w:r>
            <w:proofErr w:type="gramStart"/>
            <w:r>
              <w:rPr>
                <w:rFonts w:ascii="Times New Roman" w:hAnsi="Times New Roman" w:cs="Times New Roman"/>
                <w:sz w:val="20"/>
                <w:szCs w:val="20"/>
              </w:rPr>
              <w:t>fuel</w:t>
            </w:r>
            <w:proofErr w:type="gramEnd"/>
            <w:r>
              <w:rPr>
                <w:rFonts w:ascii="Times New Roman" w:hAnsi="Times New Roman" w:cs="Times New Roman"/>
                <w:sz w:val="20"/>
                <w:szCs w:val="20"/>
              </w:rPr>
              <w:t xml:space="preserve"> and stand structure data using FVS-FFE program version 3431, with 80% percentile weather and fuel moisture parameters for June 15 – September 15 of 2002-2017, determined from Fire Family Plus.</w:t>
            </w:r>
            <w:r w:rsidR="008D1392">
              <w:rPr>
                <w:rFonts w:ascii="Times New Roman" w:hAnsi="Times New Roman" w:cs="Times New Roman"/>
                <w:sz w:val="20"/>
                <w:szCs w:val="20"/>
              </w:rPr>
              <w:t xml:space="preserve">  Potential range 0-infinity.</w:t>
            </w:r>
          </w:p>
        </w:tc>
      </w:tr>
      <w:tr w:rsidR="00753049" w:rsidRPr="005C4BA7" w14:paraId="260656F7" w14:textId="77777777" w:rsidTr="009A5A73">
        <w:trPr>
          <w:trHeight w:val="288"/>
        </w:trPr>
        <w:tc>
          <w:tcPr>
            <w:tcW w:w="1971" w:type="dxa"/>
            <w:noWrap/>
          </w:tcPr>
          <w:p w14:paraId="6F99DEBC" w14:textId="18E20790" w:rsidR="00753049" w:rsidRDefault="00753049" w:rsidP="00A5359E">
            <w:pPr>
              <w:rPr>
                <w:rFonts w:ascii="Times New Roman" w:hAnsi="Times New Roman" w:cs="Times New Roman"/>
                <w:sz w:val="20"/>
                <w:szCs w:val="20"/>
              </w:rPr>
            </w:pPr>
            <w:proofErr w:type="spellStart"/>
            <w:r>
              <w:rPr>
                <w:rFonts w:ascii="Times New Roman" w:hAnsi="Times New Roman" w:cs="Times New Roman"/>
                <w:sz w:val="20"/>
                <w:szCs w:val="20"/>
              </w:rPr>
              <w:t>density_mortality</w:t>
            </w:r>
            <w:proofErr w:type="spellEnd"/>
          </w:p>
        </w:tc>
        <w:tc>
          <w:tcPr>
            <w:tcW w:w="2614" w:type="dxa"/>
            <w:noWrap/>
          </w:tcPr>
          <w:p w14:paraId="7D02CBFA" w14:textId="47A78F1A" w:rsidR="00753049" w:rsidRDefault="009A553A" w:rsidP="00A5359E">
            <w:pPr>
              <w:rPr>
                <w:rFonts w:ascii="Times New Roman" w:hAnsi="Times New Roman" w:cs="Times New Roman"/>
                <w:sz w:val="20"/>
                <w:szCs w:val="20"/>
              </w:rPr>
            </w:pPr>
            <w:r>
              <w:rPr>
                <w:rFonts w:ascii="Times New Roman" w:hAnsi="Times New Roman" w:cs="Times New Roman"/>
                <w:sz w:val="20"/>
                <w:szCs w:val="20"/>
              </w:rPr>
              <w:t>Percent</w:t>
            </w:r>
          </w:p>
        </w:tc>
        <w:tc>
          <w:tcPr>
            <w:tcW w:w="4765" w:type="dxa"/>
            <w:noWrap/>
          </w:tcPr>
          <w:p w14:paraId="6F58356C" w14:textId="361D03CC" w:rsidR="009A553A" w:rsidRDefault="009A553A" w:rsidP="00A5359E">
            <w:pPr>
              <w:rPr>
                <w:rFonts w:ascii="Times New Roman" w:hAnsi="Times New Roman" w:cs="Times New Roman"/>
                <w:sz w:val="20"/>
                <w:szCs w:val="20"/>
              </w:rPr>
            </w:pPr>
            <w:r>
              <w:rPr>
                <w:rFonts w:ascii="Times New Roman" w:hAnsi="Times New Roman" w:cs="Times New Roman"/>
                <w:sz w:val="20"/>
                <w:szCs w:val="20"/>
              </w:rPr>
              <w:t xml:space="preserve">Percentage of tree stems that would die in a simulated wildfire, estimated using FOFEM version 6.7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{"citationItems":[{"id":"ITEM-1","itemData":{"DOI":"10.2737/INT-GTR-344","abstract":"AEirst Qrder Eire Effects Model (FOFEM) was developed to predict the direct consequences of prescribed fire and wildfire. FOFEM was designed for application to most areas of the United States. First order fire effects are the immediate or direct results of a fire. FOFEM computes duff and woody fuel consumption, mineral soil exposure, fire-caused tree mortality, and smoke production for many forest and rangeland ecosystems. Quantitative results from many fire effects studies were summarized for inclusion into the model. FOFEM contains a fire effects calculator to predict the effects of a fire from the burning conditions, and a prescribed fire planner to compute the burn conditions necessary to achieve a desired effect. Default input values are derived from fuel models provided for natural and activity fuels by many forest cover types. The model is implemented in a computer program available for use on a PC or Data General computer. The use of trade or firm names in this publication is for reader information and does not imply endorsement by the US. Department of Agriculture of any product or service. To obtain a current version of the FOFEM software, contact the authors at the lntermountain Fire Sciences Lab, (406) 329-4800, or P.O. Box 8089, Missoula, MT 59807. You may order additional copies of this publication by sending your mailing information in label form through one of the following media. Please specify the publication title and General Technical Report number. Telephone (801) 625-5437 DG message Pubs:S22A FAX (801) 625-5129, Attn: Publications","author":[{"dropping-particle":"","family":"Reinhardt","given":"Elizabeth D.","non-dropping-particle":"","parse-names":false,"suffix":""},{"dropping-particle":"","family":"Keane","given":"Robert E.","non-dropping-particle":"","parse-names":false,"suffix":""},{"dropping-particle":"","family":"Brown","given":"James K.","non-dropping-particle":"","parse-names":false,"suffix":""}],"container-title":"Gen. Tech. Rep. INT-GTR-344. Ogden, UT: U.S. Department of Agriculture, Forest Service, Intermountain Research Station. 65 p.","id":"ITEM-1","issued":{"date-parts":[["1997"]]},"title":"First Order Fire Effects Model: FOFEM 4.0, user's guide","type":"article-journal","volume":"344"},"uris":["http://www.mendeley.com/documents/?uuid=2df6302f-f6c9-322d-9079-2d3eafb74eef"]}],"mendeley":{"formattedCitation":"(Reinhardt et al. 1997)","plainTextFormattedCitation":"(Reinhardt et al. 1997)","previouslyFormattedCitation":"(Reinhardt et al. 1997)"},"properties":{"noteIndex":0},"schema":"https://github.com/citation-style-language/schema/raw/master/csl-citation.json"}</w:instrText>
            </w:r>
            <w:r>
              <w:rPr>
                <w:rFonts w:ascii="Times New Roman" w:hAnsi="Times New Roman" w:cs="Times New Roman"/>
                <w:sz w:val="20"/>
                <w:szCs w:val="20"/>
              </w:rPr>
              <w:fldChar w:fldCharType="separate"/>
            </w:r>
            <w:r w:rsidRPr="009A553A">
              <w:rPr>
                <w:rFonts w:ascii="Times New Roman" w:hAnsi="Times New Roman" w:cs="Times New Roman"/>
                <w:noProof/>
                <w:sz w:val="20"/>
                <w:szCs w:val="20"/>
              </w:rPr>
              <w:t>(Reinhardt et al. 1997)</w:t>
            </w:r>
            <w:r>
              <w:rPr>
                <w:rFonts w:ascii="Times New Roman" w:hAnsi="Times New Roman" w:cs="Times New Roman"/>
                <w:sz w:val="20"/>
                <w:szCs w:val="20"/>
              </w:rPr>
              <w:fldChar w:fldCharType="end"/>
            </w:r>
            <w:r>
              <w:rPr>
                <w:rFonts w:ascii="Times New Roman" w:hAnsi="Times New Roman" w:cs="Times New Roman"/>
                <w:sz w:val="20"/>
                <w:szCs w:val="20"/>
              </w:rPr>
              <w:t xml:space="preserve"> with stand structural data and FVS-FFE 3431 modelled surface flame.</w:t>
            </w:r>
            <w:r w:rsidR="008D1392">
              <w:rPr>
                <w:rFonts w:ascii="Times New Roman" w:hAnsi="Times New Roman" w:cs="Times New Roman"/>
                <w:sz w:val="20"/>
                <w:szCs w:val="20"/>
              </w:rPr>
              <w:t xml:space="preserve">  Potential range 0-100.</w:t>
            </w:r>
          </w:p>
        </w:tc>
      </w:tr>
      <w:tr w:rsidR="009A553A" w:rsidRPr="005C4BA7" w14:paraId="765E6696" w14:textId="77777777" w:rsidTr="009A5A73">
        <w:trPr>
          <w:trHeight w:val="288"/>
        </w:trPr>
        <w:tc>
          <w:tcPr>
            <w:tcW w:w="1971" w:type="dxa"/>
            <w:noWrap/>
          </w:tcPr>
          <w:p w14:paraId="59B86824" w14:textId="549D02CD" w:rsidR="009A553A" w:rsidRDefault="009A553A" w:rsidP="00A5359E">
            <w:pPr>
              <w:rPr>
                <w:rFonts w:ascii="Times New Roman" w:hAnsi="Times New Roman" w:cs="Times New Roman"/>
                <w:sz w:val="20"/>
                <w:szCs w:val="20"/>
              </w:rPr>
            </w:pPr>
            <w:proofErr w:type="spellStart"/>
            <w:r>
              <w:rPr>
                <w:rFonts w:ascii="Times New Roman" w:hAnsi="Times New Roman" w:cs="Times New Roman"/>
                <w:sz w:val="20"/>
                <w:szCs w:val="20"/>
              </w:rPr>
              <w:t>basal_area_mortality</w:t>
            </w:r>
            <w:proofErr w:type="spellEnd"/>
          </w:p>
        </w:tc>
        <w:tc>
          <w:tcPr>
            <w:tcW w:w="2614" w:type="dxa"/>
            <w:noWrap/>
          </w:tcPr>
          <w:p w14:paraId="12800AE4" w14:textId="60E57C95" w:rsidR="009A553A" w:rsidRDefault="009A553A" w:rsidP="00A5359E">
            <w:pPr>
              <w:rPr>
                <w:rFonts w:ascii="Times New Roman" w:hAnsi="Times New Roman" w:cs="Times New Roman"/>
                <w:sz w:val="20"/>
                <w:szCs w:val="20"/>
              </w:rPr>
            </w:pPr>
            <w:r>
              <w:rPr>
                <w:rFonts w:ascii="Times New Roman" w:hAnsi="Times New Roman" w:cs="Times New Roman"/>
                <w:sz w:val="20"/>
                <w:szCs w:val="20"/>
              </w:rPr>
              <w:t>Percent</w:t>
            </w:r>
          </w:p>
        </w:tc>
        <w:tc>
          <w:tcPr>
            <w:tcW w:w="4765" w:type="dxa"/>
            <w:noWrap/>
          </w:tcPr>
          <w:p w14:paraId="552E9030" w14:textId="16EB03D1" w:rsidR="009A553A" w:rsidRDefault="009A553A" w:rsidP="00A5359E">
            <w:pPr>
              <w:rPr>
                <w:rFonts w:ascii="Times New Roman" w:hAnsi="Times New Roman" w:cs="Times New Roman"/>
                <w:sz w:val="20"/>
                <w:szCs w:val="20"/>
              </w:rPr>
            </w:pPr>
            <w:r>
              <w:rPr>
                <w:rFonts w:ascii="Times New Roman" w:hAnsi="Times New Roman" w:cs="Times New Roman"/>
                <w:sz w:val="20"/>
                <w:szCs w:val="20"/>
              </w:rPr>
              <w:t xml:space="preserve">Percentage of </w:t>
            </w:r>
            <w:r>
              <w:rPr>
                <w:rFonts w:ascii="Times New Roman" w:hAnsi="Times New Roman" w:cs="Times New Roman"/>
                <w:sz w:val="20"/>
                <w:szCs w:val="20"/>
              </w:rPr>
              <w:t>basal area</w:t>
            </w:r>
            <w:r>
              <w:rPr>
                <w:rFonts w:ascii="Times New Roman" w:hAnsi="Times New Roman" w:cs="Times New Roman"/>
                <w:sz w:val="20"/>
                <w:szCs w:val="20"/>
              </w:rPr>
              <w:t xml:space="preserve"> that would die in a simulated wildfire, estimated using FOFEM version 6.7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{"citationItems":[{"id":"ITEM-1","itemData":{"DOI":"10.2737/INT-GTR-344","abstract":"AEirst Qrder Eire Effects Model (FOFEM) was developed to predict the direct consequences of prescribed fire and wildfire. FOFEM was designed for application to most areas of the United States. First order fire effects are the immediate or direct results of a fire. FOFEM computes duff and woody fuel consumption, mineral soil exposure, fire-caused tree mortality, and smoke production for many forest and rangeland ecosystems. Quantitative results from many fire effects studies were summarized for inclusion into the model. FOFEM contains a fire effects calculator to predict the effects of a fire from the burning conditions, and a prescribed fire planner to compute the burn conditions necessary to achieve a desired effect. Default input values are derived from fuel models provided for natural and activity fuels by many forest cover types. The model is implemented in a computer program available for use on a PC or Data General computer. The use of trade or firm names in this publication is for reader information and does not imply endorsement by the US. Department of Agriculture of any product or service. To obtain a current version of the FOFEM software, contact the authors at the lntermountain Fire Sciences Lab, (406) 329-4800, or P.O. Box 8089, Missoula, MT 59807. You may order additional copies of this publication by sending your mailing information in label form through one of the following media. Please specify the publication title and General Technical Report number. Telephone (801) 625-5437 DG message Pubs:S22A FAX (801) 625-5129, Attn: Publications","author":[{"dropping-particle":"","family":"Reinhardt","given":"Elizabeth D.","non-dropping-particle":"","parse-names":false,"suffix":""},{"dropping-particle":"","family":"Keane","given":"Robert E.","non-dropping-particle":"","parse-names":false,"suffix":""},{"dropping-particle":"","family":"Brown","given":"James K.","non-dropping-particle":"","parse-names":false,"suffix":""}],"container-title":"Gen. Tech. Rep. INT-GTR-344. Ogden, UT: U.S. Department of Agriculture, Forest Service, Intermountain Research Station. 65 p.","id":"ITEM-1","issued":{"date-parts":[["1997"]]},"title":"First Order Fire Effects Model: FOFEM 4.0, user's guide","type":"article-journal","volume":"344"},"uris":["http://www.mendeley.com/documents/?uuid=2df6302f-f6c9-322d-9079-2d3eafb74eef"]}],"mendeley":{"formattedCitation":"(Reinhardt et al. 1997)","plainTextFormattedCitation":"(Reinhardt et al. 1997)","previouslyFormattedCitation":"(Reinhardt et al. 1997)"},"properties":{"noteIndex":0},"schema":"https://github.com/citation-style-language/schema/raw/master/csl-citation.json"}</w:instrText>
            </w:r>
            <w:r>
              <w:rPr>
                <w:rFonts w:ascii="Times New Roman" w:hAnsi="Times New Roman" w:cs="Times New Roman"/>
                <w:sz w:val="20"/>
                <w:szCs w:val="20"/>
              </w:rPr>
              <w:fldChar w:fldCharType="separate"/>
            </w:r>
            <w:r w:rsidRPr="009A553A">
              <w:rPr>
                <w:rFonts w:ascii="Times New Roman" w:hAnsi="Times New Roman" w:cs="Times New Roman"/>
                <w:noProof/>
                <w:sz w:val="20"/>
                <w:szCs w:val="20"/>
              </w:rPr>
              <w:t>(Reinhardt et al. 1997)</w:t>
            </w:r>
            <w:r>
              <w:rPr>
                <w:rFonts w:ascii="Times New Roman" w:hAnsi="Times New Roman" w:cs="Times New Roman"/>
                <w:sz w:val="20"/>
                <w:szCs w:val="20"/>
              </w:rPr>
              <w:fldChar w:fldCharType="end"/>
            </w:r>
            <w:r>
              <w:rPr>
                <w:rFonts w:ascii="Times New Roman" w:hAnsi="Times New Roman" w:cs="Times New Roman"/>
                <w:sz w:val="20"/>
                <w:szCs w:val="20"/>
              </w:rPr>
              <w:t xml:space="preserve"> with stand structural data and FVS-FFE 3431 modelled surface flame.</w:t>
            </w:r>
            <w:r w:rsidR="008D1392">
              <w:rPr>
                <w:rFonts w:ascii="Times New Roman" w:hAnsi="Times New Roman" w:cs="Times New Roman"/>
                <w:sz w:val="20"/>
                <w:szCs w:val="20"/>
              </w:rPr>
              <w:t xml:space="preserve">  Potential range 0-100.</w:t>
            </w:r>
          </w:p>
        </w:tc>
      </w:tr>
    </w:tbl>
    <w:p w14:paraId="2EE85D48" w14:textId="0DE0028F" w:rsidR="008D1392" w:rsidRDefault="008D1392" w:rsidP="00810E22">
      <w:pPr>
        <w:spacing w:after="0"/>
        <w:rPr>
          <w:rFonts w:ascii="Times New Roman" w:hAnsi="Times New Roman" w:cs="Times New Roman"/>
          <w:sz w:val="24"/>
          <w:szCs w:val="24"/>
        </w:rPr>
      </w:pPr>
    </w:p>
    <w:p w14:paraId="619A7608" w14:textId="08631680" w:rsidR="00785311" w:rsidRDefault="00785311" w:rsidP="00810E22">
      <w:pPr>
        <w:spacing w:after="0"/>
        <w:rPr>
          <w:rFonts w:ascii="Times New Roman" w:hAnsi="Times New Roman" w:cs="Times New Roman"/>
          <w:sz w:val="24"/>
          <w:szCs w:val="24"/>
        </w:rPr>
      </w:pPr>
      <w:r>
        <w:rPr>
          <w:rFonts w:ascii="Times New Roman" w:hAnsi="Times New Roman" w:cs="Times New Roman"/>
          <w:sz w:val="24"/>
          <w:szCs w:val="24"/>
        </w:rPr>
        <w:t xml:space="preserve">The following predictor variables were not used in 502 analyses, but I’ve included metadata on them here, because they are contained within the mission_master_widest.csv data. </w:t>
      </w:r>
    </w:p>
    <w:p w14:paraId="3AB56FF5" w14:textId="77777777" w:rsidR="00785311" w:rsidRDefault="00785311" w:rsidP="00810E22">
      <w:pPr>
        <w:spacing w:after="0"/>
        <w:rPr>
          <w:rFonts w:ascii="Times New Roman" w:hAnsi="Times New Roman" w:cs="Times New Roman"/>
          <w:sz w:val="24"/>
          <w:szCs w:val="24"/>
        </w:rPr>
      </w:pPr>
    </w:p>
    <w:p w14:paraId="587688A5" w14:textId="77777777" w:rsidR="005A6503" w:rsidRDefault="005A6503" w:rsidP="00810E22">
      <w:pPr>
        <w:spacing w:after="0"/>
        <w:rPr>
          <w:rFonts w:ascii="Times New Roman" w:hAnsi="Times New Roman" w:cs="Times New Roman"/>
          <w:i/>
          <w:iCs/>
          <w:sz w:val="24"/>
          <w:szCs w:val="24"/>
        </w:rPr>
      </w:pPr>
    </w:p>
    <w:p w14:paraId="7EB3CFF1" w14:textId="77777777" w:rsidR="005A6503" w:rsidRDefault="005A6503" w:rsidP="00810E22">
      <w:pPr>
        <w:spacing w:after="0"/>
        <w:rPr>
          <w:rFonts w:ascii="Times New Roman" w:hAnsi="Times New Roman" w:cs="Times New Roman"/>
          <w:i/>
          <w:iCs/>
          <w:sz w:val="24"/>
          <w:szCs w:val="24"/>
        </w:rPr>
      </w:pPr>
    </w:p>
    <w:p w14:paraId="3474F998" w14:textId="566513C2" w:rsidR="008D1392" w:rsidRPr="008D1392" w:rsidRDefault="008D1392" w:rsidP="00810E22">
      <w:pPr>
        <w:spacing w:after="0"/>
        <w:rPr>
          <w:rFonts w:ascii="Times New Roman" w:hAnsi="Times New Roman" w:cs="Times New Roman"/>
          <w:i/>
          <w:iCs/>
          <w:sz w:val="24"/>
          <w:szCs w:val="24"/>
        </w:rPr>
      </w:pPr>
      <w:r>
        <w:rPr>
          <w:rFonts w:ascii="Times New Roman" w:hAnsi="Times New Roman" w:cs="Times New Roman"/>
          <w:i/>
          <w:iCs/>
          <w:sz w:val="24"/>
          <w:szCs w:val="24"/>
        </w:rPr>
        <w:lastRenderedPageBreak/>
        <w:t>Predictor variable metadata</w:t>
      </w:r>
    </w:p>
    <w:p w14:paraId="5A4D8872" w14:textId="50FE277D" w:rsidR="005A6A1C" w:rsidRDefault="005A6A1C" w:rsidP="00810E22">
      <w:pPr>
        <w:spacing w:after="0"/>
        <w:rPr>
          <w:rFonts w:ascii="Times New Roman" w:hAnsi="Times New Roman" w:cs="Times New Roman"/>
          <w:sz w:val="24"/>
          <w:szCs w:val="24"/>
        </w:rPr>
      </w:pPr>
    </w:p>
    <w:tbl>
      <w:tblPr>
        <w:tblStyle w:val="TableGrid"/>
        <w:tblW w:w="954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06"/>
        <w:gridCol w:w="2116"/>
        <w:gridCol w:w="5760"/>
      </w:tblGrid>
      <w:tr w:rsidR="008D1392" w14:paraId="51DEE3E7" w14:textId="77777777" w:rsidTr="008D1392">
        <w:trPr>
          <w:trHeight w:val="288"/>
        </w:trPr>
        <w:tc>
          <w:tcPr>
            <w:tcW w:w="1906" w:type="dxa"/>
            <w:tcBorders>
              <w:top w:val="nil"/>
              <w:left w:val="nil"/>
              <w:bottom w:val="single" w:sz="4" w:space="0" w:color="auto"/>
              <w:right w:val="nil"/>
            </w:tcBorders>
            <w:noWrap/>
            <w:hideMark/>
          </w:tcPr>
          <w:p w14:paraId="072CB7F7" w14:textId="77777777" w:rsidR="008D1392" w:rsidRDefault="008D1392">
            <w:pPr>
              <w:rPr>
                <w:rFonts w:ascii="Times New Roman" w:hAnsi="Times New Roman" w:cs="Times New Roman"/>
                <w:b/>
                <w:bCs/>
                <w:sz w:val="20"/>
                <w:szCs w:val="20"/>
              </w:rPr>
            </w:pPr>
            <w:r>
              <w:rPr>
                <w:rFonts w:ascii="Times New Roman" w:hAnsi="Times New Roman" w:cs="Times New Roman"/>
                <w:b/>
                <w:bCs/>
                <w:sz w:val="20"/>
                <w:szCs w:val="20"/>
              </w:rPr>
              <w:t>column</w:t>
            </w:r>
          </w:p>
        </w:tc>
        <w:tc>
          <w:tcPr>
            <w:tcW w:w="1874" w:type="dxa"/>
            <w:tcBorders>
              <w:top w:val="nil"/>
              <w:left w:val="nil"/>
              <w:bottom w:val="single" w:sz="4" w:space="0" w:color="auto"/>
              <w:right w:val="nil"/>
            </w:tcBorders>
            <w:noWrap/>
            <w:hideMark/>
          </w:tcPr>
          <w:p w14:paraId="599A43BD" w14:textId="77777777" w:rsidR="008D1392" w:rsidRDefault="008D1392">
            <w:pPr>
              <w:rPr>
                <w:rFonts w:ascii="Times New Roman" w:hAnsi="Times New Roman" w:cs="Times New Roman"/>
                <w:b/>
                <w:bCs/>
                <w:sz w:val="20"/>
                <w:szCs w:val="20"/>
              </w:rPr>
            </w:pPr>
            <w:r>
              <w:rPr>
                <w:rFonts w:ascii="Times New Roman" w:hAnsi="Times New Roman" w:cs="Times New Roman"/>
                <w:b/>
                <w:bCs/>
                <w:sz w:val="20"/>
                <w:szCs w:val="20"/>
              </w:rPr>
              <w:t>units</w:t>
            </w:r>
          </w:p>
        </w:tc>
        <w:tc>
          <w:tcPr>
            <w:tcW w:w="5760" w:type="dxa"/>
            <w:tcBorders>
              <w:top w:val="nil"/>
              <w:left w:val="nil"/>
              <w:bottom w:val="single" w:sz="4" w:space="0" w:color="auto"/>
              <w:right w:val="nil"/>
            </w:tcBorders>
            <w:noWrap/>
            <w:hideMark/>
          </w:tcPr>
          <w:p w14:paraId="0E258EAB" w14:textId="77777777" w:rsidR="008D1392" w:rsidRDefault="008D1392">
            <w:pPr>
              <w:rPr>
                <w:rFonts w:ascii="Times New Roman" w:hAnsi="Times New Roman" w:cs="Times New Roman"/>
                <w:b/>
                <w:bCs/>
                <w:sz w:val="20"/>
                <w:szCs w:val="20"/>
              </w:rPr>
            </w:pPr>
            <w:r>
              <w:rPr>
                <w:rFonts w:ascii="Times New Roman" w:hAnsi="Times New Roman" w:cs="Times New Roman"/>
                <w:b/>
                <w:bCs/>
                <w:sz w:val="20"/>
                <w:szCs w:val="20"/>
              </w:rPr>
              <w:t>explanation</w:t>
            </w:r>
          </w:p>
        </w:tc>
      </w:tr>
      <w:tr w:rsidR="008D1392" w14:paraId="07308370" w14:textId="77777777" w:rsidTr="008D1392">
        <w:trPr>
          <w:trHeight w:val="288"/>
        </w:trPr>
        <w:tc>
          <w:tcPr>
            <w:tcW w:w="1906" w:type="dxa"/>
            <w:tcBorders>
              <w:top w:val="single" w:sz="4" w:space="0" w:color="auto"/>
              <w:left w:val="nil"/>
              <w:bottom w:val="single" w:sz="4" w:space="0" w:color="auto"/>
              <w:right w:val="nil"/>
            </w:tcBorders>
            <w:noWrap/>
            <w:hideMark/>
          </w:tcPr>
          <w:p w14:paraId="6ED9EE15"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plot</w:t>
            </w:r>
          </w:p>
        </w:tc>
        <w:tc>
          <w:tcPr>
            <w:tcW w:w="1874" w:type="dxa"/>
            <w:tcBorders>
              <w:top w:val="single" w:sz="4" w:space="0" w:color="auto"/>
              <w:left w:val="nil"/>
              <w:bottom w:val="single" w:sz="4" w:space="0" w:color="auto"/>
              <w:right w:val="nil"/>
            </w:tcBorders>
            <w:noWrap/>
            <w:hideMark/>
          </w:tcPr>
          <w:p w14:paraId="398F7B50"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categorical</w:t>
            </w:r>
          </w:p>
        </w:tc>
        <w:tc>
          <w:tcPr>
            <w:tcW w:w="5760" w:type="dxa"/>
            <w:tcBorders>
              <w:top w:val="single" w:sz="4" w:space="0" w:color="auto"/>
              <w:left w:val="nil"/>
              <w:bottom w:val="single" w:sz="4" w:space="0" w:color="auto"/>
              <w:right w:val="nil"/>
            </w:tcBorders>
            <w:noWrap/>
            <w:hideMark/>
          </w:tcPr>
          <w:p w14:paraId="507A8441" w14:textId="37EF497C" w:rsidR="008D1392" w:rsidRDefault="000B3835">
            <w:pPr>
              <w:rPr>
                <w:rFonts w:ascii="Times New Roman" w:hAnsi="Times New Roman" w:cs="Times New Roman"/>
                <w:sz w:val="20"/>
                <w:szCs w:val="20"/>
              </w:rPr>
            </w:pPr>
            <w:r>
              <w:rPr>
                <w:rFonts w:ascii="Times New Roman" w:hAnsi="Times New Roman" w:cs="Times New Roman"/>
                <w:sz w:val="20"/>
                <w:szCs w:val="20"/>
              </w:rPr>
              <w:t>S</w:t>
            </w:r>
            <w:r w:rsidRPr="005C4BA7">
              <w:rPr>
                <w:rFonts w:ascii="Times New Roman" w:hAnsi="Times New Roman" w:cs="Times New Roman"/>
                <w:sz w:val="20"/>
                <w:szCs w:val="20"/>
              </w:rPr>
              <w:t xml:space="preserve">ample plot the raw data were collected from, combined into the </w:t>
            </w:r>
            <w:proofErr w:type="spellStart"/>
            <w:r w:rsidRPr="005C4BA7">
              <w:rPr>
                <w:rFonts w:ascii="Times New Roman" w:hAnsi="Times New Roman" w:cs="Times New Roman"/>
                <w:sz w:val="20"/>
                <w:szCs w:val="20"/>
              </w:rPr>
              <w:t>unit</w:t>
            </w:r>
            <w:r>
              <w:rPr>
                <w:rFonts w:ascii="Times New Roman" w:hAnsi="Times New Roman" w:cs="Times New Roman"/>
                <w:sz w:val="20"/>
                <w:szCs w:val="20"/>
              </w:rPr>
              <w:t>name</w:t>
            </w:r>
            <w:r w:rsidRPr="005C4BA7">
              <w:rPr>
                <w:rFonts w:ascii="Times New Roman" w:hAnsi="Times New Roman" w:cs="Times New Roman"/>
                <w:sz w:val="20"/>
                <w:szCs w:val="20"/>
              </w:rPr>
              <w:t>_</w:t>
            </w:r>
            <w:r>
              <w:rPr>
                <w:rFonts w:ascii="Times New Roman" w:hAnsi="Times New Roman" w:cs="Times New Roman"/>
                <w:sz w:val="20"/>
                <w:szCs w:val="20"/>
              </w:rPr>
              <w:t>plot</w:t>
            </w:r>
            <w:r w:rsidRPr="005C4BA7">
              <w:rPr>
                <w:rFonts w:ascii="Times New Roman" w:hAnsi="Times New Roman" w:cs="Times New Roman"/>
                <w:sz w:val="20"/>
                <w:szCs w:val="20"/>
              </w:rPr>
              <w:t>number</w:t>
            </w:r>
            <w:proofErr w:type="spellEnd"/>
            <w:r w:rsidRPr="005C4BA7">
              <w:rPr>
                <w:rFonts w:ascii="Times New Roman" w:hAnsi="Times New Roman" w:cs="Times New Roman"/>
                <w:sz w:val="20"/>
                <w:szCs w:val="20"/>
              </w:rPr>
              <w:t xml:space="preserve"> format because plot n</w:t>
            </w:r>
            <w:r>
              <w:rPr>
                <w:rFonts w:ascii="Times New Roman" w:hAnsi="Times New Roman" w:cs="Times New Roman"/>
                <w:sz w:val="20"/>
                <w:szCs w:val="20"/>
              </w:rPr>
              <w:t>umbers</w:t>
            </w:r>
            <w:r w:rsidRPr="005C4BA7">
              <w:rPr>
                <w:rFonts w:ascii="Times New Roman" w:hAnsi="Times New Roman" w:cs="Times New Roman"/>
                <w:sz w:val="20"/>
                <w:szCs w:val="20"/>
              </w:rPr>
              <w:t xml:space="preserve"> duplicated across different replicate units</w:t>
            </w:r>
            <w:r w:rsidR="008D1392">
              <w:rPr>
                <w:rFonts w:ascii="Times New Roman" w:hAnsi="Times New Roman" w:cs="Times New Roman"/>
                <w:sz w:val="20"/>
                <w:szCs w:val="20"/>
              </w:rPr>
              <w:t>.</w:t>
            </w:r>
          </w:p>
        </w:tc>
      </w:tr>
      <w:tr w:rsidR="008D1392" w14:paraId="4A5D8FA9" w14:textId="77777777" w:rsidTr="008D1392">
        <w:trPr>
          <w:trHeight w:val="288"/>
        </w:trPr>
        <w:tc>
          <w:tcPr>
            <w:tcW w:w="1906" w:type="dxa"/>
            <w:tcBorders>
              <w:top w:val="single" w:sz="4" w:space="0" w:color="auto"/>
              <w:left w:val="nil"/>
              <w:bottom w:val="single" w:sz="4" w:space="0" w:color="auto"/>
              <w:right w:val="nil"/>
            </w:tcBorders>
            <w:noWrap/>
            <w:hideMark/>
          </w:tcPr>
          <w:p w14:paraId="6B2F20A6"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elevation</w:t>
            </w:r>
          </w:p>
        </w:tc>
        <w:tc>
          <w:tcPr>
            <w:tcW w:w="1874" w:type="dxa"/>
            <w:tcBorders>
              <w:top w:val="single" w:sz="4" w:space="0" w:color="auto"/>
              <w:left w:val="nil"/>
              <w:bottom w:val="single" w:sz="4" w:space="0" w:color="auto"/>
              <w:right w:val="nil"/>
            </w:tcBorders>
            <w:noWrap/>
            <w:hideMark/>
          </w:tcPr>
          <w:p w14:paraId="0A046CA8"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meters</w:t>
            </w:r>
          </w:p>
        </w:tc>
        <w:tc>
          <w:tcPr>
            <w:tcW w:w="5760" w:type="dxa"/>
            <w:tcBorders>
              <w:top w:val="single" w:sz="4" w:space="0" w:color="auto"/>
              <w:left w:val="nil"/>
              <w:bottom w:val="single" w:sz="4" w:space="0" w:color="auto"/>
              <w:right w:val="nil"/>
            </w:tcBorders>
            <w:noWrap/>
            <w:hideMark/>
          </w:tcPr>
          <w:p w14:paraId="66C90F51" w14:textId="0D041CBC" w:rsidR="008D1392" w:rsidRDefault="008D1392">
            <w:pPr>
              <w:rPr>
                <w:rFonts w:ascii="Times New Roman" w:hAnsi="Times New Roman" w:cs="Times New Roman"/>
                <w:sz w:val="20"/>
                <w:szCs w:val="20"/>
              </w:rPr>
            </w:pPr>
            <w:r>
              <w:rPr>
                <w:rFonts w:ascii="Times New Roman" w:hAnsi="Times New Roman" w:cs="Times New Roman"/>
                <w:sz w:val="20"/>
                <w:szCs w:val="20"/>
              </w:rPr>
              <w:t>Elevation derived from a</w:t>
            </w:r>
            <w:r w:rsidR="000B3835">
              <w:rPr>
                <w:rFonts w:ascii="Times New Roman" w:hAnsi="Times New Roman" w:cs="Times New Roman"/>
                <w:sz w:val="20"/>
                <w:szCs w:val="20"/>
              </w:rPr>
              <w:t xml:space="preserve"> 10m resolution</w:t>
            </w:r>
            <w:r>
              <w:rPr>
                <w:rFonts w:ascii="Times New Roman" w:hAnsi="Times New Roman" w:cs="Times New Roman"/>
                <w:sz w:val="20"/>
                <w:szCs w:val="20"/>
              </w:rPr>
              <w:t xml:space="preserve"> Digital Elevation Model.</w:t>
            </w:r>
            <w:r w:rsidR="000B3835">
              <w:rPr>
                <w:rFonts w:ascii="Times New Roman" w:hAnsi="Times New Roman" w:cs="Times New Roman"/>
                <w:sz w:val="20"/>
                <w:szCs w:val="20"/>
              </w:rPr>
              <w:t xml:space="preserve">  Potential range 0-infinity.</w:t>
            </w:r>
          </w:p>
        </w:tc>
      </w:tr>
      <w:tr w:rsidR="008D1392" w14:paraId="5288E8D3" w14:textId="77777777" w:rsidTr="008D1392">
        <w:trPr>
          <w:trHeight w:val="288"/>
        </w:trPr>
        <w:tc>
          <w:tcPr>
            <w:tcW w:w="1906" w:type="dxa"/>
            <w:tcBorders>
              <w:top w:val="single" w:sz="4" w:space="0" w:color="auto"/>
              <w:left w:val="nil"/>
              <w:bottom w:val="single" w:sz="4" w:space="0" w:color="auto"/>
              <w:right w:val="nil"/>
            </w:tcBorders>
            <w:noWrap/>
            <w:hideMark/>
          </w:tcPr>
          <w:p w14:paraId="025D1C31" w14:textId="77777777"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slope_percent</w:t>
            </w:r>
            <w:proofErr w:type="spellEnd"/>
          </w:p>
        </w:tc>
        <w:tc>
          <w:tcPr>
            <w:tcW w:w="1874" w:type="dxa"/>
            <w:tcBorders>
              <w:top w:val="single" w:sz="4" w:space="0" w:color="auto"/>
              <w:left w:val="nil"/>
              <w:bottom w:val="single" w:sz="4" w:space="0" w:color="auto"/>
              <w:right w:val="nil"/>
            </w:tcBorders>
            <w:noWrap/>
            <w:hideMark/>
          </w:tcPr>
          <w:p w14:paraId="490F3674"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percent</w:t>
            </w:r>
          </w:p>
        </w:tc>
        <w:tc>
          <w:tcPr>
            <w:tcW w:w="5760" w:type="dxa"/>
            <w:tcBorders>
              <w:top w:val="single" w:sz="4" w:space="0" w:color="auto"/>
              <w:left w:val="nil"/>
              <w:bottom w:val="single" w:sz="4" w:space="0" w:color="auto"/>
              <w:right w:val="nil"/>
            </w:tcBorders>
            <w:noWrap/>
            <w:hideMark/>
          </w:tcPr>
          <w:p w14:paraId="67A8D1E3" w14:textId="4907DE7A" w:rsidR="008D1392" w:rsidRDefault="008D1392">
            <w:pPr>
              <w:rPr>
                <w:rFonts w:ascii="Times New Roman" w:hAnsi="Times New Roman" w:cs="Times New Roman"/>
                <w:sz w:val="20"/>
                <w:szCs w:val="20"/>
              </w:rPr>
            </w:pPr>
            <w:r>
              <w:rPr>
                <w:rFonts w:ascii="Times New Roman" w:hAnsi="Times New Roman" w:cs="Times New Roman"/>
                <w:sz w:val="20"/>
                <w:szCs w:val="20"/>
              </w:rPr>
              <w:t xml:space="preserve">Slope angle derived from a </w:t>
            </w:r>
            <w:r w:rsidR="000B3835">
              <w:rPr>
                <w:rFonts w:ascii="Times New Roman" w:hAnsi="Times New Roman" w:cs="Times New Roman"/>
                <w:sz w:val="20"/>
                <w:szCs w:val="20"/>
              </w:rPr>
              <w:t xml:space="preserve">10m resolution </w:t>
            </w:r>
            <w:r>
              <w:rPr>
                <w:rFonts w:ascii="Times New Roman" w:hAnsi="Times New Roman" w:cs="Times New Roman"/>
                <w:sz w:val="20"/>
                <w:szCs w:val="20"/>
              </w:rPr>
              <w:t>Digital Elevation Model.</w:t>
            </w:r>
            <w:r w:rsidR="000B3835">
              <w:rPr>
                <w:rFonts w:ascii="Times New Roman" w:hAnsi="Times New Roman" w:cs="Times New Roman"/>
                <w:sz w:val="20"/>
                <w:szCs w:val="20"/>
              </w:rPr>
              <w:t xml:space="preserve">  Potential range 0-infinity.</w:t>
            </w:r>
          </w:p>
        </w:tc>
      </w:tr>
      <w:tr w:rsidR="008D1392" w14:paraId="201A22C4" w14:textId="77777777" w:rsidTr="008D1392">
        <w:trPr>
          <w:trHeight w:val="288"/>
        </w:trPr>
        <w:tc>
          <w:tcPr>
            <w:tcW w:w="1906" w:type="dxa"/>
            <w:tcBorders>
              <w:top w:val="single" w:sz="4" w:space="0" w:color="auto"/>
              <w:left w:val="nil"/>
              <w:bottom w:val="single" w:sz="4" w:space="0" w:color="auto"/>
              <w:right w:val="nil"/>
            </w:tcBorders>
            <w:noWrap/>
            <w:hideMark/>
          </w:tcPr>
          <w:p w14:paraId="6958CE0D" w14:textId="29AC2D43"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transformed_aspect</w:t>
            </w:r>
            <w:proofErr w:type="spellEnd"/>
          </w:p>
        </w:tc>
        <w:tc>
          <w:tcPr>
            <w:tcW w:w="1874" w:type="dxa"/>
            <w:tcBorders>
              <w:top w:val="single" w:sz="4" w:space="0" w:color="auto"/>
              <w:left w:val="nil"/>
              <w:bottom w:val="single" w:sz="4" w:space="0" w:color="auto"/>
              <w:right w:val="nil"/>
            </w:tcBorders>
            <w:noWrap/>
            <w:hideMark/>
          </w:tcPr>
          <w:p w14:paraId="0EE5BC0A"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cosine</w:t>
            </w:r>
          </w:p>
        </w:tc>
        <w:tc>
          <w:tcPr>
            <w:tcW w:w="5760" w:type="dxa"/>
            <w:tcBorders>
              <w:top w:val="single" w:sz="4" w:space="0" w:color="auto"/>
              <w:left w:val="nil"/>
              <w:bottom w:val="single" w:sz="4" w:space="0" w:color="auto"/>
              <w:right w:val="nil"/>
            </w:tcBorders>
            <w:hideMark/>
          </w:tcPr>
          <w:p w14:paraId="1E6B9404"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 xml:space="preserve">Aspect transformed using the equation (cos(45°– aspect) + 1)).  Equation from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{"citationItems":[{"id":"ITEM-1","itemData":{"DOI":"10.1093/jof/64.10.691","author":[{"dropping-particle":"","family":"Beers","given":"Thomas W.","non-dropping-particle":"","parse-names":false,"suffix":""},{"dropping-particle":"","family":"Dress","given":"Peter E.","non-dropping-particle":"","parse-names":false,"suffix":""},{"dropping-particle":"","family":"Wensel","given":"Lee C.","non-dropping-particle":"","parse-names":false,"suffix":""}],"container-title":"Journal of Forestry","id":"ITEM-1","issue":"10","issued":{"date-parts":[["1966","10","1"]]},"page":"691-692","publisher":"Oxford University Press","title":"Notes and Observations: Aspect Transformation in Site Productivity Research","type":"article-journal","volume":"64"},"uris":["http://www.mendeley.com/documents/?uuid=821f4259-5649-37a1-b767-fdac5b136727"]}],"mendeley":{"formattedCitation":"(Beers et al. 1966)","plainTextFormattedCitation":"(Beers et al. 1966)","previouslyFormattedCitation":"(Beers et al. 1966)"},"properties":{"noteIndex":0},"schema":"https://github.com/citation-style-language/schema/raw/master/csl-citation.json"}</w:instrText>
            </w:r>
            <w:r>
              <w:rPr>
                <w:rFonts w:ascii="Times New Roman" w:hAnsi="Times New Roman" w:cs="Times New Roman"/>
                <w:sz w:val="20"/>
                <w:szCs w:val="20"/>
              </w:rPr>
              <w:fldChar w:fldCharType="separate"/>
            </w:r>
            <w:r>
              <w:rPr>
                <w:rFonts w:ascii="Times New Roman" w:hAnsi="Times New Roman" w:cs="Times New Roman"/>
                <w:noProof/>
                <w:sz w:val="20"/>
                <w:szCs w:val="20"/>
              </w:rPr>
              <w:t>(Beers et al. 1966)</w:t>
            </w:r>
            <w:r>
              <w:rPr>
                <w:rFonts w:ascii="Times New Roman" w:hAnsi="Times New Roman" w:cs="Times New Roman"/>
                <w:sz w:val="20"/>
                <w:szCs w:val="20"/>
              </w:rPr>
              <w:fldChar w:fldCharType="end"/>
            </w:r>
            <w:r>
              <w:rPr>
                <w:rFonts w:ascii="Times New Roman" w:hAnsi="Times New Roman" w:cs="Times New Roman"/>
                <w:sz w:val="20"/>
                <w:szCs w:val="20"/>
              </w:rPr>
              <w:t>.  Potential range 0-2.</w:t>
            </w:r>
          </w:p>
        </w:tc>
      </w:tr>
      <w:tr w:rsidR="008D1392" w14:paraId="60B41CD2" w14:textId="77777777" w:rsidTr="008D1392">
        <w:trPr>
          <w:trHeight w:val="288"/>
        </w:trPr>
        <w:tc>
          <w:tcPr>
            <w:tcW w:w="1906" w:type="dxa"/>
            <w:tcBorders>
              <w:top w:val="single" w:sz="4" w:space="0" w:color="auto"/>
              <w:left w:val="nil"/>
              <w:bottom w:val="single" w:sz="4" w:space="0" w:color="auto"/>
              <w:right w:val="nil"/>
            </w:tcBorders>
            <w:noWrap/>
            <w:hideMark/>
          </w:tcPr>
          <w:p w14:paraId="25B46D5B"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treatment</w:t>
            </w:r>
          </w:p>
        </w:tc>
        <w:tc>
          <w:tcPr>
            <w:tcW w:w="1874" w:type="dxa"/>
            <w:tcBorders>
              <w:top w:val="single" w:sz="4" w:space="0" w:color="auto"/>
              <w:left w:val="nil"/>
              <w:bottom w:val="single" w:sz="4" w:space="0" w:color="auto"/>
              <w:right w:val="nil"/>
            </w:tcBorders>
            <w:noWrap/>
            <w:hideMark/>
          </w:tcPr>
          <w:p w14:paraId="15D3FFB9" w14:textId="77777777"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experimental_treatment</w:t>
            </w:r>
            <w:proofErr w:type="spellEnd"/>
          </w:p>
        </w:tc>
        <w:tc>
          <w:tcPr>
            <w:tcW w:w="5760" w:type="dxa"/>
            <w:tcBorders>
              <w:top w:val="single" w:sz="4" w:space="0" w:color="auto"/>
              <w:left w:val="nil"/>
              <w:bottom w:val="single" w:sz="4" w:space="0" w:color="auto"/>
              <w:right w:val="nil"/>
            </w:tcBorders>
            <w:noWrap/>
            <w:hideMark/>
          </w:tcPr>
          <w:p w14:paraId="01061083"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 xml:space="preserve">One of four experimental treatments: control, burn, thin, or thin plus burn.  Also 'wildfire' for control units hit by a subsequent low severity wildfire.  See protocol for more detail. </w:t>
            </w:r>
          </w:p>
        </w:tc>
      </w:tr>
      <w:tr w:rsidR="008D1392" w14:paraId="5FE92742" w14:textId="77777777" w:rsidTr="008D1392">
        <w:trPr>
          <w:trHeight w:val="288"/>
        </w:trPr>
        <w:tc>
          <w:tcPr>
            <w:tcW w:w="1906" w:type="dxa"/>
            <w:tcBorders>
              <w:top w:val="single" w:sz="4" w:space="0" w:color="auto"/>
              <w:left w:val="nil"/>
              <w:bottom w:val="single" w:sz="4" w:space="0" w:color="auto"/>
              <w:right w:val="nil"/>
            </w:tcBorders>
            <w:noWrap/>
            <w:hideMark/>
          </w:tcPr>
          <w:p w14:paraId="78C29D12"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unit</w:t>
            </w:r>
          </w:p>
        </w:tc>
        <w:tc>
          <w:tcPr>
            <w:tcW w:w="1874" w:type="dxa"/>
            <w:tcBorders>
              <w:top w:val="single" w:sz="4" w:space="0" w:color="auto"/>
              <w:left w:val="nil"/>
              <w:bottom w:val="single" w:sz="4" w:space="0" w:color="auto"/>
              <w:right w:val="nil"/>
            </w:tcBorders>
            <w:noWrap/>
            <w:hideMark/>
          </w:tcPr>
          <w:p w14:paraId="5D10BFB6" w14:textId="77777777"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replicate_unit</w:t>
            </w:r>
            <w:proofErr w:type="spellEnd"/>
          </w:p>
        </w:tc>
        <w:tc>
          <w:tcPr>
            <w:tcW w:w="5760" w:type="dxa"/>
            <w:tcBorders>
              <w:top w:val="single" w:sz="4" w:space="0" w:color="auto"/>
              <w:left w:val="nil"/>
              <w:bottom w:val="single" w:sz="4" w:space="0" w:color="auto"/>
              <w:right w:val="nil"/>
            </w:tcBorders>
            <w:noWrap/>
            <w:hideMark/>
          </w:tcPr>
          <w:p w14:paraId="669792D7" w14:textId="27A354BD" w:rsidR="008D1392" w:rsidRDefault="008D1392">
            <w:pPr>
              <w:rPr>
                <w:rFonts w:ascii="Times New Roman" w:hAnsi="Times New Roman" w:cs="Times New Roman"/>
                <w:sz w:val="20"/>
                <w:szCs w:val="20"/>
              </w:rPr>
            </w:pPr>
            <w:r>
              <w:rPr>
                <w:rFonts w:ascii="Times New Roman" w:hAnsi="Times New Roman" w:cs="Times New Roman"/>
                <w:sz w:val="20"/>
                <w:szCs w:val="20"/>
              </w:rPr>
              <w:t xml:space="preserve">One of </w:t>
            </w:r>
            <w:r w:rsidR="000B3835">
              <w:rPr>
                <w:rFonts w:ascii="Times New Roman" w:hAnsi="Times New Roman" w:cs="Times New Roman"/>
                <w:sz w:val="20"/>
                <w:szCs w:val="20"/>
              </w:rPr>
              <w:t xml:space="preserve">8 </w:t>
            </w:r>
            <w:r>
              <w:rPr>
                <w:rFonts w:ascii="Times New Roman" w:hAnsi="Times New Roman" w:cs="Times New Roman"/>
                <w:sz w:val="20"/>
                <w:szCs w:val="20"/>
              </w:rPr>
              <w:t xml:space="preserve">individual replicate units, each approximately 10 hectares in size, each with an experimental treatment applied.  See protocol for more detail. </w:t>
            </w:r>
          </w:p>
        </w:tc>
      </w:tr>
      <w:tr w:rsidR="008D1392" w14:paraId="480185FC" w14:textId="77777777" w:rsidTr="008D1392">
        <w:trPr>
          <w:trHeight w:val="288"/>
        </w:trPr>
        <w:tc>
          <w:tcPr>
            <w:tcW w:w="1906" w:type="dxa"/>
            <w:tcBorders>
              <w:top w:val="single" w:sz="4" w:space="0" w:color="auto"/>
              <w:left w:val="nil"/>
              <w:bottom w:val="single" w:sz="4" w:space="0" w:color="auto"/>
              <w:right w:val="nil"/>
            </w:tcBorders>
            <w:noWrap/>
            <w:hideMark/>
          </w:tcPr>
          <w:p w14:paraId="0E93F110" w14:textId="77777777"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topographic_wetness</w:t>
            </w:r>
            <w:proofErr w:type="spellEnd"/>
            <w:r>
              <w:rPr>
                <w:rFonts w:ascii="Times New Roman" w:hAnsi="Times New Roman" w:cs="Times New Roman"/>
                <w:sz w:val="20"/>
                <w:szCs w:val="20"/>
              </w:rPr>
              <w:t xml:space="preserve"> index</w:t>
            </w:r>
          </w:p>
        </w:tc>
        <w:tc>
          <w:tcPr>
            <w:tcW w:w="1874" w:type="dxa"/>
            <w:tcBorders>
              <w:top w:val="single" w:sz="4" w:space="0" w:color="auto"/>
              <w:left w:val="nil"/>
              <w:bottom w:val="single" w:sz="4" w:space="0" w:color="auto"/>
              <w:right w:val="nil"/>
            </w:tcBorders>
            <w:noWrap/>
            <w:hideMark/>
          </w:tcPr>
          <w:p w14:paraId="5C939D5F"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index</w:t>
            </w:r>
          </w:p>
        </w:tc>
        <w:tc>
          <w:tcPr>
            <w:tcW w:w="5760" w:type="dxa"/>
            <w:tcBorders>
              <w:top w:val="single" w:sz="4" w:space="0" w:color="auto"/>
              <w:left w:val="nil"/>
              <w:bottom w:val="single" w:sz="4" w:space="0" w:color="auto"/>
              <w:right w:val="nil"/>
            </w:tcBorders>
            <w:noWrap/>
            <w:hideMark/>
          </w:tcPr>
          <w:p w14:paraId="260925F2" w14:textId="2F1DE6D9" w:rsidR="008D1392" w:rsidRDefault="000B3835">
            <w:pPr>
              <w:rPr>
                <w:rFonts w:ascii="Times New Roman" w:hAnsi="Times New Roman" w:cs="Times New Roman"/>
                <w:sz w:val="20"/>
                <w:szCs w:val="20"/>
              </w:rPr>
            </w:pPr>
            <w:r>
              <w:rPr>
                <w:rFonts w:ascii="Times New Roman" w:hAnsi="Times New Roman" w:cs="Times New Roman"/>
                <w:sz w:val="20"/>
                <w:szCs w:val="20"/>
              </w:rPr>
              <w:t xml:space="preserve">Topographic wetness index calculated from a </w:t>
            </w:r>
            <w:proofErr w:type="gramStart"/>
            <w:r>
              <w:rPr>
                <w:rFonts w:ascii="Times New Roman" w:hAnsi="Times New Roman" w:cs="Times New Roman"/>
                <w:sz w:val="20"/>
                <w:szCs w:val="20"/>
              </w:rPr>
              <w:t>10 meter</w:t>
            </w:r>
            <w:proofErr w:type="gramEnd"/>
            <w:r>
              <w:rPr>
                <w:rFonts w:ascii="Times New Roman" w:hAnsi="Times New Roman" w:cs="Times New Roman"/>
                <w:sz w:val="20"/>
                <w:szCs w:val="20"/>
              </w:rPr>
              <w:t xml:space="preserve"> digital elevation model using the R</w:t>
            </w:r>
            <w:r w:rsidR="00E3657A">
              <w:rPr>
                <w:rFonts w:ascii="Times New Roman" w:hAnsi="Times New Roman" w:cs="Times New Roman"/>
                <w:sz w:val="20"/>
                <w:szCs w:val="20"/>
              </w:rPr>
              <w:t xml:space="preserve">SAGA package </w:t>
            </w:r>
            <w:r>
              <w:rPr>
                <w:rFonts w:ascii="Times New Roman" w:hAnsi="Times New Roman" w:cs="Times New Roman"/>
                <w:sz w:val="20"/>
                <w:szCs w:val="20"/>
              </w:rPr>
              <w:t>in R.</w:t>
            </w:r>
            <w:r w:rsidR="008D1392">
              <w:rPr>
                <w:rFonts w:ascii="Times New Roman" w:hAnsi="Times New Roman" w:cs="Times New Roman"/>
                <w:sz w:val="20"/>
                <w:szCs w:val="20"/>
              </w:rPr>
              <w:t xml:space="preserve"> </w:t>
            </w:r>
            <w:r w:rsidR="00857715">
              <w:rPr>
                <w:rFonts w:ascii="Times New Roman" w:hAnsi="Times New Roman" w:cs="Times New Roman"/>
                <w:sz w:val="20"/>
                <w:szCs w:val="20"/>
              </w:rPr>
              <w:t xml:space="preserve"> Potential range 0-10.</w:t>
            </w:r>
          </w:p>
        </w:tc>
      </w:tr>
      <w:tr w:rsidR="00857715" w14:paraId="3879EF8C" w14:textId="77777777" w:rsidTr="008D1392">
        <w:trPr>
          <w:trHeight w:val="288"/>
        </w:trPr>
        <w:tc>
          <w:tcPr>
            <w:tcW w:w="1906" w:type="dxa"/>
            <w:tcBorders>
              <w:top w:val="single" w:sz="4" w:space="0" w:color="auto"/>
              <w:left w:val="nil"/>
              <w:bottom w:val="single" w:sz="4" w:space="0" w:color="auto"/>
              <w:right w:val="nil"/>
            </w:tcBorders>
            <w:noWrap/>
          </w:tcPr>
          <w:p w14:paraId="070288C0" w14:textId="2C2EE191" w:rsidR="00857715" w:rsidRDefault="00857715">
            <w:pPr>
              <w:rPr>
                <w:rFonts w:ascii="Times New Roman" w:hAnsi="Times New Roman" w:cs="Times New Roman"/>
                <w:sz w:val="20"/>
                <w:szCs w:val="20"/>
              </w:rPr>
            </w:pPr>
            <w:r>
              <w:rPr>
                <w:rFonts w:ascii="Times New Roman" w:hAnsi="Times New Roman" w:cs="Times New Roman"/>
                <w:sz w:val="20"/>
                <w:szCs w:val="20"/>
              </w:rPr>
              <w:t>heat load index</w:t>
            </w:r>
          </w:p>
        </w:tc>
        <w:tc>
          <w:tcPr>
            <w:tcW w:w="1874" w:type="dxa"/>
            <w:tcBorders>
              <w:top w:val="single" w:sz="4" w:space="0" w:color="auto"/>
              <w:left w:val="nil"/>
              <w:bottom w:val="single" w:sz="4" w:space="0" w:color="auto"/>
              <w:right w:val="nil"/>
            </w:tcBorders>
            <w:noWrap/>
          </w:tcPr>
          <w:p w14:paraId="0744F037" w14:textId="3DD3CFDE" w:rsidR="00857715" w:rsidRDefault="00857715">
            <w:pPr>
              <w:rPr>
                <w:rFonts w:ascii="Times New Roman" w:hAnsi="Times New Roman" w:cs="Times New Roman"/>
                <w:sz w:val="20"/>
                <w:szCs w:val="20"/>
              </w:rPr>
            </w:pPr>
            <w:r>
              <w:rPr>
                <w:rFonts w:ascii="Times New Roman" w:hAnsi="Times New Roman" w:cs="Times New Roman"/>
                <w:sz w:val="20"/>
                <w:szCs w:val="20"/>
              </w:rPr>
              <w:t>index</w:t>
            </w:r>
          </w:p>
        </w:tc>
        <w:tc>
          <w:tcPr>
            <w:tcW w:w="5760" w:type="dxa"/>
            <w:tcBorders>
              <w:top w:val="single" w:sz="4" w:space="0" w:color="auto"/>
              <w:left w:val="nil"/>
              <w:bottom w:val="single" w:sz="4" w:space="0" w:color="auto"/>
              <w:right w:val="nil"/>
            </w:tcBorders>
            <w:noWrap/>
          </w:tcPr>
          <w:p w14:paraId="7AC025E0" w14:textId="4A354D3B" w:rsidR="00857715" w:rsidRDefault="00857715">
            <w:pPr>
              <w:rPr>
                <w:rFonts w:ascii="Times New Roman" w:hAnsi="Times New Roman" w:cs="Times New Roman"/>
                <w:sz w:val="20"/>
                <w:szCs w:val="20"/>
              </w:rPr>
            </w:pPr>
            <w:r>
              <w:rPr>
                <w:rFonts w:ascii="Times New Roman" w:hAnsi="Times New Roman" w:cs="Times New Roman"/>
                <w:sz w:val="20"/>
                <w:szCs w:val="20"/>
              </w:rPr>
              <w:t xml:space="preserve">Heat load index calculated from 10-meter digital elevation model using the </w:t>
            </w:r>
            <w:proofErr w:type="spellStart"/>
            <w:r>
              <w:rPr>
                <w:rFonts w:ascii="Times New Roman" w:hAnsi="Times New Roman" w:cs="Times New Roman"/>
                <w:sz w:val="20"/>
                <w:szCs w:val="20"/>
              </w:rPr>
              <w:t>spatialEco</w:t>
            </w:r>
            <w:proofErr w:type="spellEnd"/>
            <w:r>
              <w:rPr>
                <w:rFonts w:ascii="Times New Roman" w:hAnsi="Times New Roman" w:cs="Times New Roman"/>
                <w:sz w:val="20"/>
                <w:szCs w:val="20"/>
              </w:rPr>
              <w:t xml:space="preserve"> package in R.  Potential range 0-1. </w:t>
            </w:r>
          </w:p>
        </w:tc>
      </w:tr>
      <w:tr w:rsidR="008D1392" w14:paraId="53271317" w14:textId="77777777" w:rsidTr="008D1392">
        <w:trPr>
          <w:trHeight w:val="288"/>
        </w:trPr>
        <w:tc>
          <w:tcPr>
            <w:tcW w:w="1906" w:type="dxa"/>
            <w:tcBorders>
              <w:top w:val="single" w:sz="4" w:space="0" w:color="auto"/>
              <w:left w:val="nil"/>
              <w:bottom w:val="single" w:sz="4" w:space="0" w:color="auto"/>
              <w:right w:val="nil"/>
            </w:tcBorders>
            <w:noWrap/>
            <w:hideMark/>
          </w:tcPr>
          <w:p w14:paraId="7D7E02EA" w14:textId="77777777"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rdnbr</w:t>
            </w:r>
            <w:proofErr w:type="spellEnd"/>
          </w:p>
        </w:tc>
        <w:tc>
          <w:tcPr>
            <w:tcW w:w="1874" w:type="dxa"/>
            <w:tcBorders>
              <w:top w:val="single" w:sz="4" w:space="0" w:color="auto"/>
              <w:left w:val="nil"/>
              <w:bottom w:val="single" w:sz="4" w:space="0" w:color="auto"/>
              <w:right w:val="nil"/>
            </w:tcBorders>
            <w:noWrap/>
            <w:hideMark/>
          </w:tcPr>
          <w:p w14:paraId="6642BA33" w14:textId="77777777" w:rsidR="008D1392" w:rsidRDefault="008D1392">
            <w:pPr>
              <w:rPr>
                <w:rFonts w:ascii="Times New Roman" w:hAnsi="Times New Roman" w:cs="Times New Roman"/>
                <w:sz w:val="20"/>
                <w:szCs w:val="20"/>
              </w:rPr>
            </w:pPr>
            <w:r>
              <w:rPr>
                <w:rFonts w:ascii="Times New Roman" w:hAnsi="Times New Roman" w:cs="Times New Roman"/>
                <w:sz w:val="20"/>
                <w:szCs w:val="20"/>
              </w:rPr>
              <w:t>index</w:t>
            </w:r>
          </w:p>
        </w:tc>
        <w:tc>
          <w:tcPr>
            <w:tcW w:w="5760" w:type="dxa"/>
            <w:tcBorders>
              <w:top w:val="single" w:sz="4" w:space="0" w:color="auto"/>
              <w:left w:val="nil"/>
              <w:bottom w:val="single" w:sz="4" w:space="0" w:color="auto"/>
              <w:right w:val="nil"/>
            </w:tcBorders>
            <w:noWrap/>
            <w:hideMark/>
          </w:tcPr>
          <w:p w14:paraId="28EE25A6" w14:textId="4057DB97" w:rsidR="008D1392" w:rsidRDefault="00857715">
            <w:pPr>
              <w:rPr>
                <w:rFonts w:ascii="Times New Roman" w:hAnsi="Times New Roman" w:cs="Times New Roman"/>
                <w:sz w:val="20"/>
                <w:szCs w:val="20"/>
              </w:rPr>
            </w:pPr>
            <w:r>
              <w:rPr>
                <w:rFonts w:ascii="Times New Roman" w:hAnsi="Times New Roman" w:cs="Times New Roman"/>
                <w:sz w:val="20"/>
                <w:szCs w:val="20"/>
              </w:rPr>
              <w:t xml:space="preserve">Relativized normalized burn index, calculated without offsets using growing season image composites analysis in Google Earth Engine </w:t>
            </w:r>
            <w:r>
              <w:rPr>
                <w:rFonts w:ascii="Times New Roman" w:hAnsi="Times New Roman" w:cs="Times New Roman"/>
                <w:sz w:val="20"/>
                <w:szCs w:val="20"/>
              </w:rPr>
              <w:fldChar w:fldCharType="begin" w:fldLock="1"/>
            </w:r>
            <w:r w:rsidR="00785311">
              <w:rPr>
                <w:rFonts w:ascii="Times New Roman" w:hAnsi="Times New Roman" w:cs="Times New Roman"/>
                <w:sz w:val="20"/>
                <w:szCs w:val="20"/>
              </w:rPr>
              <w:instrText>ADDIN CSL_CITATION {"citationItems":[{"id":"ITEM-1","itemData":{"DOI":"10.1016/J.RSE.2017.06.031","ISSN":"0034-4257","abstract":"Google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author":[{"dropping-particle":"","family":"Gorelick","given":"Noel","non-dropping-particle":"","parse-names":false,"suffix":""},{"dropping-particle":"","family":"Hancher","given":"Matt","non-dropping-particle":"","parse-names":false,"suffix":""},{"dropping-particle":"","family":"Dixon","given":"Mike","non-dropping-particle":"","parse-names":false,"suffix":""},{"dropping-particle":"","family":"Ilyushchenko","given":"Simon","non-dropping-particle":"","parse-names":false,"suffix":""},{"dropping-particle":"","family":"Thau","given":"David","non-dropping-particle":"","parse-names":false,"suffix":""},{"dropping-particle":"","family":"Moore","given":"Rebecca","non-dropping-particle":"","parse-names":false,"suffix":""}],"container-title":"Remote Sensing of Environment","id":"ITEM-1","issued":{"date-parts":[["2017","12","1"]]},"page":"18-27","publisher":"Elsevier","title":"Google Earth Engine: Planetary-scale geospatial analysis for everyone","type":"article-journal","volume":"202"},"uris":["http://www.mendeley.com/documents/?uuid=6a3eeb12-a260-3a00-99ee-4fdc8cb8a82d"]}],"mendeley":{"formattedCitation":"(Gorelick et al. 2017)","plainTextFormattedCitation":"(Gorelick et al. 2017)","previouslyFormattedCitation":"(Gorelick et al. 2017)"},"properties":{"noteIndex":0},"schema":"https://github.com/citation-style-language/schema/raw/master/csl-citation.json"}</w:instrText>
            </w:r>
            <w:r>
              <w:rPr>
                <w:rFonts w:ascii="Times New Roman" w:hAnsi="Times New Roman" w:cs="Times New Roman"/>
                <w:sz w:val="20"/>
                <w:szCs w:val="20"/>
              </w:rPr>
              <w:fldChar w:fldCharType="separate"/>
            </w:r>
            <w:r w:rsidRPr="00857715">
              <w:rPr>
                <w:rFonts w:ascii="Times New Roman" w:hAnsi="Times New Roman" w:cs="Times New Roman"/>
                <w:noProof/>
                <w:sz w:val="20"/>
                <w:szCs w:val="20"/>
              </w:rPr>
              <w:t>(Gorelick et al. 2017)</w:t>
            </w:r>
            <w:r>
              <w:rPr>
                <w:rFonts w:ascii="Times New Roman" w:hAnsi="Times New Roman" w:cs="Times New Roman"/>
                <w:sz w:val="20"/>
                <w:szCs w:val="20"/>
              </w:rPr>
              <w:fldChar w:fldCharType="end"/>
            </w:r>
            <w:r>
              <w:rPr>
                <w:rFonts w:ascii="Times New Roman" w:hAnsi="Times New Roman" w:cs="Times New Roman"/>
                <w:sz w:val="20"/>
                <w:szCs w:val="20"/>
              </w:rPr>
              <w:t xml:space="preserve"> with code from </w:t>
            </w:r>
            <w:r w:rsidR="00785311">
              <w:rPr>
                <w:rFonts w:ascii="Times New Roman" w:hAnsi="Times New Roman" w:cs="Times New Roman"/>
                <w:sz w:val="20"/>
                <w:szCs w:val="20"/>
              </w:rPr>
              <w:fldChar w:fldCharType="begin" w:fldLock="1"/>
            </w:r>
            <w:r w:rsidR="009509B0">
              <w:rPr>
                <w:rFonts w:ascii="Times New Roman" w:hAnsi="Times New Roman" w:cs="Times New Roman"/>
                <w:sz w:val="20"/>
                <w:szCs w:val="20"/>
              </w:rPr>
              <w:instrText>ADDIN CSL_CITATION {"citationItems":[{"id":"ITEM-1","itemData":{"DOI":"10.3390/RS10060879","ISSN":"2072-4292","abstract":"Landsat-based fire severity datasets are an invaluable resource for monitoring and research purposes. These gridded fire severity datasets are generally produced with pre- and post-fire imagery to estimate the degree of fire-induced ecological change. Here, we introduce methods to produce three Landsat-based fire severity metrics using the Google Earth Engine (GEE) platform: The delta normalized burn ratio (dNBR), the relativized delta normalized burn ratio (RdNBR), and the relativized burn ratio (RBR). Our methods do not rely on time-consuming a priori scene selection but instead use a mean compositing approach in which all valid pixels (e.g., cloud-free) over a pre-specified date range (pre- and post-fire) are stacked and the mean value for each pixel over each stack is used to produce the resulting fire severity datasets. This approach demonstrates that fire severity datasets can be produced with relative ease and speed compared to the standard approach in which one pre-fire and one post-fire scene are judiciously identified and used to produce fire severity datasets. We also validate the GEE-derived fire severity metrics using field-based fire severity plots for 18 fires in the western United States. These validations are compared to Landsat-based fire severity datasets produced using only one pre- and post-fire scene, which has been the standard approach in producing such datasets since their inception. Results indicate that the GEE-derived fire severity datasets generally show improved validation statistics compared to parallel versions in which only one pre-fire and one post-fire scene are used, though some of the improvements in some validations are more or less negligible. We provide code and a sample geospatial fire history layer to produce dNBR, RdNBR, and RBR for the 18 fires we evaluated. Although our approach requires that a geospatial fire history layer (i.e., fire perimeters) be produced independently and prior to applying our methods, we suggest that our GEE methodology can reasonably be implemented on hundreds to thousands of fires, thereby increasing opportunities for fire severity monitoring and research across the globe.","author":[{"dropping-particle":"","family":"Parks","given":"Sean A.","non-dropping-particle":"","parse-names":false,"suffix":""},{"dropping-particle":"","family":"Holsinger","given":"Lisa M.","non-dropping-particle":"","parse-names":false,"suffix":""},{"dropping-particle":"","family":"Voss","given":"Morgan A.","non-dropping-particle":"","parse-names":false,"suffix":""},{"dropping-particle":"","family":"Loehman","given":"Rachel A.","non-dropping-particle":"","parse-names":false,"suffix":""},{"dropping-particle":"","family":"Robinson","given":"Nathaniel P.","non-dropping-particle":"","parse-names":false,"suffix":""}],"container-title":"Remote Sensing 2018, Vol. 10, Page 879","id":"ITEM-1","issue":"6","issued":{"date-parts":[["2018","6","5"]]},"page":"879","publisher":"Multidisciplinary Digital Publishing Institute","title":"Mean Composite Fire Severity Metrics Computed with Google Earth Engine Offer Improved Accuracy and Expanded Mapping Potential","type":"article-journal","volume":"10"},"uris":["http://www.mendeley.com/documents/?uuid=8f98592f-f124-3e80-9d9e-601d8173f3d5"]}],"mendeley":{"formattedCitation":"(Parks et al. 2018)","plainTextFormattedCitation":"(Parks et al. 2018)","previouslyFormattedCitation":"(Parks et al. 2018)"},"properties":{"noteIndex":0},"schema":"https://github.com/citation-style-language/schema/raw/master/csl-citation.json"}</w:instrText>
            </w:r>
            <w:r w:rsidR="00785311">
              <w:rPr>
                <w:rFonts w:ascii="Times New Roman" w:hAnsi="Times New Roman" w:cs="Times New Roman"/>
                <w:sz w:val="20"/>
                <w:szCs w:val="20"/>
              </w:rPr>
              <w:fldChar w:fldCharType="separate"/>
            </w:r>
            <w:r w:rsidR="00785311" w:rsidRPr="00785311">
              <w:rPr>
                <w:rFonts w:ascii="Times New Roman" w:hAnsi="Times New Roman" w:cs="Times New Roman"/>
                <w:noProof/>
                <w:sz w:val="20"/>
                <w:szCs w:val="20"/>
              </w:rPr>
              <w:t>(Parks et al. 2018)</w:t>
            </w:r>
            <w:r w:rsidR="00785311">
              <w:rPr>
                <w:rFonts w:ascii="Times New Roman" w:hAnsi="Times New Roman" w:cs="Times New Roman"/>
                <w:sz w:val="20"/>
                <w:szCs w:val="20"/>
              </w:rPr>
              <w:fldChar w:fldCharType="end"/>
            </w:r>
            <w:r w:rsidR="00785311">
              <w:rPr>
                <w:rFonts w:ascii="Times New Roman" w:hAnsi="Times New Roman" w:cs="Times New Roman"/>
                <w:sz w:val="20"/>
                <w:szCs w:val="20"/>
              </w:rPr>
              <w:t>, updated in 2021 to resolve a mistake found in the original code.</w:t>
            </w:r>
            <w:r w:rsidR="008D1392">
              <w:rPr>
                <w:rFonts w:ascii="Times New Roman" w:hAnsi="Times New Roman" w:cs="Times New Roman"/>
                <w:sz w:val="20"/>
                <w:szCs w:val="20"/>
              </w:rPr>
              <w:t xml:space="preserve">  </w:t>
            </w:r>
            <w:r w:rsidR="000B3835">
              <w:rPr>
                <w:rFonts w:ascii="Times New Roman" w:hAnsi="Times New Roman" w:cs="Times New Roman"/>
                <w:sz w:val="20"/>
                <w:szCs w:val="20"/>
              </w:rPr>
              <w:t>Potential range -infinity-infinity.</w:t>
            </w:r>
          </w:p>
        </w:tc>
      </w:tr>
      <w:tr w:rsidR="008D1392" w14:paraId="651C5D75" w14:textId="77777777" w:rsidTr="008D1392">
        <w:trPr>
          <w:trHeight w:val="288"/>
        </w:trPr>
        <w:tc>
          <w:tcPr>
            <w:tcW w:w="1906" w:type="dxa"/>
            <w:tcBorders>
              <w:top w:val="single" w:sz="4" w:space="0" w:color="auto"/>
              <w:left w:val="nil"/>
              <w:bottom w:val="nil"/>
              <w:right w:val="nil"/>
            </w:tcBorders>
            <w:noWrap/>
            <w:hideMark/>
          </w:tcPr>
          <w:p w14:paraId="1D1445A1" w14:textId="39361144" w:rsidR="008D1392" w:rsidRDefault="008D1392">
            <w:pPr>
              <w:rPr>
                <w:rFonts w:ascii="Times New Roman" w:hAnsi="Times New Roman" w:cs="Times New Roman"/>
                <w:sz w:val="20"/>
                <w:szCs w:val="20"/>
              </w:rPr>
            </w:pPr>
            <w:proofErr w:type="spellStart"/>
            <w:r>
              <w:rPr>
                <w:rFonts w:ascii="Times New Roman" w:hAnsi="Times New Roman" w:cs="Times New Roman"/>
                <w:sz w:val="20"/>
                <w:szCs w:val="20"/>
              </w:rPr>
              <w:t>thinning_intensity</w:t>
            </w:r>
            <w:proofErr w:type="spellEnd"/>
          </w:p>
        </w:tc>
        <w:tc>
          <w:tcPr>
            <w:tcW w:w="1874" w:type="dxa"/>
            <w:tcBorders>
              <w:top w:val="single" w:sz="4" w:space="0" w:color="auto"/>
              <w:left w:val="nil"/>
              <w:bottom w:val="nil"/>
              <w:right w:val="nil"/>
            </w:tcBorders>
            <w:noWrap/>
            <w:hideMark/>
          </w:tcPr>
          <w:p w14:paraId="2DBFF706" w14:textId="41538C03" w:rsidR="008D1392" w:rsidRDefault="00785311">
            <w:pPr>
              <w:rPr>
                <w:rFonts w:ascii="Times New Roman" w:hAnsi="Times New Roman" w:cs="Times New Roman"/>
                <w:sz w:val="20"/>
                <w:szCs w:val="20"/>
              </w:rPr>
            </w:pPr>
            <w:r>
              <w:rPr>
                <w:rFonts w:ascii="Times New Roman" w:hAnsi="Times New Roman" w:cs="Times New Roman"/>
                <w:sz w:val="20"/>
                <w:szCs w:val="20"/>
              </w:rPr>
              <w:t>index</w:t>
            </w:r>
          </w:p>
        </w:tc>
        <w:tc>
          <w:tcPr>
            <w:tcW w:w="5760" w:type="dxa"/>
            <w:tcBorders>
              <w:top w:val="single" w:sz="4" w:space="0" w:color="auto"/>
              <w:left w:val="nil"/>
              <w:bottom w:val="nil"/>
              <w:right w:val="nil"/>
            </w:tcBorders>
            <w:noWrap/>
            <w:hideMark/>
          </w:tcPr>
          <w:p w14:paraId="38746A3C" w14:textId="588BFFC5" w:rsidR="008D1392" w:rsidRDefault="00785311">
            <w:pPr>
              <w:rPr>
                <w:rFonts w:ascii="Times New Roman" w:hAnsi="Times New Roman" w:cs="Times New Roman"/>
                <w:sz w:val="20"/>
                <w:szCs w:val="20"/>
              </w:rPr>
            </w:pPr>
            <w:r>
              <w:rPr>
                <w:rFonts w:ascii="Times New Roman" w:hAnsi="Times New Roman" w:cs="Times New Roman"/>
                <w:sz w:val="20"/>
                <w:szCs w:val="20"/>
              </w:rPr>
              <w:t xml:space="preserve">Average of relativized change in basal area and relativized change in live canopy cover from pretreatment to </w:t>
            </w:r>
            <w:proofErr w:type="spellStart"/>
            <w:r>
              <w:rPr>
                <w:rFonts w:ascii="Times New Roman" w:hAnsi="Times New Roman" w:cs="Times New Roman"/>
                <w:sz w:val="20"/>
                <w:szCs w:val="20"/>
              </w:rPr>
              <w:t>longterm</w:t>
            </w:r>
            <w:proofErr w:type="spellEnd"/>
            <w:r>
              <w:rPr>
                <w:rFonts w:ascii="Times New Roman" w:hAnsi="Times New Roman" w:cs="Times New Roman"/>
                <w:sz w:val="20"/>
                <w:szCs w:val="20"/>
              </w:rPr>
              <w:t xml:space="preserve"> sample periods, with relativization by maximum.  Potential range 0-1. </w:t>
            </w:r>
          </w:p>
        </w:tc>
      </w:tr>
    </w:tbl>
    <w:p w14:paraId="413DD9F3" w14:textId="7CDF1C8F" w:rsidR="008D1392" w:rsidRDefault="008D1392" w:rsidP="00810E22">
      <w:pPr>
        <w:spacing w:after="0"/>
        <w:rPr>
          <w:rFonts w:ascii="Times New Roman" w:hAnsi="Times New Roman" w:cs="Times New Roman"/>
          <w:sz w:val="24"/>
          <w:szCs w:val="24"/>
        </w:rPr>
      </w:pPr>
    </w:p>
    <w:p w14:paraId="16579FA0" w14:textId="77777777" w:rsidR="008D1392" w:rsidRDefault="008D1392" w:rsidP="00810E22">
      <w:pPr>
        <w:spacing w:after="0"/>
        <w:rPr>
          <w:rFonts w:ascii="Times New Roman" w:hAnsi="Times New Roman" w:cs="Times New Roman"/>
          <w:sz w:val="24"/>
          <w:szCs w:val="24"/>
        </w:rPr>
      </w:pPr>
    </w:p>
    <w:p w14:paraId="021CF146" w14:textId="6A5ED855" w:rsidR="005A6A1C" w:rsidRDefault="009A5A73" w:rsidP="00810E22">
      <w:pPr>
        <w:spacing w:after="0"/>
        <w:rPr>
          <w:rFonts w:ascii="Times New Roman" w:hAnsi="Times New Roman" w:cs="Times New Roman"/>
          <w:b/>
          <w:bCs/>
          <w:sz w:val="24"/>
          <w:szCs w:val="24"/>
        </w:rPr>
      </w:pPr>
      <w:r>
        <w:rPr>
          <w:rFonts w:ascii="Times New Roman" w:hAnsi="Times New Roman" w:cs="Times New Roman"/>
          <w:b/>
          <w:bCs/>
          <w:sz w:val="24"/>
          <w:szCs w:val="24"/>
        </w:rPr>
        <w:t>Acknowledgements</w:t>
      </w:r>
    </w:p>
    <w:p w14:paraId="0C153DA9" w14:textId="13390952" w:rsidR="0024678E" w:rsidRDefault="009A5A73" w:rsidP="00810E22">
      <w:pPr>
        <w:spacing w:after="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Jim Agee, Reese Lolley</w:t>
      </w:r>
      <w:r w:rsidR="008A5490">
        <w:rPr>
          <w:rFonts w:ascii="Times New Roman" w:hAnsi="Times New Roman" w:cs="Times New Roman"/>
          <w:sz w:val="24"/>
          <w:szCs w:val="24"/>
        </w:rPr>
        <w:t xml:space="preserve">, Dave W. Peterson, Brian </w:t>
      </w:r>
      <w:proofErr w:type="gramStart"/>
      <w:r w:rsidR="008A5490">
        <w:rPr>
          <w:rFonts w:ascii="Times New Roman" w:hAnsi="Times New Roman" w:cs="Times New Roman"/>
          <w:sz w:val="24"/>
          <w:szCs w:val="24"/>
        </w:rPr>
        <w:t>Harvey</w:t>
      </w:r>
      <w:proofErr w:type="gramEnd"/>
      <w:r w:rsidR="008A5490">
        <w:rPr>
          <w:rFonts w:ascii="Times New Roman" w:hAnsi="Times New Roman" w:cs="Times New Roman"/>
          <w:sz w:val="24"/>
          <w:szCs w:val="24"/>
        </w:rPr>
        <w:t xml:space="preserve"> and Jon Bakker have helped with compiling information from earlier phases of the study.  Madison Laughlin, Jenna Morris, Michele </w:t>
      </w:r>
      <w:proofErr w:type="spellStart"/>
      <w:r w:rsidR="008A5490">
        <w:rPr>
          <w:rFonts w:ascii="Times New Roman" w:hAnsi="Times New Roman" w:cs="Times New Roman"/>
          <w:sz w:val="24"/>
          <w:szCs w:val="24"/>
        </w:rPr>
        <w:t>Buonanduci</w:t>
      </w:r>
      <w:proofErr w:type="spellEnd"/>
      <w:r w:rsidR="008A5490">
        <w:rPr>
          <w:rFonts w:ascii="Times New Roman" w:hAnsi="Times New Roman" w:cs="Times New Roman"/>
          <w:sz w:val="24"/>
          <w:szCs w:val="24"/>
        </w:rPr>
        <w:t xml:space="preserve">, Hannah Wilson, Michael </w:t>
      </w:r>
      <w:proofErr w:type="spellStart"/>
      <w:r w:rsidR="008A5490">
        <w:rPr>
          <w:rFonts w:ascii="Times New Roman" w:hAnsi="Times New Roman" w:cs="Times New Roman"/>
          <w:sz w:val="24"/>
          <w:szCs w:val="24"/>
        </w:rPr>
        <w:t>McNorvell</w:t>
      </w:r>
      <w:proofErr w:type="spellEnd"/>
      <w:r w:rsidR="008A5490">
        <w:rPr>
          <w:rFonts w:ascii="Times New Roman" w:hAnsi="Times New Roman" w:cs="Times New Roman"/>
          <w:sz w:val="24"/>
          <w:szCs w:val="24"/>
        </w:rPr>
        <w:t xml:space="preserve">, Sarah Burrington, Nicole Lau, </w:t>
      </w:r>
      <w:proofErr w:type="spellStart"/>
      <w:r w:rsidR="008A5490">
        <w:rPr>
          <w:rFonts w:ascii="Times New Roman" w:hAnsi="Times New Roman" w:cs="Times New Roman"/>
          <w:sz w:val="24"/>
          <w:szCs w:val="24"/>
        </w:rPr>
        <w:t>Hiruni</w:t>
      </w:r>
      <w:proofErr w:type="spellEnd"/>
      <w:r w:rsidR="008A5490">
        <w:rPr>
          <w:rFonts w:ascii="Times New Roman" w:hAnsi="Times New Roman" w:cs="Times New Roman"/>
          <w:sz w:val="24"/>
          <w:szCs w:val="24"/>
        </w:rPr>
        <w:t xml:space="preserve"> Jayasekera, Allison Phillips, Marcela Todd, Marwa Mahmoud, Sienna Patton, Maddy Stone, Sam </w:t>
      </w:r>
      <w:proofErr w:type="spellStart"/>
      <w:r w:rsidR="008A5490">
        <w:rPr>
          <w:rFonts w:ascii="Times New Roman" w:hAnsi="Times New Roman" w:cs="Times New Roman"/>
          <w:sz w:val="24"/>
          <w:szCs w:val="24"/>
        </w:rPr>
        <w:t>Tharpgeorge</w:t>
      </w:r>
      <w:proofErr w:type="spellEnd"/>
      <w:r w:rsidR="008A5490">
        <w:rPr>
          <w:rFonts w:ascii="Times New Roman" w:hAnsi="Times New Roman" w:cs="Times New Roman"/>
          <w:sz w:val="24"/>
          <w:szCs w:val="24"/>
        </w:rPr>
        <w:t xml:space="preserve"> and Paige Byassee helped with field data collection.  Nicole Lau, Allison Phillips, Marwa </w:t>
      </w:r>
      <w:proofErr w:type="gramStart"/>
      <w:r w:rsidR="008A5490">
        <w:rPr>
          <w:rFonts w:ascii="Times New Roman" w:hAnsi="Times New Roman" w:cs="Times New Roman"/>
          <w:sz w:val="24"/>
          <w:szCs w:val="24"/>
        </w:rPr>
        <w:t>Mahmoud</w:t>
      </w:r>
      <w:proofErr w:type="gramEnd"/>
      <w:r w:rsidR="008A5490">
        <w:rPr>
          <w:rFonts w:ascii="Times New Roman" w:hAnsi="Times New Roman" w:cs="Times New Roman"/>
          <w:sz w:val="24"/>
          <w:szCs w:val="24"/>
        </w:rPr>
        <w:t xml:space="preserve"> and Michael </w:t>
      </w:r>
      <w:proofErr w:type="spellStart"/>
      <w:r w:rsidR="008A5490">
        <w:rPr>
          <w:rFonts w:ascii="Times New Roman" w:hAnsi="Times New Roman" w:cs="Times New Roman"/>
          <w:sz w:val="24"/>
          <w:szCs w:val="24"/>
        </w:rPr>
        <w:t>McNorvell</w:t>
      </w:r>
      <w:proofErr w:type="spellEnd"/>
      <w:r w:rsidR="008A5490">
        <w:rPr>
          <w:rFonts w:ascii="Times New Roman" w:hAnsi="Times New Roman" w:cs="Times New Roman"/>
          <w:sz w:val="24"/>
          <w:szCs w:val="24"/>
        </w:rPr>
        <w:t xml:space="preserve"> helped with data entry and quality assurance. </w:t>
      </w:r>
      <w:r w:rsidR="0024678E">
        <w:rPr>
          <w:rFonts w:ascii="Times New Roman" w:hAnsi="Times New Roman" w:cs="Times New Roman"/>
          <w:sz w:val="24"/>
          <w:szCs w:val="24"/>
        </w:rPr>
        <w:t xml:space="preserve"> </w:t>
      </w:r>
    </w:p>
    <w:p w14:paraId="0E274EC8" w14:textId="150606C8" w:rsidR="009A553A" w:rsidRDefault="009A553A" w:rsidP="00810E22">
      <w:pPr>
        <w:spacing w:after="0"/>
        <w:rPr>
          <w:rFonts w:ascii="Times New Roman" w:hAnsi="Times New Roman" w:cs="Times New Roman"/>
          <w:sz w:val="24"/>
          <w:szCs w:val="24"/>
        </w:rPr>
      </w:pPr>
    </w:p>
    <w:p w14:paraId="233EDC02" w14:textId="59295A0F" w:rsidR="009A553A" w:rsidRPr="009A553A" w:rsidRDefault="009A553A" w:rsidP="00810E22">
      <w:pPr>
        <w:spacing w:after="0"/>
        <w:rPr>
          <w:rFonts w:ascii="Times New Roman" w:hAnsi="Times New Roman" w:cs="Times New Roman"/>
          <w:b/>
          <w:bCs/>
          <w:sz w:val="24"/>
          <w:szCs w:val="24"/>
        </w:rPr>
      </w:pPr>
      <w:r w:rsidRPr="009A553A">
        <w:rPr>
          <w:rFonts w:ascii="Times New Roman" w:hAnsi="Times New Roman" w:cs="Times New Roman"/>
          <w:b/>
          <w:bCs/>
          <w:sz w:val="24"/>
          <w:szCs w:val="24"/>
        </w:rPr>
        <w:t xml:space="preserve">References </w:t>
      </w:r>
    </w:p>
    <w:p w14:paraId="2270C5F8" w14:textId="5B6790BC" w:rsidR="009A553A" w:rsidRDefault="009A553A" w:rsidP="00810E22">
      <w:pPr>
        <w:spacing w:after="0"/>
        <w:rPr>
          <w:rFonts w:ascii="Times New Roman" w:hAnsi="Times New Roman" w:cs="Times New Roman"/>
          <w:sz w:val="24"/>
          <w:szCs w:val="24"/>
        </w:rPr>
      </w:pPr>
    </w:p>
    <w:p w14:paraId="65955C31" w14:textId="327C3266"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sz w:val="24"/>
          <w:szCs w:val="24"/>
        </w:rPr>
        <w:fldChar w:fldCharType="begin" w:fldLock="1"/>
      </w:r>
      <w:r w:rsidRPr="009509B0">
        <w:rPr>
          <w:rFonts w:ascii="Times New Roman" w:hAnsi="Times New Roman" w:cs="Times New Roman"/>
          <w:sz w:val="24"/>
          <w:szCs w:val="24"/>
        </w:rPr>
        <w:instrText xml:space="preserve">ADDIN Mendeley Bibliography CSL_BIBLIOGRAPHY </w:instrText>
      </w:r>
      <w:r w:rsidRPr="009509B0">
        <w:rPr>
          <w:rFonts w:ascii="Times New Roman" w:hAnsi="Times New Roman" w:cs="Times New Roman"/>
          <w:sz w:val="24"/>
          <w:szCs w:val="24"/>
        </w:rPr>
        <w:fldChar w:fldCharType="separate"/>
      </w:r>
      <w:r w:rsidRPr="009509B0">
        <w:rPr>
          <w:rFonts w:ascii="Times New Roman" w:hAnsi="Times New Roman" w:cs="Times New Roman"/>
          <w:noProof/>
          <w:sz w:val="24"/>
          <w:szCs w:val="28"/>
        </w:rPr>
        <w:t>Agee, J. K., and J. F. Lehmkuhl. 2009. Dry forests of the Northeastern Cascades Fire and Fire Surrogate project site, Mission Creek, Okanogan-Wenatchee National Forest. Page Res. Pap. PNW-RP-577. Portland, OR: U.S. Department of Agriculture, Forest Service, Pacific Northwest Research Station. 158 p. Portland, OR.</w:t>
      </w:r>
    </w:p>
    <w:p w14:paraId="2DFEB325"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 xml:space="preserve">Agee, J. K., and M. R. Lolley. 2006. Thinning and Prescribed Fire Effects on Fuels and Potential </w:t>
      </w:r>
      <w:r w:rsidRPr="009509B0">
        <w:rPr>
          <w:rFonts w:ascii="Times New Roman" w:hAnsi="Times New Roman" w:cs="Times New Roman"/>
          <w:noProof/>
          <w:sz w:val="24"/>
          <w:szCs w:val="28"/>
        </w:rPr>
        <w:lastRenderedPageBreak/>
        <w:t>Fire Behavior in an Eastern Cascades Forest, Washington, USA. Fire Ecology 2:3–19.</w:t>
      </w:r>
    </w:p>
    <w:p w14:paraId="1F2B6923"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Beers, T. W., P. E. Dress, and L. C. Wensel. 1966. Notes and Observations: Aspect Transformation in Site Productivity Research. Journal of Forestry 64:691–692.</w:t>
      </w:r>
    </w:p>
    <w:p w14:paraId="5F6D1D42"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Bradshaw, L., and E. McCormick. 2000. FireFamily Plus user’s guide, Version 2.0. Gen. Tech. Rep. RMRS-GTR-67. Ogden, UT: U.S. Department of Agriculture, Forest Service, Rocky Mountain Research Station. 67.</w:t>
      </w:r>
    </w:p>
    <w:p w14:paraId="780859FE"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Brown, J. K. 1971. A Planar Intersect Method for Sampling Fuel Volume and Surface Area. Forest Science 17:96–102.</w:t>
      </w:r>
    </w:p>
    <w:p w14:paraId="7371707D"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Burgan, R. E., and R. C. Rothermel. 1984. BEHAVE: fire behavior prediction and fuel modeling system--FUEL subsystem. Page General Technical Report INT-167. Ogden, UT: U. S. Department of Agriculture, Forest Service, Intermountain Forest and Range Experiment Station. 126 p. Ogden, UT.</w:t>
      </w:r>
    </w:p>
    <w:p w14:paraId="61F55821"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Gorelick, N., M. Hancher, M. Dixon, S. Ilyushchenko, D. Thau, and R. Moore. 2017. Google Earth Engine: Planetary-scale geospatial analysis for everyone. Remote Sensing of Environment 202:18–27.</w:t>
      </w:r>
    </w:p>
    <w:p w14:paraId="1C42D969"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McIver, J. D., and C. P. Weatherspoon. 2010. On conducting a multisite, multidisciplinary forestry research project: Lessons from the national fire and fire surrogate study. Forest Science 56:4–17.</w:t>
      </w:r>
    </w:p>
    <w:p w14:paraId="4B9B4871"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Parks, S. A., L. M. Holsinger, M. A. Voss, R. A. Loehman, and N. P. Robinson. 2018. Mean Composite Fire Severity Metrics Computed with Google Earth Engine Offer Improved Accuracy and Expanded Mapping Potential. Remote Sensing 2018, Vol. 10, Page 879 10:879.</w:t>
      </w:r>
    </w:p>
    <w:p w14:paraId="1F36F2D7"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Reinhardt, E., and N. L. Crookston. 2003. The Fire and Fuels Extension to the Forest Vegetation Simulator. Gen. Tech. Rep. RMRS-GTR-116. Ogden, UT: U.S. Department of Agriculture, Forest Service, Rocky Mountain Research Station. 209 p. 116.</w:t>
      </w:r>
    </w:p>
    <w:p w14:paraId="1A0EE924"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8"/>
        </w:rPr>
      </w:pPr>
      <w:r w:rsidRPr="009509B0">
        <w:rPr>
          <w:rFonts w:ascii="Times New Roman" w:hAnsi="Times New Roman" w:cs="Times New Roman"/>
          <w:noProof/>
          <w:sz w:val="24"/>
          <w:szCs w:val="28"/>
        </w:rPr>
        <w:t>Reinhardt, E. D., R. E. Keane, and J. K. Brown. 1997. First Order Fire Effects Model: FOFEM 4.0, user’s guide. Gen. Tech. Rep. INT-GTR-344. Ogden, UT: U.S. Department of Agriculture, Forest Service, Intermountain Research Station. 65 p. 344.</w:t>
      </w:r>
    </w:p>
    <w:p w14:paraId="4912C50C" w14:textId="77777777" w:rsidR="009509B0" w:rsidRPr="009509B0" w:rsidRDefault="009509B0" w:rsidP="009509B0">
      <w:pPr>
        <w:widowControl w:val="0"/>
        <w:autoSpaceDE w:val="0"/>
        <w:autoSpaceDN w:val="0"/>
        <w:adjustRightInd w:val="0"/>
        <w:spacing w:line="240" w:lineRule="auto"/>
        <w:ind w:left="480" w:hanging="480"/>
        <w:rPr>
          <w:rFonts w:ascii="Times New Roman" w:hAnsi="Times New Roman" w:cs="Times New Roman"/>
          <w:noProof/>
          <w:sz w:val="24"/>
          <w:szCs w:val="24"/>
        </w:rPr>
      </w:pPr>
      <w:r w:rsidRPr="009509B0">
        <w:rPr>
          <w:rFonts w:ascii="Times New Roman" w:hAnsi="Times New Roman" w:cs="Times New Roman"/>
          <w:noProof/>
          <w:sz w:val="24"/>
          <w:szCs w:val="28"/>
        </w:rPr>
        <w:t>Rossman, A. K., J. D. Bakker, D. W. Peterson, and C. B. Halpern. 2020. Long-term effects of fuels treatments, overstory structure, and wildfire on tree regeneration in dry forests of Central Washington. Forests 11:888.</w:t>
      </w:r>
    </w:p>
    <w:p w14:paraId="2850A91D" w14:textId="157B33BA" w:rsidR="00810E22" w:rsidRPr="009509B0" w:rsidRDefault="009509B0">
      <w:pPr>
        <w:rPr>
          <w:rFonts w:ascii="Times New Roman" w:hAnsi="Times New Roman" w:cs="Times New Roman"/>
          <w:sz w:val="24"/>
          <w:szCs w:val="24"/>
        </w:rPr>
      </w:pPr>
      <w:r w:rsidRPr="009509B0">
        <w:rPr>
          <w:rFonts w:ascii="Times New Roman" w:hAnsi="Times New Roman" w:cs="Times New Roman"/>
          <w:sz w:val="24"/>
          <w:szCs w:val="24"/>
        </w:rPr>
        <w:fldChar w:fldCharType="end"/>
      </w:r>
    </w:p>
    <w:sectPr w:rsidR="00810E22" w:rsidRPr="0095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22"/>
    <w:rsid w:val="00021A1E"/>
    <w:rsid w:val="000B3835"/>
    <w:rsid w:val="001F2F61"/>
    <w:rsid w:val="002359C9"/>
    <w:rsid w:val="0024118D"/>
    <w:rsid w:val="0024678E"/>
    <w:rsid w:val="00282F80"/>
    <w:rsid w:val="002C761D"/>
    <w:rsid w:val="003615AB"/>
    <w:rsid w:val="004077B9"/>
    <w:rsid w:val="004C52CF"/>
    <w:rsid w:val="005366A1"/>
    <w:rsid w:val="00556528"/>
    <w:rsid w:val="005A6503"/>
    <w:rsid w:val="005A6A1C"/>
    <w:rsid w:val="005C4BA7"/>
    <w:rsid w:val="006D20F8"/>
    <w:rsid w:val="006F5FEF"/>
    <w:rsid w:val="00753049"/>
    <w:rsid w:val="00785311"/>
    <w:rsid w:val="00796BB7"/>
    <w:rsid w:val="007C2CC4"/>
    <w:rsid w:val="00810E22"/>
    <w:rsid w:val="008400A7"/>
    <w:rsid w:val="00855069"/>
    <w:rsid w:val="00857715"/>
    <w:rsid w:val="008617B3"/>
    <w:rsid w:val="008A5490"/>
    <w:rsid w:val="008D1392"/>
    <w:rsid w:val="00903D34"/>
    <w:rsid w:val="00933276"/>
    <w:rsid w:val="009509B0"/>
    <w:rsid w:val="00994E2A"/>
    <w:rsid w:val="009A553A"/>
    <w:rsid w:val="009A5A73"/>
    <w:rsid w:val="009E3961"/>
    <w:rsid w:val="009E4E92"/>
    <w:rsid w:val="009F60E8"/>
    <w:rsid w:val="00A5359E"/>
    <w:rsid w:val="00A743B8"/>
    <w:rsid w:val="00A85A43"/>
    <w:rsid w:val="00B1208D"/>
    <w:rsid w:val="00B50224"/>
    <w:rsid w:val="00BE05F6"/>
    <w:rsid w:val="00BE0684"/>
    <w:rsid w:val="00BF4CA7"/>
    <w:rsid w:val="00D51BF7"/>
    <w:rsid w:val="00E3657A"/>
    <w:rsid w:val="00F91926"/>
    <w:rsid w:val="00F9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29F9"/>
  <w15:chartTrackingRefBased/>
  <w15:docId w15:val="{F2B5EB87-ABD0-4ACE-A821-9A658345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6503"/>
    <w:rPr>
      <w:color w:val="0563C1" w:themeColor="hyperlink"/>
      <w:u w:val="single"/>
    </w:rPr>
  </w:style>
  <w:style w:type="character" w:styleId="UnresolvedMention">
    <w:name w:val="Unresolved Mention"/>
    <w:basedOn w:val="DefaultParagraphFont"/>
    <w:uiPriority w:val="99"/>
    <w:semiHidden/>
    <w:unhideWhenUsed/>
    <w:rsid w:val="005A6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76">
      <w:bodyDiv w:val="1"/>
      <w:marLeft w:val="0"/>
      <w:marRight w:val="0"/>
      <w:marTop w:val="0"/>
      <w:marBottom w:val="0"/>
      <w:divBdr>
        <w:top w:val="none" w:sz="0" w:space="0" w:color="auto"/>
        <w:left w:val="none" w:sz="0" w:space="0" w:color="auto"/>
        <w:bottom w:val="none" w:sz="0" w:space="0" w:color="auto"/>
        <w:right w:val="none" w:sz="0" w:space="0" w:color="auto"/>
      </w:divBdr>
    </w:div>
    <w:div w:id="1203665045">
      <w:bodyDiv w:val="1"/>
      <w:marLeft w:val="0"/>
      <w:marRight w:val="0"/>
      <w:marTop w:val="0"/>
      <w:marBottom w:val="0"/>
      <w:divBdr>
        <w:top w:val="none" w:sz="0" w:space="0" w:color="auto"/>
        <w:left w:val="none" w:sz="0" w:space="0" w:color="auto"/>
        <w:bottom w:val="none" w:sz="0" w:space="0" w:color="auto"/>
        <w:right w:val="none" w:sz="0" w:space="0" w:color="auto"/>
      </w:divBdr>
    </w:div>
    <w:div w:id="1210990862">
      <w:bodyDiv w:val="1"/>
      <w:marLeft w:val="0"/>
      <w:marRight w:val="0"/>
      <w:marTop w:val="0"/>
      <w:marBottom w:val="0"/>
      <w:divBdr>
        <w:top w:val="none" w:sz="0" w:space="0" w:color="auto"/>
        <w:left w:val="none" w:sz="0" w:space="0" w:color="auto"/>
        <w:bottom w:val="none" w:sz="0" w:space="0" w:color="auto"/>
        <w:right w:val="none" w:sz="0" w:space="0" w:color="auto"/>
      </w:divBdr>
    </w:div>
    <w:div w:id="20184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4795B1-DD03-4BF2-BB15-45C12166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8183</Words>
  <Characters>46648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Donald Radcliffe</cp:lastModifiedBy>
  <cp:revision>2</cp:revision>
  <dcterms:created xsi:type="dcterms:W3CDTF">2022-03-16T01:02:00Z</dcterms:created>
  <dcterms:modified xsi:type="dcterms:W3CDTF">2022-03-16T01:02:00Z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