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1B8E" w14:textId="77777777" w:rsidR="00A12F4E" w:rsidRDefault="00A12F4E" w:rsidP="000D0D8B">
      <w:pPr>
        <w:spacing w:after="0" w:line="480" w:lineRule="auto"/>
        <w:rPr>
          <w:rFonts w:ascii="Times New Roman" w:hAnsi="Times New Roman" w:cs="Times New Roman"/>
          <w:b/>
          <w:bCs/>
          <w:sz w:val="28"/>
          <w:szCs w:val="28"/>
        </w:rPr>
      </w:pPr>
      <w:bookmarkStart w:id="0" w:name="_Hlk98252080"/>
      <w:bookmarkEnd w:id="0"/>
    </w:p>
    <w:p w14:paraId="0B3BE7CF" w14:textId="4C60C35A" w:rsidR="00A12F4E" w:rsidRPr="00557DEB" w:rsidRDefault="00193086" w:rsidP="000D0D8B">
      <w:pPr>
        <w:spacing w:after="0" w:line="480" w:lineRule="auto"/>
        <w:jc w:val="center"/>
        <w:rPr>
          <w:rFonts w:ascii="Times New Roman" w:hAnsi="Times New Roman" w:cs="Times New Roman"/>
          <w:sz w:val="40"/>
          <w:szCs w:val="40"/>
        </w:rPr>
      </w:pPr>
      <w:r w:rsidRPr="00557DEB">
        <w:rPr>
          <w:rFonts w:ascii="Times New Roman" w:hAnsi="Times New Roman" w:cs="Times New Roman"/>
          <w:sz w:val="40"/>
          <w:szCs w:val="40"/>
        </w:rPr>
        <w:t xml:space="preserve">Long-term trajectories of fuel and stand structure in </w:t>
      </w:r>
      <w:proofErr w:type="gramStart"/>
      <w:r w:rsidRPr="00557DEB">
        <w:rPr>
          <w:rFonts w:ascii="Times New Roman" w:hAnsi="Times New Roman" w:cs="Times New Roman"/>
          <w:sz w:val="40"/>
          <w:szCs w:val="40"/>
        </w:rPr>
        <w:t>experimentally-treated</w:t>
      </w:r>
      <w:proofErr w:type="gramEnd"/>
      <w:r w:rsidRPr="00557DEB">
        <w:rPr>
          <w:rFonts w:ascii="Times New Roman" w:hAnsi="Times New Roman" w:cs="Times New Roman"/>
          <w:sz w:val="40"/>
          <w:szCs w:val="40"/>
        </w:rPr>
        <w:t xml:space="preserve"> dry forests of central Washingt</w:t>
      </w:r>
      <w:r w:rsidR="00A12F4E" w:rsidRPr="00557DEB">
        <w:rPr>
          <w:rFonts w:ascii="Times New Roman" w:hAnsi="Times New Roman" w:cs="Times New Roman"/>
          <w:sz w:val="40"/>
          <w:szCs w:val="40"/>
        </w:rPr>
        <w:t>on</w:t>
      </w:r>
    </w:p>
    <w:p w14:paraId="37333A0C" w14:textId="4346BCD8" w:rsidR="00A12F4E" w:rsidRPr="00557DEB" w:rsidRDefault="00A12F4E" w:rsidP="000D0D8B">
      <w:pPr>
        <w:spacing w:after="0" w:line="480" w:lineRule="auto"/>
        <w:jc w:val="center"/>
        <w:rPr>
          <w:rFonts w:ascii="Times New Roman" w:hAnsi="Times New Roman" w:cs="Times New Roman"/>
          <w:sz w:val="40"/>
          <w:szCs w:val="40"/>
        </w:rPr>
      </w:pPr>
    </w:p>
    <w:p w14:paraId="4841149C" w14:textId="0809D528" w:rsidR="000D0D8B" w:rsidRPr="00557DEB" w:rsidRDefault="00A12F4E" w:rsidP="000D0D8B">
      <w:pPr>
        <w:spacing w:after="0" w:line="480" w:lineRule="auto"/>
        <w:jc w:val="center"/>
        <w:rPr>
          <w:rFonts w:ascii="Times New Roman" w:hAnsi="Times New Roman" w:cs="Times New Roman"/>
          <w:sz w:val="36"/>
          <w:szCs w:val="36"/>
        </w:rPr>
      </w:pPr>
      <w:r w:rsidRPr="00557DEB">
        <w:rPr>
          <w:rFonts w:ascii="Times New Roman" w:hAnsi="Times New Roman" w:cs="Times New Roman"/>
          <w:sz w:val="36"/>
          <w:szCs w:val="36"/>
        </w:rPr>
        <w:t>Don Radcliffe</w:t>
      </w:r>
    </w:p>
    <w:p w14:paraId="6FA0876F" w14:textId="77777777" w:rsidR="000D0D8B" w:rsidRDefault="00A12F4E" w:rsidP="000D0D8B">
      <w:pPr>
        <w:spacing w:after="0" w:line="480" w:lineRule="auto"/>
        <w:jc w:val="center"/>
        <w:rPr>
          <w:rFonts w:ascii="Times New Roman" w:hAnsi="Times New Roman" w:cs="Times New Roman"/>
          <w:sz w:val="36"/>
          <w:szCs w:val="36"/>
        </w:rPr>
      </w:pPr>
      <w:r w:rsidRPr="00557DEB">
        <w:rPr>
          <w:rFonts w:ascii="Times New Roman" w:hAnsi="Times New Roman" w:cs="Times New Roman"/>
          <w:sz w:val="36"/>
          <w:szCs w:val="36"/>
        </w:rPr>
        <w:t xml:space="preserve">University of Washington </w:t>
      </w:r>
    </w:p>
    <w:p w14:paraId="09B70CD2" w14:textId="7C431720" w:rsidR="00A12F4E" w:rsidRDefault="00A12F4E" w:rsidP="000D0D8B">
      <w:pPr>
        <w:spacing w:after="0" w:line="480" w:lineRule="auto"/>
        <w:jc w:val="center"/>
        <w:rPr>
          <w:rFonts w:ascii="Times New Roman" w:hAnsi="Times New Roman" w:cs="Times New Roman"/>
          <w:sz w:val="36"/>
          <w:szCs w:val="36"/>
        </w:rPr>
      </w:pPr>
      <w:r w:rsidRPr="00557DEB">
        <w:rPr>
          <w:rFonts w:ascii="Times New Roman" w:hAnsi="Times New Roman" w:cs="Times New Roman"/>
          <w:sz w:val="36"/>
          <w:szCs w:val="36"/>
        </w:rPr>
        <w:t>School of Environmental and Forest Sciences</w:t>
      </w:r>
    </w:p>
    <w:p w14:paraId="34DB1E49" w14:textId="44139BEC" w:rsidR="000D0D8B" w:rsidRDefault="000D0D8B" w:rsidP="000D0D8B">
      <w:pPr>
        <w:spacing w:after="0" w:line="480" w:lineRule="auto"/>
        <w:jc w:val="center"/>
        <w:rPr>
          <w:rFonts w:ascii="Times New Roman" w:hAnsi="Times New Roman" w:cs="Times New Roman"/>
          <w:sz w:val="36"/>
          <w:szCs w:val="36"/>
        </w:rPr>
      </w:pPr>
      <w:r>
        <w:rPr>
          <w:rFonts w:ascii="Times New Roman" w:hAnsi="Times New Roman" w:cs="Times New Roman"/>
          <w:sz w:val="36"/>
          <w:szCs w:val="36"/>
        </w:rPr>
        <w:t>Final Report for SEFS 502</w:t>
      </w:r>
    </w:p>
    <w:p w14:paraId="3F517856" w14:textId="1BFCF6F7" w:rsidR="000D0D8B" w:rsidRPr="00557DEB" w:rsidRDefault="000D0D8B" w:rsidP="000D0D8B">
      <w:pPr>
        <w:spacing w:after="0" w:line="480" w:lineRule="auto"/>
        <w:jc w:val="center"/>
        <w:rPr>
          <w:rFonts w:ascii="Times New Roman" w:hAnsi="Times New Roman" w:cs="Times New Roman"/>
          <w:sz w:val="36"/>
          <w:szCs w:val="36"/>
        </w:rPr>
      </w:pPr>
      <w:r>
        <w:rPr>
          <w:rFonts w:ascii="Times New Roman" w:hAnsi="Times New Roman" w:cs="Times New Roman"/>
          <w:sz w:val="36"/>
          <w:szCs w:val="36"/>
        </w:rPr>
        <w:t>Jon Bakker</w:t>
      </w:r>
    </w:p>
    <w:p w14:paraId="57276CD8" w14:textId="2B9142A5" w:rsidR="00A12F4E" w:rsidRPr="00557DEB" w:rsidRDefault="00A12F4E" w:rsidP="000D0D8B">
      <w:pPr>
        <w:spacing w:after="0" w:line="480" w:lineRule="auto"/>
        <w:jc w:val="center"/>
        <w:rPr>
          <w:rFonts w:ascii="Times New Roman" w:hAnsi="Times New Roman" w:cs="Times New Roman"/>
          <w:sz w:val="36"/>
          <w:szCs w:val="36"/>
        </w:rPr>
      </w:pPr>
      <w:r w:rsidRPr="00557DEB">
        <w:rPr>
          <w:rFonts w:ascii="Times New Roman" w:hAnsi="Times New Roman" w:cs="Times New Roman"/>
          <w:sz w:val="36"/>
          <w:szCs w:val="36"/>
        </w:rPr>
        <w:t>March 4</w:t>
      </w:r>
      <w:r w:rsidRPr="00557DEB">
        <w:rPr>
          <w:rFonts w:ascii="Times New Roman" w:hAnsi="Times New Roman" w:cs="Times New Roman"/>
          <w:sz w:val="36"/>
          <w:szCs w:val="36"/>
          <w:vertAlign w:val="superscript"/>
        </w:rPr>
        <w:t>th</w:t>
      </w:r>
      <w:r w:rsidRPr="00557DEB">
        <w:rPr>
          <w:rFonts w:ascii="Times New Roman" w:hAnsi="Times New Roman" w:cs="Times New Roman"/>
          <w:sz w:val="36"/>
          <w:szCs w:val="36"/>
        </w:rPr>
        <w:t>, 2022</w:t>
      </w:r>
    </w:p>
    <w:p w14:paraId="09ED65B6" w14:textId="7363A771" w:rsidR="00A12F4E" w:rsidRPr="00557DEB" w:rsidRDefault="00A12F4E" w:rsidP="000D0D8B">
      <w:pPr>
        <w:spacing w:after="0" w:line="480" w:lineRule="auto"/>
        <w:jc w:val="center"/>
        <w:rPr>
          <w:rFonts w:ascii="Times New Roman" w:hAnsi="Times New Roman" w:cs="Times New Roman"/>
          <w:sz w:val="40"/>
          <w:szCs w:val="40"/>
        </w:rPr>
      </w:pPr>
    </w:p>
    <w:p w14:paraId="557EB026" w14:textId="529B2551" w:rsidR="000D0D8B" w:rsidRDefault="000D0D8B" w:rsidP="000D0D8B">
      <w:pPr>
        <w:spacing w:after="0" w:line="480" w:lineRule="auto"/>
        <w:jc w:val="center"/>
        <w:rPr>
          <w:rFonts w:ascii="Times New Roman" w:hAnsi="Times New Roman" w:cs="Times New Roman"/>
          <w:sz w:val="28"/>
          <w:szCs w:val="28"/>
        </w:rPr>
      </w:pPr>
    </w:p>
    <w:p w14:paraId="24F3681F" w14:textId="77777777" w:rsidR="000D0D8B" w:rsidRDefault="000D0D8B" w:rsidP="000D0D8B">
      <w:pPr>
        <w:spacing w:after="0" w:line="480" w:lineRule="auto"/>
        <w:jc w:val="center"/>
        <w:rPr>
          <w:rFonts w:ascii="Times New Roman" w:hAnsi="Times New Roman" w:cs="Times New Roman"/>
          <w:sz w:val="28"/>
          <w:szCs w:val="28"/>
        </w:rPr>
      </w:pPr>
    </w:p>
    <w:p w14:paraId="7FC7F0B9" w14:textId="7B850112" w:rsidR="00A12F4E" w:rsidRDefault="00A12F4E" w:rsidP="000D0D8B">
      <w:pPr>
        <w:spacing w:after="0" w:line="480" w:lineRule="auto"/>
        <w:jc w:val="center"/>
        <w:rPr>
          <w:rFonts w:ascii="Times New Roman" w:hAnsi="Times New Roman" w:cs="Times New Roman"/>
          <w:sz w:val="28"/>
          <w:szCs w:val="28"/>
        </w:rPr>
      </w:pPr>
    </w:p>
    <w:p w14:paraId="693DEF39" w14:textId="783877E5" w:rsidR="00557DEB" w:rsidRDefault="00557DEB" w:rsidP="000D0D8B">
      <w:pPr>
        <w:spacing w:after="0" w:line="480" w:lineRule="auto"/>
        <w:rPr>
          <w:rFonts w:ascii="Times New Roman" w:hAnsi="Times New Roman" w:cs="Times New Roman"/>
          <w:b/>
          <w:bCs/>
          <w:sz w:val="24"/>
          <w:szCs w:val="24"/>
        </w:rPr>
      </w:pPr>
    </w:p>
    <w:p w14:paraId="295C8115" w14:textId="5CD0C3E4" w:rsidR="000D0D8B" w:rsidRDefault="000D0D8B" w:rsidP="000D0D8B">
      <w:pPr>
        <w:spacing w:after="0" w:line="480" w:lineRule="auto"/>
        <w:rPr>
          <w:rFonts w:ascii="Times New Roman" w:hAnsi="Times New Roman" w:cs="Times New Roman"/>
          <w:b/>
          <w:bCs/>
          <w:sz w:val="24"/>
          <w:szCs w:val="24"/>
        </w:rPr>
      </w:pPr>
    </w:p>
    <w:p w14:paraId="4FF7E3AF" w14:textId="77777777" w:rsidR="000D0D8B" w:rsidRDefault="000D0D8B" w:rsidP="000D0D8B">
      <w:pPr>
        <w:spacing w:after="0" w:line="480" w:lineRule="auto"/>
        <w:rPr>
          <w:rFonts w:ascii="Times New Roman" w:hAnsi="Times New Roman" w:cs="Times New Roman"/>
          <w:b/>
          <w:bCs/>
          <w:sz w:val="24"/>
          <w:szCs w:val="24"/>
        </w:rPr>
      </w:pPr>
    </w:p>
    <w:p w14:paraId="1D51DF1B" w14:textId="182F4A31" w:rsidR="00A12F4E" w:rsidRPr="00477139" w:rsidRDefault="00A12F4E" w:rsidP="000D0D8B">
      <w:pPr>
        <w:spacing w:after="0" w:line="480" w:lineRule="auto"/>
        <w:rPr>
          <w:rFonts w:ascii="Times New Roman" w:hAnsi="Times New Roman" w:cs="Times New Roman"/>
          <w:b/>
          <w:bCs/>
          <w:sz w:val="24"/>
          <w:szCs w:val="24"/>
        </w:rPr>
      </w:pPr>
      <w:r w:rsidRPr="00477139">
        <w:rPr>
          <w:rFonts w:ascii="Times New Roman" w:hAnsi="Times New Roman" w:cs="Times New Roman"/>
          <w:b/>
          <w:bCs/>
          <w:sz w:val="24"/>
          <w:szCs w:val="24"/>
        </w:rPr>
        <w:lastRenderedPageBreak/>
        <w:t>Abstract</w:t>
      </w:r>
    </w:p>
    <w:p w14:paraId="54D3FD72" w14:textId="4D309B90" w:rsidR="00477139" w:rsidRPr="00477139" w:rsidRDefault="00B02414" w:rsidP="000D0D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Severe wildfires are</w:t>
      </w:r>
      <w:r w:rsidR="008B0068">
        <w:rPr>
          <w:rFonts w:ascii="Times New Roman" w:hAnsi="Times New Roman" w:cs="Times New Roman"/>
          <w:sz w:val="24"/>
          <w:szCs w:val="24"/>
        </w:rPr>
        <w:t xml:space="preserve"> becoming more common in dry forests of western North America.  </w:t>
      </w:r>
      <w:r w:rsidR="009B578A">
        <w:rPr>
          <w:rFonts w:ascii="Times New Roman" w:hAnsi="Times New Roman" w:cs="Times New Roman"/>
          <w:sz w:val="24"/>
          <w:szCs w:val="24"/>
        </w:rPr>
        <w:t xml:space="preserve">Fuel treatments including forest thinning and prescribed burning are crucial tools for helping forest managers reach forest restoration and human community protection goals. However, </w:t>
      </w:r>
      <w:proofErr w:type="spellStart"/>
      <w:r w:rsidR="009B578A">
        <w:rPr>
          <w:rFonts w:ascii="Times New Roman" w:hAnsi="Times New Roman" w:cs="Times New Roman"/>
          <w:sz w:val="24"/>
          <w:szCs w:val="24"/>
        </w:rPr>
        <w:t>l</w:t>
      </w:r>
      <w:r w:rsidR="002F5368">
        <w:rPr>
          <w:rFonts w:ascii="Times New Roman" w:hAnsi="Times New Roman" w:cs="Times New Roman"/>
          <w:sz w:val="24"/>
          <w:szCs w:val="24"/>
        </w:rPr>
        <w:t>ongterm</w:t>
      </w:r>
      <w:proofErr w:type="spellEnd"/>
      <w:r w:rsidR="002F5368">
        <w:rPr>
          <w:rFonts w:ascii="Times New Roman" w:hAnsi="Times New Roman" w:cs="Times New Roman"/>
          <w:sz w:val="24"/>
          <w:szCs w:val="24"/>
        </w:rPr>
        <w:t xml:space="preserve"> fuel</w:t>
      </w:r>
      <w:r>
        <w:rPr>
          <w:rFonts w:ascii="Times New Roman" w:hAnsi="Times New Roman" w:cs="Times New Roman"/>
          <w:sz w:val="24"/>
          <w:szCs w:val="24"/>
        </w:rPr>
        <w:t>,</w:t>
      </w:r>
      <w:r w:rsidR="002F5368">
        <w:rPr>
          <w:rFonts w:ascii="Times New Roman" w:hAnsi="Times New Roman" w:cs="Times New Roman"/>
          <w:sz w:val="24"/>
          <w:szCs w:val="24"/>
        </w:rPr>
        <w:t xml:space="preserve"> stand structure</w:t>
      </w:r>
      <w:r>
        <w:rPr>
          <w:rFonts w:ascii="Times New Roman" w:hAnsi="Times New Roman" w:cs="Times New Roman"/>
          <w:sz w:val="24"/>
          <w:szCs w:val="24"/>
        </w:rPr>
        <w:t>, and potential wildfire</w:t>
      </w:r>
      <w:r w:rsidR="002F5368">
        <w:rPr>
          <w:rFonts w:ascii="Times New Roman" w:hAnsi="Times New Roman" w:cs="Times New Roman"/>
          <w:sz w:val="24"/>
          <w:szCs w:val="24"/>
        </w:rPr>
        <w:t xml:space="preserve"> response to fuel treatments has not been as well studied as short-term response.  </w:t>
      </w:r>
      <w:r>
        <w:rPr>
          <w:rFonts w:ascii="Times New Roman" w:hAnsi="Times New Roman" w:cs="Times New Roman"/>
          <w:sz w:val="24"/>
          <w:szCs w:val="24"/>
        </w:rPr>
        <w:t xml:space="preserve">To address this research gap, I explored </w:t>
      </w:r>
      <w:proofErr w:type="gramStart"/>
      <w:r>
        <w:rPr>
          <w:rFonts w:ascii="Times New Roman" w:hAnsi="Times New Roman" w:cs="Times New Roman"/>
          <w:sz w:val="24"/>
          <w:szCs w:val="24"/>
        </w:rPr>
        <w:t>13-18 year</w:t>
      </w:r>
      <w:proofErr w:type="gramEnd"/>
      <w:r>
        <w:rPr>
          <w:rFonts w:ascii="Times New Roman" w:hAnsi="Times New Roman" w:cs="Times New Roman"/>
          <w:sz w:val="24"/>
          <w:szCs w:val="24"/>
        </w:rPr>
        <w:t xml:space="preserve"> </w:t>
      </w:r>
      <w:r w:rsidR="008B0068">
        <w:rPr>
          <w:rFonts w:ascii="Times New Roman" w:hAnsi="Times New Roman" w:cs="Times New Roman"/>
          <w:sz w:val="24"/>
          <w:szCs w:val="24"/>
        </w:rPr>
        <w:t>(‘</w:t>
      </w:r>
      <w:proofErr w:type="spellStart"/>
      <w:r w:rsidR="008B0068">
        <w:rPr>
          <w:rFonts w:ascii="Times New Roman" w:hAnsi="Times New Roman" w:cs="Times New Roman"/>
          <w:sz w:val="24"/>
          <w:szCs w:val="24"/>
        </w:rPr>
        <w:t>longterm</w:t>
      </w:r>
      <w:proofErr w:type="spellEnd"/>
      <w:r w:rsidR="008B0068">
        <w:rPr>
          <w:rFonts w:ascii="Times New Roman" w:hAnsi="Times New Roman" w:cs="Times New Roman"/>
          <w:sz w:val="24"/>
          <w:szCs w:val="24"/>
        </w:rPr>
        <w:t xml:space="preserve">’) </w:t>
      </w:r>
      <w:r>
        <w:rPr>
          <w:rFonts w:ascii="Times New Roman" w:hAnsi="Times New Roman" w:cs="Times New Roman"/>
          <w:sz w:val="24"/>
          <w:szCs w:val="24"/>
        </w:rPr>
        <w:t>responses to control, thinning, burning, and thinning plus burning treatments</w:t>
      </w:r>
      <w:r w:rsidR="009B578A">
        <w:rPr>
          <w:rFonts w:ascii="Times New Roman" w:hAnsi="Times New Roman" w:cs="Times New Roman"/>
          <w:sz w:val="24"/>
          <w:szCs w:val="24"/>
        </w:rPr>
        <w:t xml:space="preserve"> Mission Creek </w:t>
      </w:r>
      <w:r>
        <w:rPr>
          <w:rFonts w:ascii="Times New Roman" w:hAnsi="Times New Roman" w:cs="Times New Roman"/>
          <w:sz w:val="24"/>
          <w:szCs w:val="24"/>
        </w:rPr>
        <w:t>Fire and Fire Surrogates site</w:t>
      </w:r>
      <w:r w:rsidR="008B0068">
        <w:rPr>
          <w:rFonts w:ascii="Times New Roman" w:hAnsi="Times New Roman" w:cs="Times New Roman"/>
          <w:sz w:val="24"/>
          <w:szCs w:val="24"/>
        </w:rPr>
        <w:t xml:space="preserve"> in central Washington</w:t>
      </w:r>
      <w:r>
        <w:rPr>
          <w:rFonts w:ascii="Times New Roman" w:hAnsi="Times New Roman" w:cs="Times New Roman"/>
          <w:sz w:val="24"/>
          <w:szCs w:val="24"/>
        </w:rPr>
        <w:t xml:space="preserve">.  </w:t>
      </w:r>
      <w:r w:rsidR="008B0068">
        <w:rPr>
          <w:rFonts w:ascii="Times New Roman" w:hAnsi="Times New Roman" w:cs="Times New Roman"/>
          <w:sz w:val="24"/>
          <w:szCs w:val="24"/>
        </w:rPr>
        <w:t xml:space="preserve">I conducted </w:t>
      </w:r>
      <w:r w:rsidR="002B5D58">
        <w:rPr>
          <w:rFonts w:ascii="Times New Roman" w:hAnsi="Times New Roman" w:cs="Times New Roman"/>
          <w:sz w:val="24"/>
          <w:szCs w:val="24"/>
        </w:rPr>
        <w:t>nonmetric multidimensional scaling (NMDS)</w:t>
      </w:r>
      <w:r w:rsidR="008B0068">
        <w:rPr>
          <w:rFonts w:ascii="Times New Roman" w:hAnsi="Times New Roman" w:cs="Times New Roman"/>
          <w:sz w:val="24"/>
          <w:szCs w:val="24"/>
        </w:rPr>
        <w:t xml:space="preserve"> analyses to assess balance and variation in multivariate space in the pretreatment sample period, and movement from the pretreatment to the </w:t>
      </w:r>
      <w:proofErr w:type="spellStart"/>
      <w:r w:rsidR="008B0068">
        <w:rPr>
          <w:rFonts w:ascii="Times New Roman" w:hAnsi="Times New Roman" w:cs="Times New Roman"/>
          <w:sz w:val="24"/>
          <w:szCs w:val="24"/>
        </w:rPr>
        <w:t>longterm</w:t>
      </w:r>
      <w:proofErr w:type="spellEnd"/>
      <w:r w:rsidR="008B0068">
        <w:rPr>
          <w:rFonts w:ascii="Times New Roman" w:hAnsi="Times New Roman" w:cs="Times New Roman"/>
          <w:sz w:val="24"/>
          <w:szCs w:val="24"/>
        </w:rPr>
        <w:t xml:space="preserve"> sample period</w:t>
      </w:r>
      <w:r w:rsidR="002B5D58">
        <w:rPr>
          <w:rFonts w:ascii="Times New Roman" w:hAnsi="Times New Roman" w:cs="Times New Roman"/>
          <w:sz w:val="24"/>
          <w:szCs w:val="24"/>
        </w:rPr>
        <w:t>.  I conducted multiple cluster analyses to explore possible groupings of replicate units before and after treatment.  Finally, I conducted principal components analyses (PCA) to assess possibilities for variable reduction.  NMDS suggests reasonable experimental balance before treatment, and minor treatment</w:t>
      </w:r>
      <w:r w:rsidR="00B60848">
        <w:rPr>
          <w:rFonts w:ascii="Times New Roman" w:hAnsi="Times New Roman" w:cs="Times New Roman"/>
          <w:sz w:val="24"/>
          <w:szCs w:val="24"/>
        </w:rPr>
        <w:t>-level</w:t>
      </w:r>
      <w:r w:rsidR="002B5D58">
        <w:rPr>
          <w:rFonts w:ascii="Times New Roman" w:hAnsi="Times New Roman" w:cs="Times New Roman"/>
          <w:sz w:val="24"/>
          <w:szCs w:val="24"/>
        </w:rPr>
        <w:t xml:space="preserve"> effects of treatment with inconsistent plot-level effects</w:t>
      </w:r>
      <w:r w:rsidR="00B60848">
        <w:rPr>
          <w:rFonts w:ascii="Times New Roman" w:hAnsi="Times New Roman" w:cs="Times New Roman"/>
          <w:sz w:val="24"/>
          <w:szCs w:val="24"/>
        </w:rPr>
        <w:t xml:space="preserve">.  Cluster analysis weakly suggests some clustering in western and eastern replicate units, and some erosion of this clustering after treatment.  PCA suggests that modelled response variables are more correlated than field-collected response variables, and that modelled tree mortality has the greatest relationship to overall variance in the dataset.  These results are considered exploratory </w:t>
      </w:r>
      <w:proofErr w:type="gramStart"/>
      <w:r w:rsidR="00B60848">
        <w:rPr>
          <w:rFonts w:ascii="Times New Roman" w:hAnsi="Times New Roman" w:cs="Times New Roman"/>
          <w:sz w:val="24"/>
          <w:szCs w:val="24"/>
        </w:rPr>
        <w:t>analyses, and</w:t>
      </w:r>
      <w:proofErr w:type="gramEnd"/>
      <w:r w:rsidR="00B60848">
        <w:rPr>
          <w:rFonts w:ascii="Times New Roman" w:hAnsi="Times New Roman" w:cs="Times New Roman"/>
          <w:sz w:val="24"/>
          <w:szCs w:val="24"/>
        </w:rPr>
        <w:t xml:space="preserve"> will be complimentary to hypothesis testing analyses I am also conducting. </w:t>
      </w:r>
    </w:p>
    <w:p w14:paraId="57520E80" w14:textId="28EE42FB" w:rsidR="00A12F4E" w:rsidRDefault="00A12F4E" w:rsidP="000D0D8B">
      <w:pPr>
        <w:spacing w:after="0" w:line="480" w:lineRule="auto"/>
        <w:jc w:val="center"/>
        <w:rPr>
          <w:rFonts w:ascii="Times New Roman" w:hAnsi="Times New Roman" w:cs="Times New Roman"/>
          <w:sz w:val="28"/>
          <w:szCs w:val="28"/>
        </w:rPr>
      </w:pPr>
    </w:p>
    <w:p w14:paraId="578C693B" w14:textId="40ADD24D" w:rsidR="000D0D8B" w:rsidRDefault="000D0D8B" w:rsidP="000D0D8B">
      <w:pPr>
        <w:spacing w:after="0" w:line="480" w:lineRule="auto"/>
        <w:jc w:val="center"/>
        <w:rPr>
          <w:rFonts w:ascii="Times New Roman" w:hAnsi="Times New Roman" w:cs="Times New Roman"/>
          <w:sz w:val="28"/>
          <w:szCs w:val="28"/>
        </w:rPr>
      </w:pPr>
    </w:p>
    <w:p w14:paraId="6769B3F4" w14:textId="77777777" w:rsidR="000D0D8B" w:rsidRDefault="000D0D8B" w:rsidP="000D0D8B">
      <w:pPr>
        <w:spacing w:after="0" w:line="480" w:lineRule="auto"/>
        <w:jc w:val="center"/>
        <w:rPr>
          <w:rFonts w:ascii="Times New Roman" w:hAnsi="Times New Roman" w:cs="Times New Roman"/>
          <w:sz w:val="28"/>
          <w:szCs w:val="28"/>
        </w:rPr>
      </w:pPr>
    </w:p>
    <w:p w14:paraId="4E7F762B" w14:textId="080F4B1B" w:rsidR="00193086" w:rsidRPr="00557DEB" w:rsidRDefault="00A12F4E" w:rsidP="000D0D8B">
      <w:pPr>
        <w:spacing w:after="0" w:line="480" w:lineRule="auto"/>
        <w:rPr>
          <w:rFonts w:ascii="Times New Roman" w:hAnsi="Times New Roman" w:cs="Times New Roman"/>
          <w:b/>
          <w:bCs/>
          <w:sz w:val="24"/>
          <w:szCs w:val="24"/>
        </w:rPr>
      </w:pPr>
      <w:r w:rsidRPr="00477139">
        <w:rPr>
          <w:rFonts w:ascii="Times New Roman" w:hAnsi="Times New Roman" w:cs="Times New Roman"/>
          <w:b/>
          <w:bCs/>
          <w:sz w:val="24"/>
          <w:szCs w:val="24"/>
        </w:rPr>
        <w:lastRenderedPageBreak/>
        <w:t>Introduction</w:t>
      </w:r>
    </w:p>
    <w:p w14:paraId="0AE540B1" w14:textId="5F72E0C8" w:rsidR="00193086" w:rsidRDefault="00193086" w:rsidP="000D0D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Severe wildfire is increasing in dry forests of western North America, often threatening forest persistence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C.","non-dropping-particle":"","parse-names":false,"suffix":""}],"container-title":"BioScience","id":"ITEM-1","issue":"8","issued":{"date-parts":[["2020","8","1"]]},"note":"·        A direct outcome of declining forest resilience to fire is an increase in the proportion of a burned landscape with postfire vegetatin that diverges considerably from its ‘prefire state’ \n·        ‘Where altered postfire begetation is spatially extensive and temporally enduring (ie longer than known historical postfire recovery time) such changes may be referenced to as conversion’ \no   Number of words synonomous with converstion \n·        Fire driven forest conversion is a two stage process \no   Major beg shifts from high sev fire \no   Inhibited recovery \n·        Ultimate duration of contemporary changes canoot be known \n·        Biological legacies, droughts, reburns \n·        We don’t know a lot about episodic tree regen \n·        Figure 7: High sev reburns perpetuate and expand flammable shrub cover at the expense of forest – Biscuit fire \no   Has been seen in multiple areas of the US \n·        Projection of loss of forest cover and expansion of shrubland \n·        Process based models (mechanistic) could study no-analog conditions \n·        Human activities and climate change may have led to disequilibrium \n·        Loss of western forests could lad to drying of other parts of the world \no   Carbon loss, hydro dynamics \no   Normal species tradeoffs \n·        Past decade, consensus built around three part concept of management responses, expressed in terms of resisting, accepting, or directly changing ecosystems \n·        Four central themes towards an array of coproduced science to support decisions around wildfire-driven forest conversion \no   Characterizing vulnerablitity to fire driven conversion \no   Providing plausible future ecological scenarios \no   Assess feasibility of directing or resisting conversion \no   Understanding the social and ecological consequences","page":"659-673","publisher":"Oxford University Press","title":"Wildfire-Driven Forest Conversion in Western North American Landscapes","type":"article","volume":"70"},"uris":["http://www.mendeley.com/documents/?uuid=a85fdcff-4e61-3f82-9bab-45d56a91d42b"]}],"mendeley":{"formattedCitation":"(Coop et al. 2020)","plainTextFormattedCitation":"(Coop et al. 2020)","previouslyFormattedCitation":"(Coop et al. 2020)"},"properties":{"noteIndex":0},"schema":"https://github.com/citation-style-language/schema/raw/master/csl-citation.json"}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(Coop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and human community stability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{"citationItems":[{"id":"ITEM-1","itemData":{"DOI":"10.1073/pnas.1718850115","ISSN":"10916490","PMID":"29531054","abstract":"The wildland-urban interface (WUI) is the area where houses and wildland vegetation meet or intermingle, and where wildfire problems are most pronounced. Here we report that the WUI in the United States grew rapidly from 1990 to 2010 in terms of both number of new houses (from 30.8 to 43.4 million; 41% growth) and land area (from 581,000 to 770,000 km2; 33% growth), making it the fastest-growing land use type in the conterminous United States. The vast majority of new WUI areas were the result of new housing (97%), not related to an increase in wildland vegetation. Within the perimeter of recent wildfires (1990–2015), there were 286,000 houses in 2010, compared with 177,000 in 1990. Furthermore, WUI growth often results in more wildfire ignitions, putting more lives and houses at risk. Wildfire problems will not abate if recent housing growth trends continue.","author":[{"dropping-particle":"","family":"Radeloff","given":"Volker C.","non-dropping-particle":"","parse-names":false,"suffix":""},{"dropping-particle":"","family":"Helmers","given":"David P.","non-dropping-particle":"","parse-names":false,"suffix":""},{"dropping-particle":"","family":"Anu Kramer","given":"H.","non-dropping-particle":"","parse-names":false,"suffix":""},{"dropping-particle":"","family":"Mockrin","given":"Miranda H.","non-dropping-particle":"","parse-names":false,"suffix":""},{"dropping-particle":"","family":"Alexandre","given":"Patricia M.","non-dropping-particle":"","parse-names":false,"suffix":""},{"dropping-particle":"","family":"Bar-Massada","given":"Avi","non-dropping-particle":"","parse-names":false,"suffix":""},{"dropping-particle":"","family":"Butsic","given":"Van","non-dropping-particle":"","parse-names":false,"suffix":""},{"dropping-particle":"","family":"Hawbaker","given":"Todd J.","non-dropping-particle":"","parse-names":false,"suffix":""},{"dropping-particle":"","family":"Martinuzzi","given":"Sebastián","non-dropping-particle":"","parse-names":false,"suffix":""},{"dropping-particle":"","family":"Syphard","given":"Alexandra D.","non-dropping-particle":"","parse-names":false,"suffix":""},{"dropping-particle":"","family":"Stewart","given":"Susan I.","non-dropping-particle":"","parse-names":false,"suffix":""}],"container-title":"Proceedings of the National Academy of Sciences of the United States of America","id":"ITEM-1","issue":"13","issued":{"date-parts":[["2018","3","27"]]},"page":"3314-3319","publisher":"National Academy of Sciences","title":"Rapid growth of the US wildland-urban interface raises wildfire risk","type":"article-journal","volume":"115"},"uris":["http://www.mendeley.com/documents/?uuid=ffa644c3-703f-3a67-ada8-24ee119122d2"]}],"mendeley":{"formattedCitation":"(Radeloff et al. 2018)","plainTextFormattedCitation":"(Radeloff et al. 2018)","previouslyFormattedCitation":"(Radeloff et al. 2018)"},"properties":{"noteIndex":0},"schema":"https://github.com/citation-style-language/schema/raw/master/csl-citation.json"}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(Radeloff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Climate change, expanding human development, and fire suppression are contributing to the increasing trend in severe wildfire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{"citationItems":[{"id":"ITEM-1","itemData":{"DOI":"10.1002/EAP.2432","ISSN":"1939-5582","abstract":"Forest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Applications","id":"ITEM-1","issued":{"date-parts":[["2021"]]},"page":"e02432","publisher":"John Wiley &amp; Sons, Ltd","title":"Wildfire and climate change adaptation of western North American forests: a case for intentional management","type":"article-journal"},"uris":["http://www.mendeley.com/documents/?uuid=4c69222b-6b25-3c2c-a2cf-9e2769d01434"]}],"mendeley":{"formattedCitation":"(Hessburg et al. 2021)","plainTextFormattedCitation":"(Hessburg et al. 2021)","previouslyFormattedCitation":"(Hessburg et al. 2021)"},"properties":{"noteIndex":0},"schema":"https://github.com/citation-style-language/schema/raw/master/csl-citation.json"}</w:instrText>
      </w:r>
      <w:r>
        <w:rPr>
          <w:rFonts w:ascii="Times New Roman" w:hAnsi="Times New Roman" w:cs="Times New Roman"/>
          <w:sz w:val="24"/>
          <w:szCs w:val="24"/>
        </w:rPr>
        <w:fldChar w:fldCharType="separate"/>
      </w:r>
      <w:r w:rsidRPr="005B79B4">
        <w:rPr>
          <w:rFonts w:ascii="Times New Roman" w:hAnsi="Times New Roman" w:cs="Times New Roman"/>
          <w:noProof/>
          <w:sz w:val="24"/>
          <w:szCs w:val="24"/>
        </w:rPr>
        <w:t>(Hessburg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Fire suppression and exclusion of Indigenous fire in dry forests has led to uncharacteristic stand conditions, including increased fuel load and continuity, relative to pre-colonization levels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{"citationItems":[{"id":"ITEM-1","itemData":{"DOI":"10.1002/EAP.2431","ISSN":"1939-5582","abstract":"Implementation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uncertainties.","author":[{"dropping-particle":"","family":"Hagmann","given":"R. K.","non-dropping-particle":"","parse-names":false,"suffix":""},{"dropping-particle":"","family":"Hessburg","given":"P. F.","non-dropping-particle":"","parse-names":false,"suffix":""},{"dropping-particle":"","family":"Prichard","given":"S. J.","non-dropping-particle":"","parse-names":false,"suffix":""},{"dropping-particle":"","family":"Povak","given":"N. A.","non-dropping-particle":"","parse-names":false,"suffix":""},{"dropping-particle":"","family":"Brown","given":"P. M.","non-dropping-particle":"","parse-names":false,"suffix":""},{"dropping-particle":"","family":"Fulé","given":"P. Z.","non-dropping-particle":"","parse-names":false,"suffix":""},{"dropping-particle":"","family":"Keane","given":"R. E.","non-dropping-particle":"","parse-names":false,"suffix":""},{"dropping-particle":"","family":"Knapp","given":"E. E.","non-dropping-particle":"","parse-names":false,"suffix":""},{"dropping-particle":"","family":"Lydersen","given":"J. M.","non-dropping-particle":"","parse-names":false,"suffix":""},{"dropping-particle":"","family":"Metlen","given":"K. L.","non-dropping-particle":"","parse-names":false,"suffix":""},{"dropping-particle":"","family":"Reilly","given":"M. J.","non-dropping-particle":"","parse-names":false,"suffix":""},{"dropping-particle":"","family":"Meador","given":"A. J. Sánchez","non-dropping-particle":"","parse-names":false,"suffix":""},{"dropping-particle":"","family":"Stephens","given":"S. L.","non-dropping-particle":"","parse-names":false,"suffix":""},{"dropping-particle":"","family":"Stevens","given":"J. T.","non-dropping-particle":"","parse-names":false,"suffix":""},{"dropping-particle":"","family":"Taylor","given":"A. H.","non-dropping-particle":"","parse-names":false,"suffix":""},{"dropping-particle":"","family":"Yocom","given":"L. L.","non-dropping-particle":"","parse-names":false,"suffix":""},{"dropping-particle":"","family":"Battaglia","given":"M. A.","non-dropping-particle":"","parse-names":false,"suffix":""},{"dropping-particle":"","family":"Churchill","given":"D. J.","non-dropping-particle":"","parse-names":false,"suffix":""},{"dropping-particle":"","family":"Daniels","given":"L. D.","non-dropping-particle":"","parse-names":false,"suffix":""},{"dropping-particle":"","family":"Falk","given":"D. A.","non-dropping-particle":"","parse-names":false,"suffix":""},{"dropping-particle":"","family":"Henson","given":"P.","non-dropping-particle":"","parse-names":false,"suffix":""},{"dropping-particle":"","family":"Johnston","given":"J. D.","non-dropping-particle":"","parse-names":false,"suffix":""},{"dropping-particle":"","family":"Krawchuk","given":"M. A.","non-dropping-particle":"","parse-names":false,"suffix":""},{"dropping-particle":"","family":"Levine","given":"C. R.","non-dropping-particle":"","parse-names":false,"suffix":""},{"dropping-particle":"","family":"Meigs","given":"G. W.","non-dropping-particle":"","parse-names":false,"suffix":""},{"dropping-particle":"","family":"Merschel","given":"A. G.","non-dropping-particle":"","parse-names":false,"suffix":""},{"dropping-particle":"","family":"North","given":"M. P.","non-dropping-particle":"","parse-names":false,"suffix":""},{"dropping-particle":"","family":"Safford","given":"H. D.","non-dropping-particle":"","parse-names":false,"suffix":""},{"dropping-particle":"","family":"Swetnam","given":"T. W.","non-dropping-particle":"","parse-names":false,"suffix":""},{"dropping-particle":"","family":"Waltz","given":"A. E. M.","non-dropping-particle":"","parse-names":false,"suffix":""}],"container-title":"Ecological Applications","id":"ITEM-1","issue":"0","issued":{"date-parts":[["2021","10","12"]]},"page":"e02431","publisher":"John Wiley &amp; Sons, Ltd","title":"Evidence for widespread changes in the structure, composition, and fire regimes of western North American forests","type":"article-journal","volume":"0"},"uris":["http://www.mendeley.com/documents/?uuid=68c350e6-afd0-3a0a-8d3c-dbda78a48ce4"]}],"mendeley":{"formattedCitation":"(Hagmann et al. 2021)","plainTextFormattedCitation":"(Hagmann et al. 2021)","previouslyFormattedCitation":"(Hagmann et al. 2021)"},"properties":{"noteIndex":0},"schema":"https://github.com/citation-style-language/schema/raw/master/csl-citation.json"}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(Hagmann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fuel treatments are considered an integral tool for of dry forest restoration planning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{"citationItems":[{"id":"ITEM-1","itemData":{"DOI":"10.5849/jof.10-006","ISSN":"00221201","author":[{"dropping-particle":"","family":"Franklin","given":"Jerry F.","non-dropping-particle":"","parse-names":false,"suffix":""},{"dropping-particle":"","family":"Johnson","given":"K. Norman","non-dropping-particle":"","parse-names":false,"suffix":""}],"container-title":"Journal of Forestry","id":"ITEM-1","issue":"8","issued":{"date-parts":[["2012","12","18"]]},"note":"On dry forest sites, the strategy calls for silv treatments that retain and release older trees, reduce stand densities, shift compsiiton towards fire and drought tolerant tree species, and incorporate spatial heterogeneity at multiple spatial scales\n\nImmediate goals:\nincreased ecological integrity and resilience, provision of wood products to local communities\n\n~\n\nRecent successes with thinning of plantations in west cascades and fuels reduction in WUI have helped build public trust\n\nEmphases:\n-Programs with singular resource objectives generally marginalize other values\n-restoration should focus on increasing resilience with eye towards future, not past conditions\n-Restoration efforts shoiuld prioritize the most degraded environments\n\nDry Forest and Moist Forest more definitive classifications than eastside vs westside, as determined by plant associations\n-both exist on both sides\n\nThe age at which a forest is deemed 'older' is a social decision\n\nOlder trees are not simply larger versions of younger trees\n\nDiameter limits can have negative consequences\n\nElements of their dry forest restoration strategy are already in place\n-stand level treatments\n-retention of dense forest patches at landscape levels\n-retention and nurturing of older trees\n\nSelection of retention age is important, authors think trees develop old growth characteristics at 150\n\nRetaining some area in untreated or lightly treated condition is a challenging landscape level planning compodent of their strategy\n\nCredible adaptive mannagement will be an important element\n\nMill closures are a challenge\n\nOutside the NWFP area, there's a current diameter limit of 21 inches\n-increasingly exemptions are given for big young firs\n\nGoals for Dry forest\n\n- thining 20-30% of landscape in next 20 years, reflects logistic constraints and a singular focus on fire, which can be reduced at 1% thin/year as per Finney et al 2007\n\n-network of dense patches\n\n-will require investment from timber sale revenue or appropriated funds\n\n-Maintenence after initial mechanical treatments could be done with rx fire\n\n\nAgency personnel have proven very capable of developing and implementing ecological forestry harvests\n\nThey advocate a comprehensive 20 year plan","page":"429-439","title":"A Restoration Framework for Federal Forests in the Pacific Northwest","type":"article-journal","volume":"110"},"uris":["http://www.mendeley.com/documents/?uuid=0c936071-b058-38fe-a667-1937e4e66ed0"]}],"mendeley":{"formattedCitation":"(Franklin and Johnson 2012)","plainTextFormattedCitation":"(Franklin and Johnson 2012)","previouslyFormattedCitation":"(Franklin and Johnson 2012)"},"properties":{"noteIndex":0},"schema":"https://github.com/citation-style-language/schema/raw/master/csl-citation.json"}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(Franklin and Johnson 2012)</w:t>
      </w:r>
      <w:r>
        <w:rPr>
          <w:rFonts w:ascii="Times New Roman" w:hAnsi="Times New Roman" w:cs="Times New Roman"/>
          <w:sz w:val="24"/>
          <w:szCs w:val="24"/>
        </w:rPr>
        <w:fldChar w:fldCharType="end"/>
      </w:r>
      <w:r>
        <w:rPr>
          <w:rFonts w:ascii="Times New Roman" w:hAnsi="Times New Roman" w:cs="Times New Roman"/>
          <w:sz w:val="24"/>
          <w:szCs w:val="24"/>
        </w:rPr>
        <w:t xml:space="preserve">.  Fuel treatments can also be effective at reducing wildfire severity in a wide range of weather conditions, particularly treatments that include prescribed burning, when wildfire occurs less than ten years following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{"citationItems":[{"id":"ITEM-1","itemData":{"DOI":"10.1002/EAP.2433","ISSN":"1939-5582","abstract":"We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regimes.","author":[{"dropping-particle":"","family":"Prichard","given":"Susan J.","non-dropping-particle":"","parse-names":false,"suffix":""},{"dropping-particle":"","family":"Hessburg","given":"Paul F.","non-dropping-particle":"","parse-names":false,"suffix":""},{"dropping-particle":"","family":"Hagmann","given":"R. Keala","non-dropping-particle":"","parse-names":false,"suffix":""},{"dropping-particle":"","family":"Povak","given":"Nicholas A.","non-dropping-particle":"","parse-names":false,"suffix":""},{"dropping-particle":"","family":"Dobrowski","given":"Solomon Z.","non-dropping-particle":"","parse-names":false,"suffix":""},{"dropping-particle":"","family":"Hurteau","given":"Matthew D.","non-dropping-particle":"","parse-names":false,"suffix":""},{"dropping-particle":"","family":"Kane","given":"Van R.","non-dropping-particle":"","parse-names":false,"suffix":""},{"dropping-particle":"","family":"Keane","given":"Robert E.","non-dropping-particle":"","parse-names":false,"suffix":""},{"dropping-particle":"","family":"Kobziar","given":"Leda N.","non-dropping-particle":"","parse-names":false,"suffix":""},{"dropping-particle":"","family":"Kolden","given":"Crystal A.","non-dropping-particle":"","parse-names":false,"suffix":""},{"dropping-particle":"","family":"North","given":"Malcolm","non-dropping-particle":"","parse-names":false,"suffix":""},{"dropping-particle":"","family":"Parks","given":"Sean A.","non-dropping-particle":"","parse-names":false,"suffix":""},{"dropping-particle":"","family":"Safford","given":"Hugh D.","non-dropping-particle":"","parse-names":false,"suffix":""},{"dropping-particle":"","family":"Stevens","given":"Jens T.","non-dropping-particle":"","parse-names":false,"suffix":""},{"dropping-particle":"","family":"Yocom","given":"Larissa L.","non-dropping-particle":"","parse-names":false,"suffix":""},{"dropping-particle":"","family":"Churchill","given":"Derek J.","non-dropping-particle":"","parse-names":false,"suffix":""},{"dropping-particle":"","family":"Gray","given":"Robert W.","non-dropping-particle":"","parse-names":false,"suffix":""},{"dropping-particle":"","family":"Huffman","given":"David W.","non-dropping-particle":"","parse-names":false,"suffix":""},{"dropping-particle":"","family":"Lake","given":"Frank K.","non-dropping-particle":"","parse-names":false,"suffix":""},{"dropping-particle":"","family":"Khatri-Chhetri","given":"Pratima","non-dropping-particle":"","parse-names":false,"suffix":""}],"container-title":"Ecological Applications","id":"ITEM-1","issue":"0","issued":{"date-parts":[["2021","10","13"]]},"page":"e02433","publisher":"John Wiley &amp; Sons, Ltd","title":"Adapting western North American forests to climate change and wildfires: 10 common questions","type":"article-journal","volume":"0"},"uris":["http://www.mendeley.com/documents/?uuid=b50cd93f-65e6-31fc-b831-71a863ed0553"]}],"mendeley":{"formattedCitation":"(Prichard et al. 2021)","plainTextFormattedCitation":"(Prichard et al. 2021)","previouslyFormattedCitation":"(Prichard et al. 2021)"},"properties":{"noteIndex":0},"schema":"https://github.com/citation-style-language/schema/raw/master/csl-citation.json"}</w:instrText>
      </w:r>
      <w:r>
        <w:rPr>
          <w:rFonts w:ascii="Times New Roman" w:hAnsi="Times New Roman" w:cs="Times New Roman"/>
          <w:sz w:val="24"/>
          <w:szCs w:val="24"/>
        </w:rPr>
        <w:fldChar w:fldCharType="separate"/>
      </w:r>
      <w:r w:rsidRPr="0018791F">
        <w:rPr>
          <w:rFonts w:ascii="Times New Roman" w:hAnsi="Times New Roman" w:cs="Times New Roman"/>
          <w:noProof/>
          <w:sz w:val="24"/>
          <w:szCs w:val="24"/>
        </w:rPr>
        <w:t>(Prichard et al. 2021)</w:t>
      </w:r>
      <w:r>
        <w:rPr>
          <w:rFonts w:ascii="Times New Roman" w:hAnsi="Times New Roman" w:cs="Times New Roman"/>
          <w:sz w:val="24"/>
          <w:szCs w:val="24"/>
        </w:rPr>
        <w:fldChar w:fldCharType="end"/>
      </w:r>
      <w:r>
        <w:rPr>
          <w:rFonts w:ascii="Times New Roman" w:hAnsi="Times New Roman" w:cs="Times New Roman"/>
          <w:sz w:val="24"/>
          <w:szCs w:val="24"/>
        </w:rPr>
        <w:t>.</w:t>
      </w:r>
    </w:p>
    <w:p w14:paraId="17EF7D73" w14:textId="5E5144A5" w:rsidR="00193086" w:rsidRDefault="00193086" w:rsidP="000D0D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Although the short-term effects of fuel treatments on fuel loads are well studied, t</w:t>
      </w:r>
      <w:r w:rsidRPr="007A127E">
        <w:rPr>
          <w:rFonts w:ascii="Times New Roman" w:hAnsi="Times New Roman" w:cs="Times New Roman"/>
          <w:sz w:val="24"/>
          <w:szCs w:val="24"/>
        </w:rPr>
        <w:t>he longer-term (&gt; 5 years)</w:t>
      </w:r>
      <w:r>
        <w:rPr>
          <w:rFonts w:ascii="Times New Roman" w:hAnsi="Times New Roman" w:cs="Times New Roman"/>
          <w:sz w:val="24"/>
          <w:szCs w:val="24"/>
        </w:rPr>
        <w:t xml:space="preserve"> </w:t>
      </w:r>
      <w:r w:rsidRPr="007A127E">
        <w:rPr>
          <w:rFonts w:ascii="Times New Roman" w:hAnsi="Times New Roman" w:cs="Times New Roman"/>
          <w:sz w:val="24"/>
          <w:szCs w:val="24"/>
        </w:rPr>
        <w:t>dynamics of fuel</w:t>
      </w:r>
      <w:r>
        <w:rPr>
          <w:rFonts w:ascii="Times New Roman" w:hAnsi="Times New Roman" w:cs="Times New Roman"/>
          <w:sz w:val="24"/>
          <w:szCs w:val="24"/>
        </w:rPr>
        <w:t xml:space="preserve"> </w:t>
      </w:r>
      <w:r w:rsidRPr="007A127E">
        <w:rPr>
          <w:rFonts w:ascii="Times New Roman" w:hAnsi="Times New Roman" w:cs="Times New Roman"/>
          <w:sz w:val="24"/>
          <w:szCs w:val="24"/>
        </w:rPr>
        <w:t xml:space="preserve">treatments are </w:t>
      </w:r>
      <w:r>
        <w:rPr>
          <w:rFonts w:ascii="Times New Roman" w:hAnsi="Times New Roman" w:cs="Times New Roman"/>
          <w:sz w:val="24"/>
          <w:szCs w:val="24"/>
        </w:rPr>
        <w:t>not well understood</w:t>
      </w:r>
      <w:r w:rsidRPr="007A127E">
        <w:rPr>
          <w:rFonts w:ascii="Times New Roman" w:hAnsi="Times New Roman" w:cs="Times New Roman"/>
          <w:sz w:val="24"/>
          <w:szCs w:val="24"/>
        </w:rPr>
        <w:t xml:space="preserve">.  </w:t>
      </w:r>
      <w:r>
        <w:rPr>
          <w:rFonts w:ascii="Times New Roman" w:hAnsi="Times New Roman" w:cs="Times New Roman"/>
          <w:sz w:val="24"/>
          <w:szCs w:val="24"/>
        </w:rPr>
        <w:t xml:space="preserve">Most studies that have empirically addressed long-term fuel and stand structure dynamics on the stand scale have found that most variables are statistically indistinguishable from controls and/or pretreatment values, with high variability within and among treatment units </w:t>
      </w:r>
      <w:r>
        <w:rPr>
          <w:rFonts w:ascii="Times New Roman" w:hAnsi="Times New Roman" w:cs="Times New Roman"/>
          <w:sz w:val="24"/>
          <w:szCs w:val="24"/>
        </w:rPr>
        <w:fldChar w:fldCharType="begin" w:fldLock="1"/>
      </w:r>
      <w:r w:rsidR="004C7F48">
        <w:rPr>
          <w:rFonts w:ascii="Times New Roman" w:hAnsi="Times New Roman" w:cs="Times New Roman"/>
          <w:sz w:val="24"/>
          <w:szCs w:val="24"/>
        </w:rPr>
        <w:instrText>ADDIN CSL_CITATION {"citationItems":[{"id":"ITEM-1","itemData":{"DOI":"10.3390/F12101306","abstract":"Fire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1306","id":"ITEM-1","issue":"10","issued":{"date-parts":[["2021","9","25"]]},"page":"1306","publisher":"Multidisciplinary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Oregon","type":"article-journal","volume":"12"},"uris":["http://www.mendeley.com/documents/?uuid=9c1f5d0b-324a-3ea2-97f3-09421a6081df"]},{"id":"ITEM-2","itemData":{"DOI":"10.3389/ffgc.2020.00078","ISSN":"2624893X","abstract":"Fuels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Change","id":"ITEM-2","issued":{"date-parts":[["2020","7","2"]]},"page":"78","publisher":"Frontiers Media SA","title":"Fuel Treatment Longevity in Ponderosa Pine-Dominated Forest 24 Years After Cutting and Prescribed Burning","type":"article-journal","volume":"3"},"uris":["http://www.mendeley.com/documents/?uuid=ec57e04d-6642-384d-9db2-3a58945675c1"]},{"id":"ITEM-3","itemData":{"DOI":"10.1016/j.foreco.2012.08.030","ISSN":"03781127","abstract":"Understanding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Management","id":"ITEM-3","issued":{"date-parts":[["2012","12","1"]]},"page":"204-212","publisher":"Elsevier","title":"Fuel treatment longevity in a Sierra Nevada mixed conifer forest","type":"article-journal","volume":"285"},"uris":["http://www.mendeley.com/documents/?uuid=bf1ee0d7-20c5-3e99-81ab-c9581d916d62"]},{"id":"ITEM-4","itemData":{"DOI":"10.3390/f3030700","ISSN":"1999-4907","abstract":"In dry western Unites States forests where past resource management has altered the ecological role of fire and stand characteristics alike, mechanical thinning and prescribed burning are commonly applied in wildfire hazard abatement. The reduced surface fuel loads and stand structures resulting from fuels modifications are temporary, yet few studies have assessed the lifespan of treatment effects. We sampled forest fuels and vegetation following fuels reduction in a chronosequence of time since treatment in the northern Sierra Nevada and southern Cascade regions of California. Treatments altered overstory characteristics including stand density, basal area, and species composition. These effects were still present on the oldest treatment sites (8-15 years post-treatment). Other stand characteristics, particularly timelag fuel loads, seedling density, and shrub cover, exhibited substantial variability, and differences between treatment age classes and between treatment and control groups were not statistically significant. © 2012 by the authors.","author":[{"dropping-particle":"","family":"Chiono","given":"Lindsay A.","non-dropping-particle":"","parse-names":false,"suffix":""},{"dropping-particle":"","family":"O’Hara","given":"Kevin L.","non-dropping-particle":"","parse-names":false,"suffix":""},{"dropping-particle":"","family":"Lasaux","given":"Michael J.","non-dropping-particle":"De","parse-names":false,"suffix":""},{"dropping-particle":"","family":"Nader","given":"Glenn A.","non-dropping-particle":"","parse-names":false,"suffix":""},{"dropping-particle":"","family":"Stephens","given":"Scott L.","non-dropping-particle":"","parse-names":false,"suffix":""}],"container-title":"Forests","id":"ITEM-4","issue":"3","issued":{"date-parts":[["2012","8","20"]]},"note":"Chronoseq to 15 yeqrs\n\nstand den, ba, species comp were altered to end\n\nother vars not diff between timecalsses and treatment and control\n\n~\n\nPrecip 38-280 cm\n1100 to 2150m\nTruckee/Quincy\n\n40 usfs 9 timber company 2 firesafe council\n\nLumped some sites with diff methods","page":"700-722","publisher":"Molecular Diversity Preservation International","title":"Development of Vegetation and Surface Fuels Following Fire Hazard Reduction Treatment","type":"article-journal","volume":"3"},"uris":["http://www.mendeley.com/documents/?uuid=1299dfcc-2dd9-310c-8bd3-b4068b817164"]},{"id":"ITEM-5","itemData":{"DOI":"10.1186/s42408-018-0016-6","ISSN":"1933-9747","abstract":"Fuel reduction treatments have been widely implemented across the western US in recent decades for both fire protection and restoration. Although research has demonstrated that combined thinning and burning effectively reduces crown fire potential in the few years immediately following treatment, little research has identified effectiveness of thinning and burning treatments beyond a decade. Furthermore, it is unclear how post-treatment disturbances such as a bark beetle outbreak affect fuel treatment effectiveness. We evaluated differences in surface and canopy fuel characteristics and potential fire behavior metrics between fuel reduction treatments (no-action or control, burn-only, thin-only, thin+burn) implemented in ponderosa pine (Pinus ponderosa Lawson &amp; C. Lawson)−Douglas-fir (Pseudotsuga menziesii [Mirb.] Franco)-dominated forests that were subsequently affected by a mountain pine beetle (Dendroctonus ponderosae Hopkins) outbreak after treatment. Experimental units were measured in 2002 (immediately following fuel treatment) and in 2016 (14 years after treatment and at least 4 years following a beetle outbreak). We found that beetle-altered thinning treatments (thin-only and thin+burn combined) had less fuel (i.e., 34% and 83% lower fine and coarse woody debris loading, respectively) and lower crown fire potential (i.e., 47% lower probability of torching and 42% greater crowning index) than corresponding unthinned treatments (control and burn-only). There was no post-beetle-outbreak effect of burning treatments (burn-only and thin+burn combined) on surface fuel loading, but burning reduced crown fire potential (i.e., 37% greater crowning index) over unburned units (control and thin-only) 14 years after treatment. Additionally, we determined the relative impacts of fuel treatments and the bark beetle outbreak on fuel and crown fire potential differences and found that bark beetle-caused tree mortality inflated differences between controls and thinned treatments (thin-only and thin+burn) for surface fuel loading and probability of torching, but diminished differences between these treatments for canopy fuel loading, canopy bulk density, and crowning index. Despite the differential effects of bark beetle-caused tree mortality in the treatments, our study suggests that the effects of fuel treatments on mitigating crown fire potential persist even after a stand-transforming insect outbreak, especially when thinning and burning are combined.","author":[{"dropping-particle":"","family":"Crotteau","given":"Justin S.","non-dropping-particle":"","parse-names":false,"suffix":""},{"dropping-particle":"","family":"Keyes","given":"Christopher R.","non-dropping-particle":"","parse-names":false,"suffix":""},{"dropping-particle":"","family":"Hood","given":"Sharon M.","non-dropping-particle":"","parse-names":false,"suffix":""},{"dropping-particle":"","family":"Affleck","given":"David L. R.","non-dropping-particle":"","parse-names":false,"suffix":""},{"dropping-particle":"","family":"Sala","given":"Anna","non-dropping-particle":"","parse-names":false,"suffix":""}],"container-title":"Fire Ecology","id":"ITEM-5","issue":"2","issued":{"date-parts":[["2018","12"]]},"note":"14 years post treatment 4 years post beetle\n2002, 2016\n\nWe found that beetle altered thin units (t &amp;amp; tb) has less fuel and lower crown fire potential than corresponding unthinned treatments (b &amp;amp; c)\n34% less FWD, 83% less CWD\n47% lower probability of torching\n42% greater crown torching index\n\nBark beetle caused tree mortality inflated difference between control and thin units for surface fuel loading and probability of torching, but diminished differences for canopy fuel loading, canopy bulk density, and crowning index\n\n120 plots done\n10 plots randomly selected from 36\nAll plots done for surface fuels?\n\nPondo ba similar for all treatments post beetle\n\nTB most effective for longevity\n\n~\n\n'studies have identified that fuel treatments may be effective for a decade following treatment'\nfinney et al 2005\nfernandes 2009\njain et al 2012\nstephens et al 2012\n\nTreatment fully implemented 2002 at least four years before a widespread mpb outbreak\n\nFire and fuels extension to FVS\n\nUnits cut in 2001 burned 2002, creating 12 9 ha units\n\nlow sev burns with pockets of high sev in two thin+burn units\n\nthin only and thin burn unit surface fuels were destructively sampled instread of doing transects in initial measurement\nWHY????\n\nIn 2016 they did surface fuel transects on all 36 grid points in all units...\n\nthinning had 67% lower stand density in 2002, but similar values to other treatments post mpb outbreak\n\nThinning had a sig effect on CWD &amp;amp; FWD\n\nControl by far had the greatest propensity for crown fire\n\nProbability of torching in 2016 was only dependent on thinning\n\nOutbreak did not affect differences in loading between control and burn only units\n\nthin burn the lowest risk of crown fire after outbreak\n\nSix and Skov 2009 on these sites identified that in 2008 three bark beetle species increased in burning treatments, but not MPB\n\nNumber of overstory trees killed had a strong negetive association with thinning and slight positive with burning\n\n'natural thinning' by mpb has a smaller mag of crown fire reduction than active management\n\nNo fuel or crown fire potential differences between burn only and control\n\nRadical increase in surface fuel in unthinned units probably would not have happened without the outbreak","publisher":"Springer Nature","title":"Fuel dynamics after a bark beetle outbreak impacts experimental fuel treatments","type":"article-journal","volume":"14"},"uris":["http://www.mendeley.com/documents/?uuid=5ff5c1c8-6c76-3ac6-bec3-be5a4f2d66db"]},{"id":"ITEM-6","itemData":{"DOI":"10.1016/j.foreco.2008.07.026","ISSN":"03781127","abstract":"We determine the time frame after initial fuel treatment when prescribed fire will be likely to produce high enough mortality rates in ponderosa pine (Pinus ponderosa var. scopulorum Dougl. ex Laws.) regeneration to be successful in maintaining treatment effectiveness in the Black Hills of South Dakota. We measured pine regeneration in disturbed stands and young pine growth rates to estimate the susceptibility of pine regeneration to prescribed fire with time since initial treatment. We also determined surface fuel accumulation rates for stands after prescribed fire to help estimate likely fire behavior in maintenance prescribed fire. Given our estimates of regeneration density and tree size, and likely fire behavior, we then used small pine tree mortality-fire effect relations to estimate the effects of prescribed fire on developing understory pine at specific times since initial treatments. Fuel treatments in ponderosa pine forests will lose their effectiveness within 10-20 years if regeneration densities are not controlled. The ability to successfully use prescribed fire to maintain low regeneration densities is dependent on seedling/sapling size and the frequency of burns. Current prescribed fire prescriptions and fuel loads are adequate to maintain low densities of ponderosa pine seedlings (&lt;1 m tall) if burns occur every 10 years. If burn intervals exceed 15 years, regeneration can attain sizes that reduce susceptibility to prescribed fire under typical operational weather conditions. After 20-25 years, ponderosa pine can reach sizes that will require flame lengths that exceed 2 m to obtain significant mortality. Achieving these flame lengths will require burning under drier weather conditions to allow coarse woody debris (CWD) consumption to contribute to the fire intensity. Alternatively, managers can augment sites with activity fuels to increase fine fuel loadings to achieve flame lengths that will increase sapling susceptibility to fire, while burning when CWD fuel moistures are high to limit the potential for extreme fire behavior. While the flames might kill sapling-sized trees, mature overstory trees could still maintain resiliency to fire.","author":[{"dropping-particle":"","family":"Battaglia","given":"Mike A.","non-dropping-particle":"","parse-names":false,"suffix":""},{"dropping-particle":"","family":"Smith","given":"Frederick W.","non-dropping-particle":"","parse-names":false,"suffix":""},{"dropping-particle":"","family":"Shepperd","given":"Wayne D.","non-dropping-particle":"","parse-names":false,"suffix":""}],"container-title":"Forest Ecology and Management","id":"ITEM-6","issue":"12","issued":{"date-parts":[["2008","12","10"]]},"page":"2029-2038","publisher":"Elsevier","title":"Can prescribed fire be used to maintain fuel treatment effectiveness over time in Black Hills ponderosa pine forests?","type":"article-journal","volume":"256"},"uris":["http://www.mendeley.com/documents/?uuid=4115b047-5cef-379e-a175-cd41d49e0436"]},{"id":"ITEM-7","itemData":{"DOI":"10.1016/j.foreco.2016.07.028","ISSN":"03781127","abstract":"Prescribed fire is a widely used forest management tool, yet the long-term effectiveness of prescribed fire in reducing fuels and fire hazards in many vegetation types is not well documented. We assessed the magnitude and duration of reductions in surface fuels and modeled fire hazards in coniferous forests across nine U.S. national parks in California and the Colorado Plateau. We used observations from a prescribed fire effects monitoring program that feature standard forest and surface fuels inventories conducted pre-fire, immediately following an initial (first-entry) prescribed fire and at varying intervals up to &gt;20 years post-fire. A subset of these plots was subjected to prescribed fire again (second-entry) with continued monitoring. Prescribed fire effects were highly variable among plots, but we found on average first-entry fires resulted in a significant post-fire reduction in surface fuels, with litter and duff fuels not returning to pre-fire levels over the length of our observations. Fine and coarse woody fuels often took a decade or longer to return to pre-fire levels. For second-entry fires we found continued fuels reductions, without strong evidence of fuel loads returning to levels observed immediately prior to second-entry fire. Following both first- and second-entry fire there were increases in estimated canopy base heights, along with reductions in estimated canopy bulk density and modeled flame lengths. We did not find evidence of return to pre-fire conditions during our observation intervals for these measures of fire hazard. Our results show that prescribed fire can be a valuable tool to reduce fire hazards and, depending on forest conditions and the measurement used, reductions in fire hazard can last for decades. Second-entry prescribed fire appeared to reinforce the reduction in fuels and fire hazard from first-entry fires.","author":[{"dropping-particle":"","family":"Mantgem","given":"Phillip J.","non-dropping-particle":"van","parse-names":false,"suffix":""},{"dropping-particle":"","family":"Lalemand","given":"Laura B.","non-dropping-particle":"","parse-names":false,"suffix":""},{"dropping-particle":"","family":"Keifer","given":"Mary Beth","non-dropping-particle":"","parse-names":false,"suffix":""},{"dropping-particle":"","family":"Kane","given":"Jeffrey M.","non-dropping-particle":"","parse-names":false,"suffix":""}],"container-title":"Forest Ecology and Management","id":"ITEM-7","issued":{"date-parts":[["2016","11","1"]]},"note":"Duff and litter loads in particular did not return to pre-fire levels\nCWD and FWD did\nCrown fire hazard did not\n\nSecond entry fires had a reletively muted impact\n\nNational parks standardized protocol\nCalifornia and Colorado Plateau\nFFE-FVS - follows Rothermel\n\nDelayed density mort continues but not much ba\n\nFWD and FWD often took a decade or longer to return to pre-fire levels\n\nSecond entry fires continued reduction without strong evidence of fuel loading returning to pre-second-burn levels\n\n~\n\ninteragency FFI(FEAT/FIREMON Integrated)\n\ntypical post-fire monitoring intervals were immeiate, 1, 2, and 5 years, and subsequent 5 or 10\n\nOnly considered plots with pre and at least 3 post fire measurements, to at least 7 years post fire in first entry, 4 years second entry\nfirst entry 117 plots\nsecond entry 36 plots\n\nThree forest types\nCalifornia mixed con\nCalifornia pondo\ncolorado plateau pondo\n\n80,90,97.5 percentile not appreciably different results\n\nstats: paired permutation tests\nrandom effects not used because didn't improve models\n\nStand density reduced immediately following first entry fires in all forest types, and stayed reduced to 7 years or more\n\ncolorado plateau stand development seems to have re-developed faster, along with fuels\n\nlack of sig for second entry fires, probably because of low sample size\n\nhigher fuels to begin with means greater reductions","page":"265-272","publisher":"Elsevier B.V.","title":"Duration of fuels reduction following prescribed fire in coniferous forests of U.S. national parks in California and the Colorado Plateau","type":"article-journal","volume":"379"},"uris":["http://www.mendeley.com/documents/?uuid=947938aa-2898-31d9-a356-7304eef0ba26"]},{"id":"ITEM-8","itemData":{"DOI":"10.3390/F11080888","ISSN":"19994907","abstract":"The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B.","non-dropping-particle":"","parse-names":false,"suffix":""}],"container-title":"Forests","id":"ITEM-8","issue":"8","issued":{"date-parts":[["2020","8","1"]]},"note":"tb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Washington","type":"article-journal","volume":"11"},"uris":["http://www.mendeley.com/documents/?uuid=b4b7f84f-1bdb-3adb-aff7-6014e3b8cd2e"]}],"mendeley":{"formattedCitation":"(Battaglia et al. 2008, Chiono et al. 2012, Stephens et al. 2012, van Mantgem et al. 2016, Crotteau et al. 2018, Hood et al. 2020, Rossman et al. 2020, Morici and Bailey 2021)","manualFormatting":"(Battaglia et al. 2008, Chiono et al. 2012, Stephens et al. 2012, van Mantgem et al. 2016, Crotteau et al. 2018, Hood et al. 2020, Morici and Bailey 2021)","plainTextFormattedCitation":"(Battaglia et al. 2008, Chiono et al. 2012, Stephens et al. 2012, van Mantgem et al. 2016, Crotteau et al. 2018, Hood et al. 2020, Rossman et al. 2020, Morici and Bailey 2021)","previouslyFormattedCitation":"(Battaglia et al. 2008, Chiono et al. 2012, Stephens et al. 2012, van Mantgem et al. 2016, Crotteau et al. 2018, Hood et al. 2020, Rossman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(Battaglia et al. 2008, Chiono et al. 2012, Stephens et al. 2012, van Mantgem et al. 2016, Crotteau et al. 2018,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Tree density and canopy fuel loads, however, likely remain below pretreatment levels into longer term study periods in thin and thin plus burn treatments.  In stands receiving a thin or thin plus burn treatment, recruitment of ladder fuels, those fuels that connect surface and canopy fuels, appears to be a key process driving modelled wildfire severity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forest","type":"article-journal","volume":"285"},"uris":["http://www.mendeley.com/documents/?uuid=bf1ee0d7-20c5-3e99-81ab-c9581d916d62"]}],"mendeley":{"formattedCitation":"(Stephens et al. 2012, Hood et al. 2020)","plainTextFormattedCitation":"(Stephens et al. 2012, Hood et al. 2020)","previouslyFormattedCitation":"(Stephens et al. 2012, Hood et al. 2020)"},"properties":{"noteIndex":0},"schema":"https://github.com/citation-style-language/schema/raw/master/csl-citation.json"}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experiments, control units have sometimes shown </w:t>
      </w:r>
      <w:r>
        <w:rPr>
          <w:rFonts w:ascii="Times New Roman" w:hAnsi="Times New Roman" w:cs="Times New Roman"/>
          <w:sz w:val="24"/>
          <w:szCs w:val="24"/>
        </w:rPr>
        <w:lastRenderedPageBreak/>
        <w:t xml:space="preserve">similar temporal dynamics to treated units for some variables, decreasing estimates of the effect of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9AC72A0" w14:textId="38A65B98" w:rsidR="00193086" w:rsidRDefault="00193086"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High within- and among-stand variability in treatment units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suggests that factors other than treatment category influence fine-scale fuel dynamics and fuel treatment longevity.  These factors might include pretreatment condition, treatment intensity, and site productivity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Pr>
          <w:rFonts w:ascii="Times New Roman" w:hAnsi="Times New Roman" w:cs="Times New Roman"/>
          <w:sz w:val="24"/>
          <w:szCs w:val="24"/>
        </w:rPr>
        <w:fldChar w:fldCharType="separate"/>
      </w:r>
      <w:r w:rsidRPr="00C40F6E">
        <w:rPr>
          <w:rFonts w:ascii="Times New Roman" w:hAnsi="Times New Roman" w:cs="Times New Roman"/>
          <w:noProof/>
          <w:sz w:val="24"/>
          <w:szCs w:val="24"/>
        </w:rPr>
        <w:t>(Jain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C7F48">
        <w:rPr>
          <w:rFonts w:ascii="Times New Roman" w:hAnsi="Times New Roman" w:cs="Times New Roman"/>
          <w:sz w:val="24"/>
          <w:szCs w:val="24"/>
        </w:rPr>
        <w:t xml:space="preserve">Variance within treatment categories is important for managers to consider </w:t>
      </w:r>
      <w:r w:rsidR="004C7F48">
        <w:rPr>
          <w:rFonts w:ascii="Times New Roman" w:hAnsi="Times New Roman" w:cs="Times New Roman"/>
          <w:sz w:val="24"/>
          <w:szCs w:val="24"/>
        </w:rPr>
        <w:fldChar w:fldCharType="begin" w:fldLock="1"/>
      </w:r>
      <w:r w:rsidR="00A07B06">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4C7F48">
        <w:rPr>
          <w:rFonts w:ascii="Times New Roman" w:hAnsi="Times New Roman" w:cs="Times New Roman"/>
          <w:sz w:val="24"/>
          <w:szCs w:val="24"/>
        </w:rPr>
        <w:fldChar w:fldCharType="separate"/>
      </w:r>
      <w:r w:rsidR="004C7F48" w:rsidRPr="004C7F48">
        <w:rPr>
          <w:rFonts w:ascii="Times New Roman" w:hAnsi="Times New Roman" w:cs="Times New Roman"/>
          <w:noProof/>
          <w:sz w:val="24"/>
          <w:szCs w:val="24"/>
        </w:rPr>
        <w:t>(Jain et al. 2012)</w:t>
      </w:r>
      <w:r w:rsidR="004C7F48">
        <w:rPr>
          <w:rFonts w:ascii="Times New Roman" w:hAnsi="Times New Roman" w:cs="Times New Roman"/>
          <w:sz w:val="24"/>
          <w:szCs w:val="24"/>
        </w:rPr>
        <w:fldChar w:fldCharType="end"/>
      </w:r>
      <w:r w:rsidR="004C7F48">
        <w:rPr>
          <w:rFonts w:ascii="Times New Roman" w:hAnsi="Times New Roman" w:cs="Times New Roman"/>
          <w:sz w:val="24"/>
          <w:szCs w:val="24"/>
        </w:rPr>
        <w:t xml:space="preserve">, and it may confound or weaken the power of </w:t>
      </w:r>
      <w:r w:rsidR="005527CB">
        <w:rPr>
          <w:rFonts w:ascii="Times New Roman" w:hAnsi="Times New Roman" w:cs="Times New Roman"/>
          <w:sz w:val="24"/>
          <w:szCs w:val="24"/>
        </w:rPr>
        <w:t xml:space="preserve">categorical </w:t>
      </w:r>
      <w:r w:rsidR="00596446">
        <w:rPr>
          <w:rFonts w:ascii="Times New Roman" w:hAnsi="Times New Roman" w:cs="Times New Roman"/>
          <w:sz w:val="24"/>
          <w:szCs w:val="24"/>
        </w:rPr>
        <w:t xml:space="preserve">statistical tests used in many fuel treatment studies.  Multivariate </w:t>
      </w:r>
      <w:r w:rsidR="00C8026B">
        <w:rPr>
          <w:rFonts w:ascii="Times New Roman" w:hAnsi="Times New Roman" w:cs="Times New Roman"/>
          <w:sz w:val="24"/>
          <w:szCs w:val="24"/>
        </w:rPr>
        <w:t>techniques</w:t>
      </w:r>
      <w:r w:rsidR="00596446">
        <w:rPr>
          <w:rFonts w:ascii="Times New Roman" w:hAnsi="Times New Roman" w:cs="Times New Roman"/>
          <w:sz w:val="24"/>
          <w:szCs w:val="24"/>
        </w:rPr>
        <w:t xml:space="preserve"> </w:t>
      </w:r>
      <w:r w:rsidR="00C8026B">
        <w:rPr>
          <w:rFonts w:ascii="Times New Roman" w:hAnsi="Times New Roman" w:cs="Times New Roman"/>
          <w:sz w:val="24"/>
          <w:szCs w:val="24"/>
        </w:rPr>
        <w:t>such as ordination and cluster analysis afford succinct exploration of variance patterns within- and among- treatment units</w:t>
      </w:r>
      <w:r w:rsidR="005527CB">
        <w:rPr>
          <w:rFonts w:ascii="Times New Roman" w:hAnsi="Times New Roman" w:cs="Times New Roman"/>
          <w:sz w:val="24"/>
          <w:szCs w:val="24"/>
        </w:rPr>
        <w:t xml:space="preserve"> with complex datasets</w:t>
      </w:r>
      <w:r w:rsidR="00A07B06">
        <w:rPr>
          <w:rFonts w:ascii="Times New Roman" w:hAnsi="Times New Roman" w:cs="Times New Roman"/>
          <w:sz w:val="24"/>
          <w:szCs w:val="24"/>
        </w:rPr>
        <w:t xml:space="preserve"> </w:t>
      </w:r>
      <w:r w:rsidR="00A07B06">
        <w:rPr>
          <w:rFonts w:ascii="Times New Roman" w:hAnsi="Times New Roman" w:cs="Times New Roman"/>
          <w:sz w:val="24"/>
          <w:szCs w:val="24"/>
        </w:rPr>
        <w:fldChar w:fldCharType="begin" w:fldLock="1"/>
      </w:r>
      <w:r w:rsidR="005527CB">
        <w:rPr>
          <w:rFonts w:ascii="Times New Roman" w:hAnsi="Times New Roman" w:cs="Times New Roman"/>
          <w:sz w:val="24"/>
          <w:szCs w:val="24"/>
        </w:rPr>
        <w:instrText>ADDIN CSL_CITATION {"citationItems":[{"id":"ITEM-1","itemData":{"ISBN":"978-0444538680","abstract":"The book describes and discusses the numerical methods which are successfully being used for analysing ecological data, using a clear and comprehensive approach. These methods are derived from the fields of mathematical physics, parametric and nonparametric statistics, information theory, numerical taxonomy, archaeology, psychometry, sociometry, econometry and others. An updated, 3rd English edition of the most widely cited book on quantitative analysis of multivariate ecological data Relates ecological questions to methods of statistical analysis, with a clear description of complex numerical methods All methods are illustrated by examples from the ecological literature so that ecologists clearly see how to use the methods and approaches in their own research All calculations are available in R language functions","author":[{"dropping-particle":"","family":"Legendre","given":"Pierre","non-dropping-particle":"","parse-names":false,"suffix":""},{"dropping-particle":"","family":"Legendre","given":"Louis","non-dropping-particle":"","parse-names":false,"suffix":""}],"edition":"3","id":"ITEM-1","issued":{"date-parts":[["2012"]]},"number-of-pages":"1006","publisher":"Elsevier","title":"Numerical Ecology","type":"book"},"uris":["http://www.mendeley.com/documents/?uuid=3ea27998-f561-3bb7-b915-5419d40c94dc"]}],"mendeley":{"formattedCitation":"(Legendre and Legendre 2012)","plainTextFormattedCitation":"(Legendre and Legendre 2012)","previouslyFormattedCitation":"(Legendre and Legendre 2012)"},"properties":{"noteIndex":0},"schema":"https://github.com/citation-style-language/schema/raw/master/csl-citation.json"}</w:instrText>
      </w:r>
      <w:r w:rsidR="00A07B06">
        <w:rPr>
          <w:rFonts w:ascii="Times New Roman" w:hAnsi="Times New Roman" w:cs="Times New Roman"/>
          <w:sz w:val="24"/>
          <w:szCs w:val="24"/>
        </w:rPr>
        <w:fldChar w:fldCharType="separate"/>
      </w:r>
      <w:r w:rsidR="00A07B06" w:rsidRPr="00A07B06">
        <w:rPr>
          <w:rFonts w:ascii="Times New Roman" w:hAnsi="Times New Roman" w:cs="Times New Roman"/>
          <w:noProof/>
          <w:sz w:val="24"/>
          <w:szCs w:val="24"/>
        </w:rPr>
        <w:t>(Legendre and Legendre 2012)</w:t>
      </w:r>
      <w:r w:rsidR="00A07B06">
        <w:rPr>
          <w:rFonts w:ascii="Times New Roman" w:hAnsi="Times New Roman" w:cs="Times New Roman"/>
          <w:sz w:val="24"/>
          <w:szCs w:val="24"/>
        </w:rPr>
        <w:fldChar w:fldCharType="end"/>
      </w:r>
      <w:r w:rsidR="00A07B06">
        <w:rPr>
          <w:rFonts w:ascii="Times New Roman" w:hAnsi="Times New Roman" w:cs="Times New Roman"/>
          <w:sz w:val="24"/>
          <w:szCs w:val="24"/>
        </w:rPr>
        <w:t>.</w:t>
      </w:r>
      <w:r w:rsidR="00273585">
        <w:rPr>
          <w:rFonts w:ascii="Times New Roman" w:hAnsi="Times New Roman" w:cs="Times New Roman"/>
          <w:sz w:val="24"/>
          <w:szCs w:val="24"/>
        </w:rPr>
        <w:t xml:space="preserve">  Therefore, multivariate techniques may be useful in studies focused fuel and fire behavior, which are characterized by high variance and large number of response variables </w:t>
      </w:r>
      <w:r w:rsidR="00273585">
        <w:rPr>
          <w:rFonts w:ascii="Times New Roman" w:hAnsi="Times New Roman" w:cs="Times New Roman"/>
          <w:sz w:val="24"/>
          <w:szCs w:val="24"/>
        </w:rPr>
        <w:fldChar w:fldCharType="begin" w:fldLock="1"/>
      </w:r>
      <w:r w:rsidR="00512A92">
        <w:rPr>
          <w:rFonts w:ascii="Times New Roman" w:hAnsi="Times New Roman" w:cs="Times New Roman"/>
          <w:sz w:val="24"/>
          <w:szCs w:val="24"/>
        </w:rPr>
        <w:instrText>ADDIN CSL_CITATION {"citationItems":[{"id":"ITEM-1","itemData":{"DOI":"10.1007/s10980-012-9773-9","ISSN":"09212973","abstract":"Wildland fuels are important to fire managers because they can be manipulated to achieve management goals, such as restoring ecosystems, decreasing fire intensity, minimizing plant mortality, and reducing erosion. However, it is difficult to accurately measure, describe, and map wildland fuels because of the great variability of wildland fuelbed properties over space and time. Few have quantified the scale of this variability across space to understand its effect on fire spread, burning intensity, and ecological effects. This study investigated the spatial variability of loading (biomass) across major surface and canopy fuel components in low elevation northern Rocky Mountain forest and rangeland ecosystems to determine the inherent scale of surface fuel and canopy fuel distributions. Biomass loadings (kg m -2) were measured for seven surface fuel components-four downed dead woody fuel size classes (0-6 mm, 6-25 mm, 25-75 mm, and 75 + mm), duff plus litter, shrub, and herb-using a spatially nested plot sampling design within a 1 km 2 square sampling grid installed at six sites in the northern US Rocky Mountains. Bulk density, biomass, and cover of the forest canopy were also measured for each plot in the grid. Surface fuel loadings were estimated using a combination of photoload and destructive collection methods at many distances within the grid. We quantified spatial variability of fuel component loading using spatial variograms, and found that each fuel component had its own inherent scale with fine fuels varying at scales of 1-5 m, coarse fuels at 10-150 m, and canopy fuels from 100 to 500 m. Using regression analyses, we computed a scaling factor of 4.6 m for fuel particle diameter (4.6 m increase in scale with each cm increase in particle diameter). Findings from this study can be used to design fuel sampling projects, classify fuelbeds, and map fuel characteristics, such as loading, to account for the inherent scale of fuel distributions to get more accurate fuel loading estimations. © 2012 Springer Science+Business Media B.V. (outside the USA).","author":[{"dropping-particle":"","family":"Keane","given":"Robert E.","non-dropping-particle":"","parse-names":false,"suffix":""},{"dropping-particle":"","family":"Gray","given":"Kathy","non-dropping-particle":"","parse-names":false,"suffix":""},{"dropping-particle":"","family":"Bacciu","given":"Valentina","non-dropping-particle":"","parse-names":false,"suffix":""},{"dropping-particle":"","family":"Leirfallom","given":"Signe","non-dropping-particle":"","parse-names":false,"suffix":""}],"container-title":"Landscape Ecology","id":"ITEM-1","issue":"8","issued":{"date-parts":[["2012","9","11"]]},"note":"Spatially nested plot sampling design\n\nEach fuel component had its own inherent scale\n-fine fuels vary 1-5m, course 10-150, canopy 100-500\n-scaling factor of 4.6m per cm of particle\n- strong site to site variation\n\n~\n\nThaxton and Platt 2006 - manipulation of het in grassland fuels\nRocca 2009 ditto\n\nVan Mantgem and Schwik 2009 found insignificant SA but 50m sampling grid prolly too coarse\n\n'canopy and surface fuels were sampled differently in this stuent because of meth, logsitcial and scale issues\n\n1000 100 1 m squared plot nested\n\nPhotoload method for fine woody fuels \n\nDuff and litter loading much higher than other fuel compoonents at all 6 sits\n\nJenkins et al 2008 - bark beetles and fuel\n\nPage and Jenkins 2007\n\nThe pj stand in utah showed that all particle classes varied at smae scale\n\nNeither range nor loading of fuel correlated with canopy charactersitcs\n\nIt took over a month to sample any one of these sites","page":"1213-1234","publisher":"Springer","title":"Spatial scaling of wildland fuels for six forest and rangeland ecosystems of the northern Rocky Mountains, USA","type":"article-journal","volume":"27"},"uris":["http://www.mendeley.com/documents/?uuid=2618256a-4ba1-33f5-89a8-b5fc6d2d9f47"]},{"id":"ITEM-2","itemData":{"DOI":"10.1016/j.foreco.2008.09.016","ISSN":"03781127","abstract":"Many natural resource agencies and organizations recognize the importance of fuel treatments as tools for reducing fire hazards and restoring ecosystems. However, there continues to be confusion and misconception about fuel treatments and their implementation and effects in fire-prone landscapes across the United States. This paper (1) summarizes objectives, methods, and expected outcomes of fuel treatments in forests of the Interior West, (2) highlights common misunderstandings and areas of disagreement, and (3) synthesizes relevant literature to establish a common ground for future discussion and planning. It is important to understand the strengths and limitations of fuel treatments to evaluate their potential to achieve an objective, develop sensible fire management policies, and plan for their effective use. We suggest that, while the potential of fuel treatment to reduce wildfire occurrence or enhance suppression capability is uncertain, it has an important role in mitigating negative wildfire effects, increasing ecosystem resilience and making wildfire more acceptable.","author":[{"dropping-particle":"","family":"Reinhardt","given":"Elizabeth D.","non-dropping-particle":"","parse-names":false,"suffix":""},{"dropping-particle":"","family":"Keane","given":"Robert E.","non-dropping-particle":"","parse-names":false,"suffix":""},{"dropping-particle":"","family":"Calkin","given":"David E.","non-dropping-particle":"","parse-names":false,"suffix":""},{"dropping-particle":"","family":"Cohen","given":"Jack D.","non-dropping-particle":"","parse-names":false,"suffix":""}],"container-title":"Forest Ecology and Management","id":"ITEM-2","issue":"12","issued":{"date-parts":[["2008","12","10"]]},"page":"1997-2006","publisher":"Elsevier","title":"Objectives and considerations for wildland fuel treatment in forested ecosystems of the interior western United States","type":"article","volume":"256"},"uris":["http://www.mendeley.com/documents/?uuid=0daf5665-ad4c-395c-a023-cdbcc831cd13"]}],"mendeley":{"formattedCitation":"(Reinhardt et al. 2008, Keane et al. 2012)","plainTextFormattedCitation":"(Reinhardt et al. 2008, Keane et al. 2012)","previouslyFormattedCitation":"(Reinhardt et al. 2008, Keane et al. 2012)"},"properties":{"noteIndex":0},"schema":"https://github.com/citation-style-language/schema/raw/master/csl-citation.json"}</w:instrText>
      </w:r>
      <w:r w:rsidR="00273585">
        <w:rPr>
          <w:rFonts w:ascii="Times New Roman" w:hAnsi="Times New Roman" w:cs="Times New Roman"/>
          <w:sz w:val="24"/>
          <w:szCs w:val="24"/>
        </w:rPr>
        <w:fldChar w:fldCharType="separate"/>
      </w:r>
      <w:r w:rsidR="00273585" w:rsidRPr="00273585">
        <w:rPr>
          <w:rFonts w:ascii="Times New Roman" w:hAnsi="Times New Roman" w:cs="Times New Roman"/>
          <w:noProof/>
          <w:sz w:val="24"/>
          <w:szCs w:val="24"/>
        </w:rPr>
        <w:t>(Reinhardt et al. 2008, Keane et al. 2012)</w:t>
      </w:r>
      <w:r w:rsidR="00273585">
        <w:rPr>
          <w:rFonts w:ascii="Times New Roman" w:hAnsi="Times New Roman" w:cs="Times New Roman"/>
          <w:sz w:val="24"/>
          <w:szCs w:val="24"/>
        </w:rPr>
        <w:fldChar w:fldCharType="end"/>
      </w:r>
      <w:r w:rsidR="00273585">
        <w:rPr>
          <w:rFonts w:ascii="Times New Roman" w:hAnsi="Times New Roman" w:cs="Times New Roman"/>
          <w:sz w:val="24"/>
          <w:szCs w:val="24"/>
        </w:rPr>
        <w:t>.</w:t>
      </w:r>
    </w:p>
    <w:p w14:paraId="0DFF043F" w14:textId="24C9E310" w:rsidR="00193086" w:rsidRDefault="00A07B06"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93086">
        <w:rPr>
          <w:rFonts w:ascii="Times New Roman" w:hAnsi="Times New Roman" w:cs="Times New Roman"/>
          <w:sz w:val="24"/>
          <w:szCs w:val="24"/>
        </w:rPr>
        <w:t xml:space="preserve">In this study, I will </w:t>
      </w:r>
      <w:r w:rsidR="005527CB">
        <w:rPr>
          <w:rFonts w:ascii="Times New Roman" w:hAnsi="Times New Roman" w:cs="Times New Roman"/>
          <w:sz w:val="24"/>
          <w:szCs w:val="24"/>
        </w:rPr>
        <w:t>explore plot-scale</w:t>
      </w:r>
      <w:r w:rsidR="00193086">
        <w:rPr>
          <w:rFonts w:ascii="Times New Roman" w:hAnsi="Times New Roman" w:cs="Times New Roman"/>
          <w:sz w:val="24"/>
          <w:szCs w:val="24"/>
        </w:rPr>
        <w:t xml:space="preserve"> long-term (~15-year posttreatment) fuel</w:t>
      </w:r>
      <w:r w:rsidR="004C7F48">
        <w:rPr>
          <w:rFonts w:ascii="Times New Roman" w:hAnsi="Times New Roman" w:cs="Times New Roman"/>
          <w:sz w:val="24"/>
          <w:szCs w:val="24"/>
        </w:rPr>
        <w:t>,</w:t>
      </w:r>
      <w:r w:rsidR="00193086">
        <w:rPr>
          <w:rFonts w:ascii="Times New Roman" w:hAnsi="Times New Roman" w:cs="Times New Roman"/>
          <w:sz w:val="24"/>
          <w:szCs w:val="24"/>
        </w:rPr>
        <w:t xml:space="preserve"> stand structure</w:t>
      </w:r>
      <w:r w:rsidR="004C7F48">
        <w:rPr>
          <w:rFonts w:ascii="Times New Roman" w:hAnsi="Times New Roman" w:cs="Times New Roman"/>
          <w:sz w:val="24"/>
          <w:szCs w:val="24"/>
        </w:rPr>
        <w:t xml:space="preserve">, and modelled fire behavior </w:t>
      </w:r>
      <w:r w:rsidR="00193086">
        <w:rPr>
          <w:rFonts w:ascii="Times New Roman" w:hAnsi="Times New Roman" w:cs="Times New Roman"/>
          <w:sz w:val="24"/>
          <w:szCs w:val="24"/>
        </w:rPr>
        <w:t>responses to control, burn, thin, and thinburn treatments</w:t>
      </w:r>
      <w:r w:rsidR="004C7F48">
        <w:rPr>
          <w:rFonts w:ascii="Times New Roman" w:hAnsi="Times New Roman" w:cs="Times New Roman"/>
          <w:sz w:val="24"/>
          <w:szCs w:val="24"/>
        </w:rPr>
        <w:t>.</w:t>
      </w:r>
      <w:r w:rsidR="00846B08">
        <w:rPr>
          <w:rFonts w:ascii="Times New Roman" w:hAnsi="Times New Roman" w:cs="Times New Roman"/>
          <w:sz w:val="24"/>
          <w:szCs w:val="24"/>
        </w:rPr>
        <w:t xml:space="preserve">  All analyses in this paper will be considered exploratory analyses, because I’m conducting hypothesis testing with methods outside the scope of class.</w:t>
      </w:r>
      <w:r w:rsidR="004C7F48">
        <w:rPr>
          <w:rFonts w:ascii="Times New Roman" w:hAnsi="Times New Roman" w:cs="Times New Roman"/>
          <w:sz w:val="24"/>
          <w:szCs w:val="24"/>
        </w:rPr>
        <w:t xml:space="preserve">  </w:t>
      </w:r>
      <w:r w:rsidR="00193086">
        <w:rPr>
          <w:rFonts w:ascii="Times New Roman" w:hAnsi="Times New Roman" w:cs="Times New Roman"/>
          <w:sz w:val="24"/>
          <w:szCs w:val="24"/>
        </w:rPr>
        <w:t>I will use field data I collected at the Northeastern Cascades site of the nationwide Fire and Fire Surrogates stud</w:t>
      </w:r>
      <w:r w:rsidR="005527CB">
        <w:rPr>
          <w:rFonts w:ascii="Times New Roman" w:hAnsi="Times New Roman" w:cs="Times New Roman"/>
          <w:sz w:val="24"/>
          <w:szCs w:val="24"/>
        </w:rPr>
        <w:t>y</w:t>
      </w:r>
      <w:r w:rsidR="00193086">
        <w:rPr>
          <w:rFonts w:ascii="Times New Roman" w:hAnsi="Times New Roman" w:cs="Times New Roman"/>
          <w:sz w:val="24"/>
          <w:szCs w:val="24"/>
        </w:rPr>
        <w:t>.</w:t>
      </w:r>
      <w:r w:rsidR="005527CB">
        <w:rPr>
          <w:rFonts w:ascii="Times New Roman" w:hAnsi="Times New Roman" w:cs="Times New Roman"/>
          <w:sz w:val="24"/>
          <w:szCs w:val="24"/>
        </w:rPr>
        <w:t xml:space="preserve">  Earlier publications focused on fuel, stand structure, and modelled fire behavior responses have found high within- and among- stand variance </w:t>
      </w:r>
      <w:r w:rsidR="005527CB">
        <w:rPr>
          <w:rFonts w:ascii="Times New Roman" w:hAnsi="Times New Roman" w:cs="Times New Roman"/>
          <w:sz w:val="24"/>
          <w:szCs w:val="24"/>
        </w:rPr>
        <w:fldChar w:fldCharType="begin" w:fldLock="1"/>
      </w:r>
      <w:r w:rsidR="00273585">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2006)","plainTextFormattedCitation":"(Agee and Lolley 2006)","previouslyFormattedCitation":"(Agee and Lolley 2006)"},"properties":{"noteIndex":0},"schema":"https://github.com/citation-style-language/schema/raw/master/csl-citation.json"}</w:instrText>
      </w:r>
      <w:r w:rsidR="005527CB">
        <w:rPr>
          <w:rFonts w:ascii="Times New Roman" w:hAnsi="Times New Roman" w:cs="Times New Roman"/>
          <w:sz w:val="24"/>
          <w:szCs w:val="24"/>
        </w:rPr>
        <w:fldChar w:fldCharType="separate"/>
      </w:r>
      <w:r w:rsidR="005527CB" w:rsidRPr="005527CB">
        <w:rPr>
          <w:rFonts w:ascii="Times New Roman" w:hAnsi="Times New Roman" w:cs="Times New Roman"/>
          <w:noProof/>
          <w:sz w:val="24"/>
          <w:szCs w:val="24"/>
        </w:rPr>
        <w:t>(Agee and Lolley 2006)</w:t>
      </w:r>
      <w:r w:rsidR="005527CB">
        <w:rPr>
          <w:rFonts w:ascii="Times New Roman" w:hAnsi="Times New Roman" w:cs="Times New Roman"/>
          <w:sz w:val="24"/>
          <w:szCs w:val="24"/>
        </w:rPr>
        <w:fldChar w:fldCharType="end"/>
      </w:r>
      <w:r w:rsidR="005527CB">
        <w:rPr>
          <w:rFonts w:ascii="Times New Roman" w:hAnsi="Times New Roman" w:cs="Times New Roman"/>
          <w:sz w:val="24"/>
          <w:szCs w:val="24"/>
        </w:rPr>
        <w:t>.</w:t>
      </w:r>
      <w:r w:rsidR="00193086">
        <w:rPr>
          <w:rFonts w:ascii="Times New Roman" w:hAnsi="Times New Roman" w:cs="Times New Roman"/>
          <w:sz w:val="24"/>
          <w:szCs w:val="24"/>
        </w:rPr>
        <w:t xml:space="preserve">  Specifically, I will ask the questions</w:t>
      </w:r>
      <w:r w:rsidR="004C20A2">
        <w:rPr>
          <w:rFonts w:ascii="Times New Roman" w:hAnsi="Times New Roman" w:cs="Times New Roman"/>
          <w:sz w:val="24"/>
          <w:szCs w:val="24"/>
        </w:rPr>
        <w:t>, and have the following hypotheses</w:t>
      </w:r>
      <w:r w:rsidR="00193086">
        <w:rPr>
          <w:rFonts w:ascii="Times New Roman" w:hAnsi="Times New Roman" w:cs="Times New Roman"/>
          <w:sz w:val="24"/>
          <w:szCs w:val="24"/>
        </w:rPr>
        <w:t>:</w:t>
      </w:r>
    </w:p>
    <w:p w14:paraId="0B52A4A7" w14:textId="77777777" w:rsidR="00193086" w:rsidRDefault="00193086" w:rsidP="000D0D8B">
      <w:pPr>
        <w:spacing w:after="0" w:line="480" w:lineRule="auto"/>
        <w:rPr>
          <w:rFonts w:ascii="Times New Roman" w:hAnsi="Times New Roman" w:cs="Times New Roman"/>
          <w:sz w:val="24"/>
          <w:szCs w:val="24"/>
        </w:rPr>
      </w:pPr>
    </w:p>
    <w:p w14:paraId="57A9ACF6" w14:textId="10867FDD" w:rsidR="00193086" w:rsidRDefault="00193086" w:rsidP="000D0D8B">
      <w:pPr>
        <w:spacing w:after="0" w:line="480" w:lineRule="auto"/>
        <w:rPr>
          <w:rFonts w:ascii="Times New Roman" w:hAnsi="Times New Roman" w:cs="Times New Roman"/>
          <w:b/>
          <w:bCs/>
          <w:i/>
          <w:iCs/>
          <w:sz w:val="24"/>
          <w:szCs w:val="24"/>
        </w:rPr>
      </w:pPr>
      <w:bookmarkStart w:id="1" w:name="_Hlk98147246"/>
      <w:r>
        <w:rPr>
          <w:rFonts w:ascii="Times New Roman" w:hAnsi="Times New Roman" w:cs="Times New Roman"/>
          <w:b/>
          <w:bCs/>
          <w:sz w:val="24"/>
          <w:szCs w:val="24"/>
        </w:rPr>
        <w:lastRenderedPageBreak/>
        <w:t xml:space="preserve">Question </w:t>
      </w:r>
      <w:r w:rsidR="005527CB">
        <w:rPr>
          <w:rFonts w:ascii="Times New Roman" w:hAnsi="Times New Roman" w:cs="Times New Roman"/>
          <w:b/>
          <w:bCs/>
          <w:sz w:val="24"/>
          <w:szCs w:val="24"/>
        </w:rPr>
        <w:t>1</w:t>
      </w:r>
      <w:r>
        <w:rPr>
          <w:rFonts w:ascii="Times New Roman" w:hAnsi="Times New Roman" w:cs="Times New Roman"/>
          <w:b/>
          <w:bCs/>
          <w:sz w:val="24"/>
          <w:szCs w:val="24"/>
        </w:rPr>
        <w:t>:</w:t>
      </w:r>
      <w:r w:rsidRPr="00927715">
        <w:rPr>
          <w:rFonts w:ascii="Times New Roman" w:hAnsi="Times New Roman" w:cs="Times New Roman"/>
          <w:b/>
          <w:bCs/>
          <w:i/>
          <w:iCs/>
          <w:sz w:val="24"/>
          <w:szCs w:val="24"/>
        </w:rPr>
        <w:t xml:space="preserve"> </w:t>
      </w:r>
      <w:bookmarkStart w:id="2" w:name="_Hlk85545945"/>
      <w:r w:rsidR="0060176F">
        <w:rPr>
          <w:rFonts w:ascii="Times New Roman" w:hAnsi="Times New Roman" w:cs="Times New Roman"/>
          <w:b/>
          <w:bCs/>
          <w:i/>
          <w:iCs/>
          <w:sz w:val="24"/>
          <w:szCs w:val="24"/>
        </w:rPr>
        <w:t>Do plots within different</w:t>
      </w:r>
      <w:r w:rsidR="005527CB">
        <w:rPr>
          <w:rFonts w:ascii="Times New Roman" w:hAnsi="Times New Roman" w:cs="Times New Roman"/>
          <w:b/>
          <w:bCs/>
          <w:i/>
          <w:iCs/>
          <w:sz w:val="24"/>
          <w:szCs w:val="24"/>
        </w:rPr>
        <w:t xml:space="preserve"> treatment</w:t>
      </w:r>
      <w:r w:rsidR="0060176F">
        <w:rPr>
          <w:rFonts w:ascii="Times New Roman" w:hAnsi="Times New Roman" w:cs="Times New Roman"/>
          <w:b/>
          <w:bCs/>
          <w:i/>
          <w:iCs/>
          <w:sz w:val="24"/>
          <w:szCs w:val="24"/>
        </w:rPr>
        <w:t xml:space="preserve"> </w:t>
      </w:r>
      <w:r w:rsidR="005527CB">
        <w:rPr>
          <w:rFonts w:ascii="Times New Roman" w:hAnsi="Times New Roman" w:cs="Times New Roman"/>
          <w:b/>
          <w:bCs/>
          <w:i/>
          <w:iCs/>
          <w:sz w:val="24"/>
          <w:szCs w:val="24"/>
        </w:rPr>
        <w:t xml:space="preserve">categories </w:t>
      </w:r>
      <w:r w:rsidR="0060176F">
        <w:rPr>
          <w:rFonts w:ascii="Times New Roman" w:hAnsi="Times New Roman" w:cs="Times New Roman"/>
          <w:b/>
          <w:bCs/>
          <w:i/>
          <w:iCs/>
          <w:sz w:val="24"/>
          <w:szCs w:val="24"/>
        </w:rPr>
        <w:t xml:space="preserve">show similar patterns within multivariate space during the pretreatment sampling period, and do they appear to respond consistently to treatment in the </w:t>
      </w:r>
      <w:proofErr w:type="spellStart"/>
      <w:r w:rsidR="0060176F">
        <w:rPr>
          <w:rFonts w:ascii="Times New Roman" w:hAnsi="Times New Roman" w:cs="Times New Roman"/>
          <w:b/>
          <w:bCs/>
          <w:i/>
          <w:iCs/>
          <w:sz w:val="24"/>
          <w:szCs w:val="24"/>
        </w:rPr>
        <w:t>longterm</w:t>
      </w:r>
      <w:proofErr w:type="spellEnd"/>
      <w:r w:rsidR="0060176F">
        <w:rPr>
          <w:rFonts w:ascii="Times New Roman" w:hAnsi="Times New Roman" w:cs="Times New Roman"/>
          <w:b/>
          <w:bCs/>
          <w:i/>
          <w:iCs/>
          <w:sz w:val="24"/>
          <w:szCs w:val="24"/>
        </w:rPr>
        <w:t xml:space="preserve">? </w:t>
      </w:r>
      <w:bookmarkEnd w:id="1"/>
      <w:bookmarkEnd w:id="2"/>
    </w:p>
    <w:p w14:paraId="12E40998" w14:textId="77777777" w:rsidR="00F71C16" w:rsidRDefault="00F71C16" w:rsidP="000D0D8B">
      <w:pPr>
        <w:spacing w:after="0" w:line="480" w:lineRule="auto"/>
        <w:rPr>
          <w:rFonts w:ascii="Times New Roman" w:hAnsi="Times New Roman" w:cs="Times New Roman"/>
          <w:b/>
          <w:bCs/>
          <w:i/>
          <w:iCs/>
          <w:sz w:val="24"/>
          <w:szCs w:val="24"/>
        </w:rPr>
      </w:pPr>
    </w:p>
    <w:p w14:paraId="235D3EBF" w14:textId="2E1B35C2" w:rsidR="00193086" w:rsidRDefault="00193086" w:rsidP="000D0D8B">
      <w:pPr>
        <w:spacing w:after="0" w:line="480" w:lineRule="auto"/>
        <w:rPr>
          <w:rFonts w:ascii="Times New Roman" w:hAnsi="Times New Roman" w:cs="Times New Roman"/>
          <w:b/>
          <w:bCs/>
          <w:i/>
          <w:iCs/>
          <w:sz w:val="24"/>
          <w:szCs w:val="24"/>
        </w:rPr>
      </w:pPr>
      <w:bookmarkStart w:id="3" w:name="_Hlk98148894"/>
      <w:r>
        <w:rPr>
          <w:rFonts w:ascii="Times New Roman" w:hAnsi="Times New Roman" w:cs="Times New Roman"/>
          <w:b/>
          <w:bCs/>
          <w:sz w:val="24"/>
          <w:szCs w:val="24"/>
        </w:rPr>
        <w:t xml:space="preserve">Question 2: </w:t>
      </w:r>
      <w:r w:rsidR="0060176F">
        <w:rPr>
          <w:rFonts w:ascii="Times New Roman" w:hAnsi="Times New Roman" w:cs="Times New Roman"/>
          <w:b/>
          <w:bCs/>
          <w:i/>
          <w:iCs/>
          <w:sz w:val="24"/>
          <w:szCs w:val="24"/>
        </w:rPr>
        <w:t>Do plots within a replicate unit</w:t>
      </w:r>
      <w:r w:rsidR="00AA7C10">
        <w:rPr>
          <w:rFonts w:ascii="Times New Roman" w:hAnsi="Times New Roman" w:cs="Times New Roman"/>
          <w:b/>
          <w:bCs/>
          <w:i/>
          <w:iCs/>
          <w:sz w:val="24"/>
          <w:szCs w:val="24"/>
        </w:rPr>
        <w:t xml:space="preserve"> and within spatially proximate replicate units will</w:t>
      </w:r>
      <w:r w:rsidR="0060176F">
        <w:rPr>
          <w:rFonts w:ascii="Times New Roman" w:hAnsi="Times New Roman" w:cs="Times New Roman"/>
          <w:b/>
          <w:bCs/>
          <w:i/>
          <w:iCs/>
          <w:sz w:val="24"/>
          <w:szCs w:val="24"/>
        </w:rPr>
        <w:t xml:space="preserve"> group together in multivariate space in the pretreatment sampling period, and do</w:t>
      </w:r>
      <w:r w:rsidR="00273585">
        <w:rPr>
          <w:rFonts w:ascii="Times New Roman" w:hAnsi="Times New Roman" w:cs="Times New Roman"/>
          <w:b/>
          <w:bCs/>
          <w:i/>
          <w:iCs/>
          <w:sz w:val="24"/>
          <w:szCs w:val="24"/>
        </w:rPr>
        <w:t xml:space="preserve"> different replicate units within a treatment category group together after treatment?</w:t>
      </w:r>
    </w:p>
    <w:bookmarkEnd w:id="3"/>
    <w:p w14:paraId="797B10CE" w14:textId="01409C89" w:rsidR="00273585" w:rsidRDefault="00273585" w:rsidP="000D0D8B">
      <w:pPr>
        <w:spacing w:after="0" w:line="480" w:lineRule="auto"/>
        <w:rPr>
          <w:rFonts w:ascii="Times New Roman" w:hAnsi="Times New Roman" w:cs="Times New Roman"/>
          <w:b/>
          <w:bCs/>
          <w:i/>
          <w:iCs/>
          <w:sz w:val="24"/>
          <w:szCs w:val="24"/>
        </w:rPr>
      </w:pPr>
    </w:p>
    <w:p w14:paraId="26C1E440" w14:textId="08050C1E" w:rsidR="00273585" w:rsidRDefault="00273585" w:rsidP="000D0D8B">
      <w:pPr>
        <w:spacing w:after="0" w:line="480" w:lineRule="auto"/>
        <w:rPr>
          <w:rFonts w:ascii="Times New Roman" w:hAnsi="Times New Roman" w:cs="Times New Roman"/>
          <w:b/>
          <w:bCs/>
          <w:i/>
          <w:iCs/>
          <w:sz w:val="24"/>
          <w:szCs w:val="24"/>
        </w:rPr>
      </w:pPr>
      <w:bookmarkStart w:id="4" w:name="_Hlk98155537"/>
      <w:r>
        <w:rPr>
          <w:rFonts w:ascii="Times New Roman" w:hAnsi="Times New Roman" w:cs="Times New Roman"/>
          <w:b/>
          <w:bCs/>
          <w:i/>
          <w:iCs/>
          <w:sz w:val="24"/>
          <w:szCs w:val="24"/>
        </w:rPr>
        <w:t>Question 3:</w:t>
      </w:r>
      <w:r w:rsidR="00354B77">
        <w:rPr>
          <w:rFonts w:ascii="Times New Roman" w:hAnsi="Times New Roman" w:cs="Times New Roman"/>
          <w:b/>
          <w:bCs/>
          <w:i/>
          <w:iCs/>
          <w:sz w:val="24"/>
          <w:szCs w:val="24"/>
        </w:rPr>
        <w:t xml:space="preserve"> Could the number of variables needed in analysis potentially be reduced by data reduction methods?</w:t>
      </w:r>
    </w:p>
    <w:bookmarkEnd w:id="4"/>
    <w:p w14:paraId="4B3CF602" w14:textId="578CC00E" w:rsidR="00193086" w:rsidRDefault="00193086" w:rsidP="000D0D8B">
      <w:pPr>
        <w:spacing w:after="0" w:line="480" w:lineRule="auto"/>
        <w:rPr>
          <w:rFonts w:ascii="Times New Roman" w:hAnsi="Times New Roman" w:cs="Times New Roman"/>
          <w:b/>
          <w:bCs/>
          <w:i/>
          <w:iCs/>
          <w:sz w:val="24"/>
          <w:szCs w:val="24"/>
        </w:rPr>
      </w:pPr>
    </w:p>
    <w:p w14:paraId="4DB0C488" w14:textId="67FB56EB" w:rsidR="00354B77" w:rsidRDefault="004C20A2" w:rsidP="000D0D8B">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Hypothesis 1: Plots within treatment categories will show </w:t>
      </w:r>
      <w:r w:rsidR="00525589">
        <w:rPr>
          <w:rFonts w:ascii="Times New Roman" w:hAnsi="Times New Roman" w:cs="Times New Roman"/>
          <w:b/>
          <w:bCs/>
          <w:i/>
          <w:iCs/>
          <w:sz w:val="24"/>
          <w:szCs w:val="24"/>
        </w:rPr>
        <w:t>incomplete overlap in ordination space</w:t>
      </w:r>
      <w:r>
        <w:rPr>
          <w:rFonts w:ascii="Times New Roman" w:hAnsi="Times New Roman" w:cs="Times New Roman"/>
          <w:b/>
          <w:bCs/>
          <w:i/>
          <w:iCs/>
          <w:sz w:val="24"/>
          <w:szCs w:val="24"/>
        </w:rPr>
        <w:t xml:space="preserve">.  They will respond in a consistent direction to treatment. </w:t>
      </w:r>
    </w:p>
    <w:p w14:paraId="4685DA89" w14:textId="181D8FF1" w:rsidR="004C20A2" w:rsidRDefault="004C20A2" w:rsidP="000D0D8B">
      <w:pPr>
        <w:spacing w:after="0" w:line="480" w:lineRule="auto"/>
        <w:rPr>
          <w:rFonts w:ascii="Times New Roman" w:hAnsi="Times New Roman" w:cs="Times New Roman"/>
          <w:b/>
          <w:bCs/>
          <w:i/>
          <w:iCs/>
          <w:sz w:val="24"/>
          <w:szCs w:val="24"/>
        </w:rPr>
      </w:pPr>
    </w:p>
    <w:p w14:paraId="4127BFAE" w14:textId="72DEF576" w:rsidR="004C20A2" w:rsidRDefault="004C20A2" w:rsidP="000D0D8B">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Hypothesis 2: Plots within a replicate unit</w:t>
      </w:r>
      <w:r w:rsidR="00AA7C10">
        <w:rPr>
          <w:rFonts w:ascii="Times New Roman" w:hAnsi="Times New Roman" w:cs="Times New Roman"/>
          <w:b/>
          <w:bCs/>
          <w:i/>
          <w:iCs/>
          <w:sz w:val="24"/>
          <w:szCs w:val="24"/>
        </w:rPr>
        <w:t xml:space="preserve"> and spatially proximate plots</w:t>
      </w:r>
      <w:r>
        <w:rPr>
          <w:rFonts w:ascii="Times New Roman" w:hAnsi="Times New Roman" w:cs="Times New Roman"/>
          <w:b/>
          <w:bCs/>
          <w:i/>
          <w:iCs/>
          <w:sz w:val="24"/>
          <w:szCs w:val="24"/>
        </w:rPr>
        <w:t xml:space="preserve"> </w:t>
      </w:r>
      <w:r w:rsidR="00AA7C10">
        <w:rPr>
          <w:rFonts w:ascii="Times New Roman" w:hAnsi="Times New Roman" w:cs="Times New Roman"/>
          <w:b/>
          <w:bCs/>
          <w:i/>
          <w:iCs/>
          <w:sz w:val="24"/>
          <w:szCs w:val="24"/>
        </w:rPr>
        <w:t xml:space="preserve">will largely group together in the pretreatment period, and treatment will cause more intermixing of spatially distant units within the same treatment category, although this relationship won’t be perfect. </w:t>
      </w:r>
    </w:p>
    <w:p w14:paraId="6E7B98FD" w14:textId="16A91C1F" w:rsidR="00AA7C10" w:rsidRDefault="00AA7C10" w:rsidP="000D0D8B">
      <w:pPr>
        <w:spacing w:after="0" w:line="480" w:lineRule="auto"/>
        <w:rPr>
          <w:rFonts w:ascii="Times New Roman" w:hAnsi="Times New Roman" w:cs="Times New Roman"/>
          <w:b/>
          <w:bCs/>
          <w:i/>
          <w:iCs/>
          <w:sz w:val="24"/>
          <w:szCs w:val="24"/>
        </w:rPr>
      </w:pPr>
    </w:p>
    <w:p w14:paraId="24203644" w14:textId="417173C7" w:rsidR="00354B77" w:rsidRDefault="00AA7C10" w:rsidP="000D0D8B">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Hypothesis 3: There is likely to be correlation in variables that will allow for data reduction, particularly because the modelled fire behavior variables depend directly on the field measured data. </w:t>
      </w:r>
    </w:p>
    <w:p w14:paraId="3873777B" w14:textId="5EB13706" w:rsidR="00F71C16" w:rsidRDefault="00F71C16" w:rsidP="000D0D8B">
      <w:pPr>
        <w:spacing w:after="0" w:line="480" w:lineRule="auto"/>
        <w:rPr>
          <w:rFonts w:ascii="Times New Roman" w:hAnsi="Times New Roman" w:cs="Times New Roman"/>
          <w:b/>
          <w:bCs/>
          <w:i/>
          <w:iCs/>
          <w:sz w:val="24"/>
          <w:szCs w:val="24"/>
        </w:rPr>
      </w:pPr>
    </w:p>
    <w:p w14:paraId="4F98C702" w14:textId="77777777" w:rsidR="00F71C16" w:rsidRPr="00557DEB" w:rsidRDefault="00F71C16" w:rsidP="000D0D8B">
      <w:pPr>
        <w:spacing w:after="0" w:line="480" w:lineRule="auto"/>
        <w:rPr>
          <w:rFonts w:ascii="Times New Roman" w:hAnsi="Times New Roman" w:cs="Times New Roman"/>
          <w:b/>
          <w:bCs/>
          <w:sz w:val="24"/>
          <w:szCs w:val="24"/>
        </w:rPr>
      </w:pPr>
    </w:p>
    <w:p w14:paraId="7CB695A5" w14:textId="77777777" w:rsidR="00193086" w:rsidRDefault="00193086" w:rsidP="000D0D8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Methods</w:t>
      </w:r>
    </w:p>
    <w:p w14:paraId="0397E2DE" w14:textId="77777777" w:rsidR="00193086" w:rsidRPr="00E14BD9" w:rsidRDefault="00193086" w:rsidP="000D0D8B">
      <w:pPr>
        <w:spacing w:after="0" w:line="480" w:lineRule="auto"/>
        <w:rPr>
          <w:rFonts w:ascii="Times New Roman" w:hAnsi="Times New Roman" w:cs="Times New Roman"/>
          <w:i/>
          <w:iCs/>
          <w:sz w:val="24"/>
          <w:szCs w:val="24"/>
        </w:rPr>
      </w:pPr>
      <w:r w:rsidRPr="00E14BD9">
        <w:rPr>
          <w:rFonts w:ascii="Times New Roman" w:hAnsi="Times New Roman" w:cs="Times New Roman"/>
          <w:i/>
          <w:iCs/>
          <w:sz w:val="24"/>
          <w:szCs w:val="24"/>
        </w:rPr>
        <w:t>Study Area</w:t>
      </w:r>
    </w:p>
    <w:p w14:paraId="5CCF4867" w14:textId="248F434F" w:rsidR="00193086" w:rsidRDefault="00193086" w:rsidP="000D0D8B">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Northeastern Cascades site of the Fire and Fire Surrogates study is in central Washington State, south of Cashmere.  The area was selected to characterize dry forests of the interior Columbia River basin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These forests occupy relatively low elevations, and the tree layer is dominated by ponderosa pine (</w:t>
      </w:r>
      <w:r>
        <w:rPr>
          <w:rFonts w:ascii="Times New Roman" w:hAnsi="Times New Roman" w:cs="Times New Roman"/>
          <w:i/>
          <w:iCs/>
          <w:sz w:val="24"/>
          <w:szCs w:val="24"/>
        </w:rPr>
        <w:t>Pinus ponderosa</w:t>
      </w:r>
      <w:r>
        <w:rPr>
          <w:rFonts w:ascii="Times New Roman" w:hAnsi="Times New Roman" w:cs="Times New Roman"/>
          <w:sz w:val="24"/>
          <w:szCs w:val="24"/>
        </w:rPr>
        <w:t>) and Douglas fir (</w:t>
      </w:r>
      <w:r>
        <w:rPr>
          <w:rFonts w:ascii="Times New Roman" w:hAnsi="Times New Roman" w:cs="Times New Roman"/>
          <w:i/>
          <w:iCs/>
          <w:sz w:val="24"/>
          <w:szCs w:val="24"/>
        </w:rPr>
        <w:t>P</w:t>
      </w:r>
      <w:r w:rsidRPr="002440FF">
        <w:rPr>
          <w:rFonts w:ascii="Times New Roman" w:hAnsi="Times New Roman" w:cs="Times New Roman"/>
          <w:i/>
          <w:iCs/>
          <w:sz w:val="24"/>
          <w:szCs w:val="24"/>
        </w:rPr>
        <w:t xml:space="preserve">seudotsuga </w:t>
      </w:r>
      <w:r>
        <w:rPr>
          <w:rFonts w:ascii="Times New Roman" w:hAnsi="Times New Roman" w:cs="Times New Roman"/>
          <w:i/>
          <w:iCs/>
          <w:sz w:val="24"/>
          <w:szCs w:val="24"/>
        </w:rPr>
        <w:t>m</w:t>
      </w:r>
      <w:r w:rsidRPr="002440FF">
        <w:rPr>
          <w:rFonts w:ascii="Times New Roman" w:hAnsi="Times New Roman" w:cs="Times New Roman"/>
          <w:i/>
          <w:iCs/>
          <w:sz w:val="24"/>
          <w:szCs w:val="24"/>
        </w:rPr>
        <w:t>enziesii</w:t>
      </w:r>
      <w:r>
        <w:rPr>
          <w:rFonts w:ascii="Times New Roman" w:hAnsi="Times New Roman" w:cs="Times New Roman"/>
          <w:sz w:val="24"/>
          <w:szCs w:val="24"/>
        </w:rPr>
        <w:t>), with smaller components of western larch (</w:t>
      </w:r>
      <w:r>
        <w:rPr>
          <w:rFonts w:ascii="Times New Roman" w:hAnsi="Times New Roman" w:cs="Times New Roman"/>
          <w:i/>
          <w:iCs/>
          <w:sz w:val="24"/>
          <w:szCs w:val="24"/>
        </w:rPr>
        <w:t>Larix occidentalis</w:t>
      </w:r>
      <w:r>
        <w:rPr>
          <w:rFonts w:ascii="Times New Roman" w:hAnsi="Times New Roman" w:cs="Times New Roman"/>
          <w:sz w:val="24"/>
          <w:szCs w:val="24"/>
        </w:rPr>
        <w:t>) and grand fir (</w:t>
      </w:r>
      <w:r>
        <w:rPr>
          <w:rFonts w:ascii="Times New Roman" w:hAnsi="Times New Roman" w:cs="Times New Roman"/>
          <w:i/>
          <w:iCs/>
          <w:sz w:val="24"/>
          <w:szCs w:val="24"/>
        </w:rPr>
        <w:t>Abies grandis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B.","non-dropping-particle":"","parse-names":false,"suffix":""}],"container-title":"Forests","id":"ITEM-1","issue":"8","issued":{"date-parts":[["2020","8","1"]]},"note":"tb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Washington","type":"article-journal","volume":"11"},"uris":["http://www.mendeley.com/documents/?uuid=b4b7f84f-1bdb-3adb-aff7-6014e3b8cd2e"]}],"mendeley":{"formattedCitation":"(Rossman et al. 2020)","plainTextFormattedCitation":"(Rossman et al. 2020)","previouslyFormattedCitation":"(Rossman et al. 2020)"},"properties":{"noteIndex":0},"schema":"https://github.com/citation-style-language/schema/raw/master/csl-citation.json"}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(Rossman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precolonial fire return interval was 6 to 21 years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Since the 1930s, however, fire-suppression and removal of Native Americans from the landscape has resulted in a buildup of fuels and increase of shade-tolerant, fire-intolerant tree species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{"citationItems":[{"id":"ITEM-1","itemData":{"DOI":"10.1016/S0378-1127(03)00052-5","ISSN":"03781127","abstract":"Fire was arguably the most important forest and rangeland disturbance process in the Inland Northwest United States for millennia. Prior to the Lewis and Clark expedition, fire regimes ranged from high severity with return intervals of one to five centuries, to low severity with fire-free periods lasting three decades or less. Indoamerican burning contributed to the fire ecology of grasslands and lower and mid-montane dry forests, especially where ponderosa pine was the dominant overstory species, but the extent of this contribution is difficult to quantify. Two centuries of settlement, exploitation, management, and climate variation have transformed the fire regimes, vegetation and fuel patterns, and overall functionality of these forests. We present a narrative that portrays conditions beginning at the first contact of Euro-American settlers with Indoamericans of the region and extending to the present. Due in part to its geographic isolation, the Inland Northwest was among the last regions to be discovered by Euro-Americans. In 200 years the region has undergone fur trapping and trading, sheep, cattle, and horse grazing, timber harvesting, mining, road construction, native grassland conversion to agricultural production, urban and rural area development, fire prevention, and fire suppression. We highlight key changes to forest landscape patterns and processes that occurred under these combined influences, discuss implications of the changes, and progress towards restoring sustainability. An adaptive ecosystem management model has been adopted by public land management agencies to remedy current conditions. Ecosystem management is a relatively new concept that emphasizes the integrity and sustainability of land systems rather than outputs from the land. Adaptive management emphasizes the twin notions that incomplete knowledge and high degrees of risk and uncertainty about earth and climate systems will always limit land and resource planning and management decisions, and that management is chiefly a learning and adapting process. We discuss current issues and future options associated with ecosystem management, including the low likelihood of social consensus concerning desired outcomes, the lack of integrated planning, analysis, and decision support tools, and mismatches between existing land management planning processes, Congressional appropriations, and complex management and restoration problems.","author":[{"dropping-particle":"","family":"Hessburg","given":"Paul F.","non-dropping-particle":"","parse-names":false,"suffix":""},{"dropping-particle":"","family":"Agee","given":"James K.","non-dropping-particle":"","parse-names":false,"suffix":""}],"container-title":"Forest Ecology and Management","id":"ITEM-1","issue":"1-2","issued":{"date-parts":[["2003","6","3"]]},"page":"23-59","publisher":"Elsevier","title":"An environmental narrative of Inland Northwest United States forests, 1800-2000","type":"paper-conference","volume":"178"},"uris":["http://www.mendeley.com/documents/?uuid=272aed35-13b8-317d-be1d-9d3cbaf3e292"]}],"mendeley":{"formattedCitation":"(Hessburg and Agee 2003)","plainTextFormattedCitation":"(Hessburg and Agee 2003)","previouslyFormattedCitation":"(Hessburg and Agee 2003)"},"properties":{"noteIndex":0},"schema":"https://github.com/citation-style-language/schema/raw/master/csl-citation.json"}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(Hessburg and Agee 2003)</w:t>
      </w:r>
      <w:r>
        <w:rPr>
          <w:rFonts w:ascii="Times New Roman" w:hAnsi="Times New Roman" w:cs="Times New Roman"/>
          <w:sz w:val="24"/>
          <w:szCs w:val="24"/>
        </w:rPr>
        <w:fldChar w:fldCharType="end"/>
      </w:r>
      <w:r>
        <w:rPr>
          <w:rFonts w:ascii="Times New Roman" w:hAnsi="Times New Roman" w:cs="Times New Roman"/>
          <w:sz w:val="24"/>
          <w:szCs w:val="24"/>
        </w:rPr>
        <w:t xml:space="preserve">.  Today, structure and composition is highly affected by site moisture, which is largely driven by topography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AC78D4">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w:t>
      </w:r>
    </w:p>
    <w:p w14:paraId="2715EB24" w14:textId="77777777" w:rsidR="00F71C16" w:rsidRDefault="00F71C16" w:rsidP="000D0D8B">
      <w:pPr>
        <w:spacing w:after="0" w:line="480" w:lineRule="auto"/>
        <w:rPr>
          <w:rFonts w:ascii="Times New Roman" w:hAnsi="Times New Roman" w:cs="Times New Roman"/>
          <w:sz w:val="24"/>
          <w:szCs w:val="24"/>
        </w:rPr>
      </w:pPr>
    </w:p>
    <w:p w14:paraId="17198424" w14:textId="77777777" w:rsidR="00193086" w:rsidRDefault="00193086" w:rsidP="000D0D8B">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Treatment selection and implementation</w:t>
      </w:r>
    </w:p>
    <w:p w14:paraId="48EF220F" w14:textId="44F58B25" w:rsidR="00193086" w:rsidRDefault="00193086"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study was designed to experimentally test the effects of four treatments: control, burn, thin, and thin plus burn.  In the late 1990s, researchers randomly chose 12 experimental units of ten hectares or larger, from a field of 30 potential units.  Within the 12 chosen units, researchers randomly assigned three replicates for each of four treatments.  Four units were changed from their initial assignment due to operator concerns about logistics and safety of prescribed burning, given proximity to structures for two of the units.  Units were chosen to be roughly rectangular in shape, 90% forested, with slopes averaging less than 50%, and primarily consisting of the </w:t>
      </w:r>
      <w:r>
        <w:rPr>
          <w:rFonts w:ascii="Times New Roman" w:hAnsi="Times New Roman" w:cs="Times New Roman"/>
          <w:i/>
          <w:iCs/>
          <w:sz w:val="24"/>
          <w:szCs w:val="24"/>
        </w:rPr>
        <w:t xml:space="preserve">Pseudotsuga menziesii </w:t>
      </w:r>
      <w:r>
        <w:rPr>
          <w:rFonts w:ascii="Times New Roman" w:hAnsi="Times New Roman" w:cs="Times New Roman"/>
          <w:sz w:val="24"/>
          <w:szCs w:val="24"/>
        </w:rPr>
        <w:t xml:space="preserve">series of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GTR-359","author":[{"dropping-particle":"","family":"Lillybridge","given":"T.R.","non-dropping-particle":"","parse-names":false,"suffix":""},{"dropping-particle":"","family":"Kovalchik","given":"B.L.","non-dropping-particle":"","parse-names":false,"suffix":""},{"dropping-particle":"","family":"Williams","given":"C.K.","non-dropping-particle":"","parse-names":false,"suffix":""},{"dropping-particle":"","family":"Smith","given":"B.G.","non-dropping-particle":"","parse-names":false,"suffix":""}],"container-title":"Gen. Tech. Rep. PNW-GTR-359. Portland, OR: U.S. Department of Agriculture, Forest Service, Pacific Northwest Research Station. 335 p. In cooperation with: Pacific Northwest Region, Wenatchee National Forest","id":"ITEM-1","issued":{"date-parts":[["1995"]]},"publisher-place":"Portland, OR","title":"Field guide for forested plant associations of the Wenatchee National Forest.","type":"report","volume":"359"},"uris":["http://www.mendeley.com/documents/?uuid=a1973442-4358-3e0e-8dcc-3389b6a53669"]}],"mendeley":{"formattedCitation":"(Lillybridge et al. 1995)","manualFormatting":"Lillybridge et al. (1995)","plainTextFormattedCitation":"(Lillybridge et al. 1995)","previouslyFormattedCitation":"(Lillybridge et al. 1995)"},"properties":{"noteIndex":0},"schema":"https://github.com/citation-style-language/schema/raw/master/csl-citation.json"}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 xml:space="preserve">Lillybridge et al. </w:t>
      </w:r>
      <w:r>
        <w:rPr>
          <w:rFonts w:ascii="Times New Roman" w:hAnsi="Times New Roman" w:cs="Times New Roman"/>
          <w:noProof/>
          <w:sz w:val="24"/>
          <w:szCs w:val="24"/>
        </w:rPr>
        <w:t>(</w:t>
      </w:r>
      <w:r w:rsidRPr="0091679C">
        <w:rPr>
          <w:rFonts w:ascii="Times New Roman" w:hAnsi="Times New Roman" w:cs="Times New Roman"/>
          <w:noProof/>
          <w:sz w:val="24"/>
          <w:szCs w:val="24"/>
        </w:rPr>
        <w:t>1995)</w:t>
      </w:r>
      <w:r>
        <w:rPr>
          <w:rFonts w:ascii="Times New Roman" w:hAnsi="Times New Roman" w:cs="Times New Roman"/>
          <w:sz w:val="24"/>
          <w:szCs w:val="24"/>
        </w:rPr>
        <w:fldChar w:fldCharType="end"/>
      </w:r>
      <w:r>
        <w:rPr>
          <w:rFonts w:ascii="Times New Roman" w:hAnsi="Times New Roman" w:cs="Times New Roman"/>
          <w:sz w:val="24"/>
          <w:szCs w:val="24"/>
        </w:rPr>
        <w:t xml:space="preserve">. Thinning projects </w:t>
      </w:r>
      <w:r>
        <w:rPr>
          <w:rFonts w:ascii="Times New Roman" w:hAnsi="Times New Roman" w:cs="Times New Roman"/>
          <w:sz w:val="24"/>
          <w:szCs w:val="24"/>
        </w:rPr>
        <w:lastRenderedPageBreak/>
        <w:t xml:space="preserve">were implemented in 2002 or 2003, and burning projects were delayed to 2004 or 2006 due to weather.  2004 burns were of lower intensity and severity than prescribed, while 2006 burns met management goals.  In 2012, a wildfire (the Poison Fire) burned four replicates: two controls, one thin, and one burn unit.  The long-term experimental balance therefore consists of three thinburn units, two thin units, two burn units, and one control unit (figure </w:t>
      </w:r>
      <w:r w:rsidR="00510D01">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B72B2">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8FA7025" w14:textId="77777777" w:rsidR="00193086" w:rsidRDefault="00193086" w:rsidP="000D0D8B">
      <w:pPr>
        <w:spacing w:after="0" w:line="480" w:lineRule="auto"/>
        <w:rPr>
          <w:rFonts w:ascii="Times New Roman" w:hAnsi="Times New Roman" w:cs="Times New Roman"/>
          <w:sz w:val="24"/>
          <w:szCs w:val="24"/>
        </w:rPr>
      </w:pPr>
    </w:p>
    <w:p w14:paraId="5AACF4FC" w14:textId="257D71D7" w:rsidR="00193086" w:rsidRDefault="00B75ABD" w:rsidP="000D0D8B">
      <w:pPr>
        <w:spacing w:after="0" w:line="480" w:lineRule="auto"/>
        <w:rPr>
          <w:rFonts w:ascii="Times New Roman" w:hAnsi="Times New Roman" w:cs="Times New Roman"/>
          <w:i/>
          <w:iCs/>
          <w:sz w:val="24"/>
          <w:szCs w:val="24"/>
        </w:rPr>
      </w:pPr>
      <w:r>
        <w:rPr>
          <w:noProof/>
        </w:rPr>
        <w:pict w14:anchorId="2F762E1C">
          <v:shapetype id="_x0000_t202" coordsize="21600,21600" o:spt="202" path="m,l,21600r21600,l21600,xe">
            <v:stroke joinstyle="miter"/>
            <v:path gradientshapeok="t" o:connecttype="rect"/>
          </v:shapetype>
          <v:shape id="_x0000_s1026" type="#_x0000_t202" style="position:absolute;margin-left:0;margin-top:410.1pt;width:468.5pt;height:.05pt;z-index:251661824;mso-position-horizontal-relative:text;mso-position-vertical-relative:text" wrapcoords="-35 0 -35 21016 21600 21016 21600 0 -35 0" stroked="f">
            <v:textbox style="mso-fit-shape-to-text:t" inset="0,0,0,0">
              <w:txbxContent>
                <w:p w14:paraId="63D3BF89" w14:textId="74E46276" w:rsidR="00F71C16" w:rsidRPr="00F71C16" w:rsidRDefault="00F71C16" w:rsidP="00F71C16">
                  <w:pPr>
                    <w:pStyle w:val="Caption"/>
                    <w:rPr>
                      <w:rFonts w:ascii="Times New Roman" w:hAnsi="Times New Roman" w:cs="Times New Roman"/>
                      <w:noProof/>
                      <w:sz w:val="28"/>
                      <w:szCs w:val="28"/>
                    </w:rPr>
                  </w:pPr>
                  <w:r w:rsidRPr="00F71C16">
                    <w:rPr>
                      <w:sz w:val="22"/>
                      <w:szCs w:val="22"/>
                    </w:rPr>
                    <w:t xml:space="preserve">Figure </w:t>
                  </w:r>
                  <w:r w:rsidRPr="00F71C16">
                    <w:rPr>
                      <w:sz w:val="22"/>
                      <w:szCs w:val="22"/>
                    </w:rPr>
                    <w:fldChar w:fldCharType="begin"/>
                  </w:r>
                  <w:r w:rsidRPr="00F71C16">
                    <w:rPr>
                      <w:sz w:val="22"/>
                      <w:szCs w:val="22"/>
                    </w:rPr>
                    <w:instrText xml:space="preserve"> SEQ Figure \* ARABIC </w:instrText>
                  </w:r>
                  <w:r w:rsidRPr="00F71C16">
                    <w:rPr>
                      <w:sz w:val="22"/>
                      <w:szCs w:val="22"/>
                    </w:rPr>
                    <w:fldChar w:fldCharType="separate"/>
                  </w:r>
                  <w:r w:rsidR="008939AA">
                    <w:rPr>
                      <w:noProof/>
                      <w:sz w:val="22"/>
                      <w:szCs w:val="22"/>
                    </w:rPr>
                    <w:t>1</w:t>
                  </w:r>
                  <w:r w:rsidRPr="00F71C16">
                    <w:rPr>
                      <w:sz w:val="22"/>
                      <w:szCs w:val="22"/>
                    </w:rPr>
                    <w:fldChar w:fldCharType="end"/>
                  </w:r>
                  <w:r w:rsidRPr="00F71C16">
                    <w:rPr>
                      <w:sz w:val="22"/>
                      <w:szCs w:val="22"/>
                    </w:rPr>
                    <w:t>: Experimental balance at the Mission Creek site, before and after the 2012 Poison Fire burned three of the replicate units.</w:t>
                  </w:r>
                </w:p>
              </w:txbxContent>
            </v:textbox>
            <w10:wrap type="through"/>
          </v:shape>
        </w:pict>
      </w:r>
      <w:r w:rsidR="00F71C16">
        <w:rPr>
          <w:rFonts w:ascii="Times New Roman" w:hAnsi="Times New Roman" w:cs="Times New Roman"/>
          <w:noProof/>
          <w:sz w:val="24"/>
          <w:szCs w:val="24"/>
        </w:rPr>
        <w:drawing>
          <wp:anchor distT="0" distB="0" distL="114300" distR="114300" simplePos="0" relativeHeight="251652096" behindDoc="1" locked="0" layoutInCell="1" allowOverlap="1" wp14:anchorId="3CD7071F" wp14:editId="52AABAD9">
            <wp:simplePos x="0" y="0"/>
            <wp:positionH relativeFrom="column">
              <wp:posOffset>0</wp:posOffset>
            </wp:positionH>
            <wp:positionV relativeFrom="paragraph">
              <wp:posOffset>1805940</wp:posOffset>
            </wp:positionV>
            <wp:extent cx="5949950" cy="3345180"/>
            <wp:effectExtent l="0" t="0" r="0" b="0"/>
            <wp:wrapThrough wrapText="bothSides">
              <wp:wrapPolygon edited="0">
                <wp:start x="0" y="0"/>
                <wp:lineTo x="0" y="21526"/>
                <wp:lineTo x="21508" y="21526"/>
                <wp:lineTo x="21508" y="0"/>
                <wp:lineTo x="0" y="0"/>
              </wp:wrapPolygon>
            </wp:wrapThrough>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30721"/>
                    <a:stretch/>
                  </pic:blipFill>
                  <pic:spPr bwMode="auto">
                    <a:xfrm>
                      <a:off x="0" y="0"/>
                      <a:ext cx="5949950"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086">
        <w:rPr>
          <w:rFonts w:ascii="Times New Roman" w:hAnsi="Times New Roman" w:cs="Times New Roman"/>
          <w:i/>
          <w:iCs/>
          <w:sz w:val="24"/>
          <w:szCs w:val="24"/>
        </w:rPr>
        <w:t>Data collection</w:t>
      </w:r>
    </w:p>
    <w:p w14:paraId="709C2387" w14:textId="5651CB71" w:rsidR="00193086" w:rsidRDefault="00193086" w:rsidP="000D0D8B">
      <w:pPr>
        <w:spacing w:after="0"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In 2019 and 2020, I led field crews resampling fuel plots.  We sampled 2</w:t>
      </w:r>
      <w:r w:rsidR="00BD00BF">
        <w:rPr>
          <w:rFonts w:ascii="Times New Roman" w:hAnsi="Times New Roman" w:cs="Times New Roman"/>
          <w:sz w:val="24"/>
          <w:szCs w:val="24"/>
        </w:rPr>
        <w:t>04</w:t>
      </w:r>
      <w:r>
        <w:rPr>
          <w:rFonts w:ascii="Times New Roman" w:hAnsi="Times New Roman" w:cs="Times New Roman"/>
          <w:sz w:val="24"/>
          <w:szCs w:val="24"/>
        </w:rPr>
        <w:t xml:space="preserve"> plots: </w:t>
      </w:r>
      <w:r w:rsidR="00BD00BF">
        <w:rPr>
          <w:rFonts w:ascii="Times New Roman" w:hAnsi="Times New Roman" w:cs="Times New Roman"/>
          <w:sz w:val="24"/>
          <w:szCs w:val="24"/>
        </w:rPr>
        <w:t>66</w:t>
      </w:r>
      <w:r>
        <w:rPr>
          <w:rFonts w:ascii="Times New Roman" w:hAnsi="Times New Roman" w:cs="Times New Roman"/>
          <w:sz w:val="24"/>
          <w:szCs w:val="24"/>
        </w:rPr>
        <w:t xml:space="preserve"> thin plus burn plots from three units, 58 burn plots from two units, 55 thin plots from 2 units, and 25 control plots from one unit.  The protocols below match those followed in pretreatment and short-term surveys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F1029">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except where noted.  </w:t>
      </w:r>
      <w:r w:rsidR="00B75ABD">
        <w:rPr>
          <w:noProof/>
        </w:rPr>
        <w:lastRenderedPageBreak/>
        <w:pict w14:anchorId="0A9486E3">
          <v:shape id="_x0000_s1027" type="#_x0000_t202" style="position:absolute;margin-left:6pt;margin-top:239.7pt;width:462.05pt;height:.05pt;z-index:251663872;mso-position-horizontal-relative:text;mso-position-vertical-relative:text" wrapcoords="-35 0 -35 21016 21600 21016 21600 0 -35 0" stroked="f">
            <v:textbox style="mso-fit-shape-to-text:t" inset="0,0,0,0">
              <w:txbxContent>
                <w:p w14:paraId="7F076F87" w14:textId="6D58572E" w:rsidR="00F71C16" w:rsidRPr="00F71C16" w:rsidRDefault="00F71C16" w:rsidP="00F71C16">
                  <w:pPr>
                    <w:pStyle w:val="Caption"/>
                    <w:rPr>
                      <w:rFonts w:ascii="Times New Roman" w:hAnsi="Times New Roman" w:cs="Times New Roman"/>
                      <w:sz w:val="32"/>
                      <w:szCs w:val="32"/>
                    </w:rPr>
                  </w:pPr>
                  <w:r w:rsidRPr="00F71C16">
                    <w:rPr>
                      <w:sz w:val="22"/>
                      <w:szCs w:val="22"/>
                    </w:rPr>
                    <w:t xml:space="preserve">Figure </w:t>
                  </w:r>
                  <w:r w:rsidRPr="00F71C16">
                    <w:rPr>
                      <w:sz w:val="22"/>
                      <w:szCs w:val="22"/>
                    </w:rPr>
                    <w:fldChar w:fldCharType="begin"/>
                  </w:r>
                  <w:r w:rsidRPr="00F71C16">
                    <w:rPr>
                      <w:sz w:val="22"/>
                      <w:szCs w:val="22"/>
                    </w:rPr>
                    <w:instrText xml:space="preserve"> SEQ Figure \* ARABIC </w:instrText>
                  </w:r>
                  <w:r w:rsidRPr="00F71C16">
                    <w:rPr>
                      <w:sz w:val="22"/>
                      <w:szCs w:val="22"/>
                    </w:rPr>
                    <w:fldChar w:fldCharType="separate"/>
                  </w:r>
                  <w:r w:rsidR="008939AA">
                    <w:rPr>
                      <w:noProof/>
                      <w:sz w:val="22"/>
                      <w:szCs w:val="22"/>
                    </w:rPr>
                    <w:t>2</w:t>
                  </w:r>
                  <w:r w:rsidRPr="00F71C16">
                    <w:rPr>
                      <w:sz w:val="22"/>
                      <w:szCs w:val="22"/>
                    </w:rPr>
                    <w:fldChar w:fldCharType="end"/>
                  </w:r>
                  <w:r w:rsidRPr="00F71C16">
                    <w:rPr>
                      <w:sz w:val="22"/>
                      <w:szCs w:val="22"/>
                    </w:rPr>
                    <w:t>: Fuel variable sampling design</w:t>
                  </w:r>
                </w:p>
              </w:txbxContent>
            </v:textbox>
            <w10:wrap type="through"/>
          </v:shape>
        </w:pict>
      </w:r>
      <w:r w:rsidR="00F71C16">
        <w:rPr>
          <w:rFonts w:ascii="Times New Roman" w:hAnsi="Times New Roman" w:cs="Times New Roman"/>
          <w:noProof/>
          <w:sz w:val="24"/>
          <w:szCs w:val="24"/>
        </w:rPr>
        <w:drawing>
          <wp:anchor distT="0" distB="0" distL="114300" distR="114300" simplePos="0" relativeHeight="251651072" behindDoc="0" locked="0" layoutInCell="1" allowOverlap="1" wp14:anchorId="3D27A6D4" wp14:editId="407CDD7B">
            <wp:simplePos x="0" y="0"/>
            <wp:positionH relativeFrom="column">
              <wp:posOffset>76200</wp:posOffset>
            </wp:positionH>
            <wp:positionV relativeFrom="page">
              <wp:posOffset>906780</wp:posOffset>
            </wp:positionV>
            <wp:extent cx="5868035" cy="2994660"/>
            <wp:effectExtent l="0" t="0" r="0" b="0"/>
            <wp:wrapThrough wrapText="bothSides">
              <wp:wrapPolygon edited="0">
                <wp:start x="0" y="0"/>
                <wp:lineTo x="0" y="21435"/>
                <wp:lineTo x="21528" y="21435"/>
                <wp:lineTo x="21528" y="0"/>
                <wp:lineTo x="0" y="0"/>
              </wp:wrapPolygon>
            </wp:wrapThrough>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b="9412"/>
                    <a:stretch/>
                  </pic:blipFill>
                  <pic:spPr bwMode="auto">
                    <a:xfrm>
                      <a:off x="0" y="0"/>
                      <a:ext cx="5868035" cy="29946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ab/>
        <w:t xml:space="preserve">We measured vegetation structure and fuel profiles following standard approaches.  At each plot we measured trees, shrub and herb fuels, fuel model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160B29">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and canopy cover in a circular plot, and surface fuels in two Brown’s transects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{"citationItems":[{"id":"ITEM-1","itemData":{"DOI":"10.1093/FORESTSCIENCE/17.1.96","ISSN":"0015-749X","abstract":"The method requires a tally of intersections between sampling planes and vegetative particles categorized by size and shape classes. These planes may be of any size and positioned at any orientation with respect to the ground. The method applies to both randomly and nonrandomly oriented particles that approximate either circles or rectangles in cross section. Estimates that accounted for all angles of particle intersection were more accurate than estimates that assumed perpendicular angles of intersection in a cheatgrass field test. Forest Sci. 17:96-102.","author":[{"dropping-particle":"","family":"Brown","given":"James K.","non-dropping-particle":"","parse-names":false,"suffix":""}],"container-title":"Forest Science","id":"ITEM-1","issue":"1","issued":{"date-parts":[["1971","3","1"]]},"page":"96-102","publisher":"Oxford Academic","title":"A Planar Intersect Method for Sampling Fuel Volume and Surface Area","type":"article-journal","volume":"17"},"uris":["http://www.mendeley.com/documents/?uuid=b6a77ac9-0868-3293-a7a8-5dd54ad9ddb2"]}],"mendeley":{"formattedCitation":"(Brown 1971)","plainTextFormattedCitation":"(Brown 1971)","previouslyFormattedCitation":"(Brown 1971)"},"properties":{"noteIndex":0},"schema":"https://github.com/citation-style-language/schema/raw/master/csl-citation.json"}</w:instrText>
      </w:r>
      <w:r>
        <w:rPr>
          <w:rFonts w:ascii="Times New Roman" w:hAnsi="Times New Roman" w:cs="Times New Roman"/>
          <w:sz w:val="24"/>
          <w:szCs w:val="24"/>
        </w:rPr>
        <w:fldChar w:fldCharType="separate"/>
      </w:r>
      <w:r w:rsidRPr="00E35FD0">
        <w:rPr>
          <w:rFonts w:ascii="Times New Roman" w:hAnsi="Times New Roman" w:cs="Times New Roman"/>
          <w:noProof/>
          <w:sz w:val="24"/>
          <w:szCs w:val="24"/>
        </w:rPr>
        <w:t>(Brown 1971)</w:t>
      </w:r>
      <w:r>
        <w:rPr>
          <w:rFonts w:ascii="Times New Roman" w:hAnsi="Times New Roman" w:cs="Times New Roman"/>
          <w:sz w:val="24"/>
          <w:szCs w:val="24"/>
        </w:rPr>
        <w:fldChar w:fldCharType="end"/>
      </w:r>
      <w:r>
        <w:rPr>
          <w:rFonts w:ascii="Times New Roman" w:hAnsi="Times New Roman" w:cs="Times New Roman"/>
          <w:sz w:val="24"/>
          <w:szCs w:val="24"/>
        </w:rPr>
        <w:t>.  In each transect, we counted one-hour fuels for two meters,</w:t>
      </w:r>
      <w:r w:rsidRPr="005264A7">
        <w:rPr>
          <w:rFonts w:ascii="Times New Roman" w:hAnsi="Times New Roman" w:cs="Times New Roman"/>
          <w:noProof/>
          <w:sz w:val="24"/>
          <w:szCs w:val="24"/>
        </w:rPr>
        <w:t xml:space="preserve"> </w:t>
      </w:r>
      <w:r>
        <w:rPr>
          <w:rFonts w:ascii="Times New Roman" w:hAnsi="Times New Roman" w:cs="Times New Roman"/>
          <w:sz w:val="24"/>
          <w:szCs w:val="24"/>
        </w:rPr>
        <w:t>ten-hour fuels for three meters, hundred-hour fuels for five meters, and thousand-hour fuels for twenty meters.  For thousand-hour fuels, diameter, decay class, and species were also recorded.   Additionally, we measured litter depth, duff depth, and woody fuel height at three points per transect</w:t>
      </w:r>
      <w:r w:rsidR="00510D01">
        <w:rPr>
          <w:rFonts w:ascii="Times New Roman" w:hAnsi="Times New Roman" w:cs="Times New Roman"/>
          <w:sz w:val="24"/>
          <w:szCs w:val="24"/>
        </w:rPr>
        <w:t xml:space="preserve"> (figure 2)</w:t>
      </w:r>
      <w:r>
        <w:rPr>
          <w:rFonts w:ascii="Times New Roman" w:hAnsi="Times New Roman" w:cs="Times New Roman"/>
          <w:sz w:val="24"/>
          <w:szCs w:val="24"/>
        </w:rPr>
        <w:t xml:space="preserve">.  We estimated coverage of fuel models over the same plot, using Northern Forest Fire Lab (NFFL) models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Canopy cover was measured with </w:t>
      </w:r>
      <w:proofErr w:type="spellStart"/>
      <w:r>
        <w:rPr>
          <w:rFonts w:ascii="Times New Roman" w:hAnsi="Times New Roman" w:cs="Times New Roman"/>
          <w:sz w:val="24"/>
          <w:szCs w:val="24"/>
        </w:rPr>
        <w:t>densiometer</w:t>
      </w:r>
      <w:proofErr w:type="spellEnd"/>
      <w:r>
        <w:rPr>
          <w:rFonts w:ascii="Times New Roman" w:hAnsi="Times New Roman" w:cs="Times New Roman"/>
          <w:sz w:val="24"/>
          <w:szCs w:val="24"/>
        </w:rPr>
        <w:t xml:space="preserve"> readings facing each of the four cardinal directions from plot center.  </w:t>
      </w:r>
    </w:p>
    <w:p w14:paraId="310BDE9E" w14:textId="3CB23B1B" w:rsidR="00193086" w:rsidRDefault="00193086" w:rsidP="000D0D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Due to variable tree density, we used an adjustable radius design to determine tree plot size.  We used two radii per tree plot: one for ‘small trees’ (≤0.1 cm diameter at breast height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to ˃30 cm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and one for ‘large trees’ (≤30 cm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to avoid clumps sapling causing </w:t>
      </w:r>
      <w:proofErr w:type="spellStart"/>
      <w:r>
        <w:rPr>
          <w:rFonts w:ascii="Times New Roman" w:hAnsi="Times New Roman" w:cs="Times New Roman"/>
          <w:sz w:val="24"/>
          <w:szCs w:val="24"/>
        </w:rPr>
        <w:t>undersampling</w:t>
      </w:r>
      <w:proofErr w:type="spellEnd"/>
      <w:r>
        <w:rPr>
          <w:rFonts w:ascii="Times New Roman" w:hAnsi="Times New Roman" w:cs="Times New Roman"/>
          <w:sz w:val="24"/>
          <w:szCs w:val="24"/>
        </w:rPr>
        <w:t xml:space="preserve"> of larger, </w:t>
      </w:r>
      <w:proofErr w:type="gramStart"/>
      <w:r>
        <w:rPr>
          <w:rFonts w:ascii="Times New Roman" w:hAnsi="Times New Roman" w:cs="Times New Roman"/>
          <w:sz w:val="24"/>
          <w:szCs w:val="24"/>
        </w:rPr>
        <w:t>fire resistant</w:t>
      </w:r>
      <w:proofErr w:type="gramEnd"/>
      <w:r>
        <w:rPr>
          <w:rFonts w:ascii="Times New Roman" w:hAnsi="Times New Roman" w:cs="Times New Roman"/>
          <w:sz w:val="24"/>
          <w:szCs w:val="24"/>
        </w:rPr>
        <w:t xml:space="preserve"> trees.  We customized at each plot to sample at least ten </w:t>
      </w:r>
      <w:r>
        <w:rPr>
          <w:rFonts w:ascii="Times New Roman" w:hAnsi="Times New Roman" w:cs="Times New Roman"/>
          <w:sz w:val="24"/>
          <w:szCs w:val="24"/>
        </w:rPr>
        <w:lastRenderedPageBreak/>
        <w:t xml:space="preserve">trees per plot, at least five of which had to be large trees.  The maximum allowable plot radius was 18 meters.  Radii were adjustable in meter increments.  The small tree radius could be smaller than or equal to the large tree radius, but not larger.  For each tree, we recorded species,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total height, height to base of live crown, height to base of dead crown, char height, char circumference, likely cause of death if applicable, and mistletoe presence.  The protocol for determining tree plot size was different than pretreatment surveys, which used variable rectangular plots with coarser size increments, and short-term surveys, which used cru</w:t>
      </w:r>
      <w:r w:rsidR="00846B08">
        <w:rPr>
          <w:rFonts w:ascii="Times New Roman" w:hAnsi="Times New Roman" w:cs="Times New Roman"/>
          <w:sz w:val="24"/>
          <w:szCs w:val="24"/>
        </w:rPr>
        <w:t>i</w:t>
      </w:r>
      <w:r>
        <w:rPr>
          <w:rFonts w:ascii="Times New Roman" w:hAnsi="Times New Roman" w:cs="Times New Roman"/>
          <w:sz w:val="24"/>
          <w:szCs w:val="24"/>
        </w:rPr>
        <w:t xml:space="preserve">sing prisms.  The individual tree measurements were the same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943EA8">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C89AB3D" w14:textId="787B2CF5" w:rsidR="00EF7168" w:rsidRDefault="00EF7168" w:rsidP="000D0D8B">
      <w:pPr>
        <w:spacing w:after="0" w:line="480" w:lineRule="auto"/>
        <w:rPr>
          <w:rFonts w:ascii="Times New Roman" w:hAnsi="Times New Roman" w:cs="Times New Roman"/>
          <w:sz w:val="24"/>
          <w:szCs w:val="24"/>
        </w:rPr>
      </w:pPr>
    </w:p>
    <w:p w14:paraId="28789F21" w14:textId="559392B7" w:rsidR="00EF7168" w:rsidRDefault="00EF7168" w:rsidP="000D0D8B">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Fire modelling</w:t>
      </w:r>
    </w:p>
    <w:p w14:paraId="19706873" w14:textId="1C07F2CE" w:rsidR="00EF7168" w:rsidRPr="00EF7168" w:rsidRDefault="00EF7168"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used the Forest Vegetation Simulator Fire and Fuels Extension (FVS-FFE) </w:t>
      </w:r>
      <w:r w:rsidR="00510D01">
        <w:rPr>
          <w:rFonts w:ascii="Times New Roman" w:hAnsi="Times New Roman" w:cs="Times New Roman"/>
          <w:sz w:val="24"/>
          <w:szCs w:val="24"/>
        </w:rPr>
        <w:fldChar w:fldCharType="begin" w:fldLock="1"/>
      </w:r>
      <w:r w:rsidR="00510D01">
        <w:rPr>
          <w:rFonts w:ascii="Times New Roman" w:hAnsi="Times New Roman" w:cs="Times New Roman"/>
          <w:sz w:val="24"/>
          <w:szCs w:val="24"/>
        </w:rPr>
        <w:instrText>ADDIN CSL_CITATION {"citationItems":[{"id":"ITEM-1","itemData":{"DOI":"10.2737/RMRS-GTR-116","author":[{"dropping-particle":"","family":"Reinhardt","given":"Elizabeth","non-dropping-particle":"","parse-names":false,"suffix":""},{"dropping-particle":"","family":"Crookston","given":"Nicholas L.","non-dropping-particle":"","parse-names":false,"suffix":""}],"container-title":"Gen. Tech. Rep. RMRS-GTR-116. Ogden, UT: U.S. Department of Agriculture, Forest Service, Rocky Mountain Research Station. 209 p.","id":"ITEM-1","issued":{"date-parts":[["2003"]]},"title":"The Fire and Fuels Extension to the Forest Vegetation Simulator","type":"article-journal","volume":"116"},"uris":["http://www.mendeley.com/documents/?uuid=d5e171dc-645f-38dd-a9fb-4454f1820e98"]}],"mendeley":{"formattedCitation":"(Reinhardt and Crookston 2003)","plainTextFormattedCitation":"(Reinhardt and Crookston 2003)","previouslyFormattedCitation":"(Reinhardt and Crookston 2003)"},"properties":{"noteIndex":0},"schema":"https://github.com/citation-style-language/schema/raw/master/csl-citation.json"}</w:instrText>
      </w:r>
      <w:r w:rsidR="00510D01">
        <w:rPr>
          <w:rFonts w:ascii="Times New Roman" w:hAnsi="Times New Roman" w:cs="Times New Roman"/>
          <w:sz w:val="24"/>
          <w:szCs w:val="24"/>
        </w:rPr>
        <w:fldChar w:fldCharType="separate"/>
      </w:r>
      <w:r w:rsidR="00510D01" w:rsidRPr="00510D01">
        <w:rPr>
          <w:rFonts w:ascii="Times New Roman" w:hAnsi="Times New Roman" w:cs="Times New Roman"/>
          <w:noProof/>
          <w:sz w:val="24"/>
          <w:szCs w:val="24"/>
        </w:rPr>
        <w:t>(Reinhardt and Crookston 2003)</w:t>
      </w:r>
      <w:r w:rsidR="00510D01">
        <w:rPr>
          <w:rFonts w:ascii="Times New Roman" w:hAnsi="Times New Roman" w:cs="Times New Roman"/>
          <w:sz w:val="24"/>
          <w:szCs w:val="24"/>
        </w:rPr>
        <w:fldChar w:fldCharType="end"/>
      </w:r>
      <w:r w:rsidR="00510D01">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543E3">
        <w:rPr>
          <w:rFonts w:ascii="Times New Roman" w:hAnsi="Times New Roman" w:cs="Times New Roman"/>
          <w:sz w:val="24"/>
          <w:szCs w:val="24"/>
        </w:rPr>
        <w:t xml:space="preserve">model fire behavior metrics and canopy fuel loads, and the First Order Fire Effects Modelling program (FOFEM) </w:t>
      </w:r>
      <w:r w:rsidR="00510D01">
        <w:rPr>
          <w:rFonts w:ascii="Times New Roman" w:hAnsi="Times New Roman" w:cs="Times New Roman"/>
          <w:sz w:val="24"/>
          <w:szCs w:val="24"/>
        </w:rPr>
        <w:fldChar w:fldCharType="begin" w:fldLock="1"/>
      </w:r>
      <w:r w:rsidR="00510D01">
        <w:rPr>
          <w:rFonts w:ascii="Times New Roman" w:hAnsi="Times New Roman" w:cs="Times New Roman"/>
          <w:sz w:val="24"/>
          <w:szCs w:val="24"/>
        </w:rPr>
        <w:instrText>ADDIN CSL_CITATION {"citationItems":[{"id":"ITEM-1","itemData":{"DOI":"10.2737/INT-GTR-344","abstract":"AEirst Qrder Eire Effects Model (FOFEM) was developed to predict the direct consequences of prescribed fire and wildfire. FOFEM was designed for application to most areas of the United States. First order fire effects are the immediate or direct results of a fire. FOFEM computes duff and woody fuel consumption, mineral soil exposure, fire-caused tree mortality, and smoke production for many forest and rangeland ecosystems. Quantitative results from many fire effects studies were summarized for inclusion into the model. FOFEM contains a fire effects calculator to predict the effects of a fire from the burning conditions, and a prescribed fire planner to compute the burn conditions necessary to achieve a desired effect. Default input values are derived from fuel models provided for natural and activity fuels by many forest cover types. The model is implemented in a computer program available for use on a PC or Data General computer. The use of trade or firm names in this publication is for reader information and does not imply endorsement by the US. Department of Agriculture of any product or service. To obtain a current version of the FOFEM software, contact the authors at the lntermountain Fire Sciences Lab, (406) 329-4800, or P.O. Box 8089, Missoula, MT 59807. You may order additional copies of this publication by sending your mailing information in label form through one of the following media. Please specify the publication title and General Technical Report number. Telephone (801) 625-5437 DG message Pubs:S22A FAX (801) 625-5129, Attn: Publications","author":[{"dropping-particle":"","family":"Reinhardt","given":"Elizabeth D.","non-dropping-particle":"","parse-names":false,"suffix":""},{"dropping-particle":"","family":"Keane","given":"Robert E.","non-dropping-particle":"","parse-names":false,"suffix":""},{"dropping-particle":"","family":"Brown","given":"James K.","non-dropping-particle":"","parse-names":false,"suffix":""}],"container-title":"Gen. Tech. Rep. INT-GTR-344. Ogden, UT: U.S. Department of Agriculture, Forest Service, Intermountain Research Station. 65 p.","id":"ITEM-1","issued":{"date-parts":[["1997"]]},"title":"First Order Fire Effects Model: FOFEM 4.0, user's guide","type":"article-journal","volume":"344"},"uris":["http://www.mendeley.com/documents/?uuid=2df6302f-f6c9-322d-9079-2d3eafb74eef"]}],"mendeley":{"formattedCitation":"(Reinhardt et al. 1997)","plainTextFormattedCitation":"(Reinhardt et al. 1997)","previouslyFormattedCitation":"(Reinhardt et al. 1997)"},"properties":{"noteIndex":0},"schema":"https://github.com/citation-style-language/schema/raw/master/csl-citation.json"}</w:instrText>
      </w:r>
      <w:r w:rsidR="00510D01">
        <w:rPr>
          <w:rFonts w:ascii="Times New Roman" w:hAnsi="Times New Roman" w:cs="Times New Roman"/>
          <w:sz w:val="24"/>
          <w:szCs w:val="24"/>
        </w:rPr>
        <w:fldChar w:fldCharType="separate"/>
      </w:r>
      <w:r w:rsidR="00510D01" w:rsidRPr="00510D01">
        <w:rPr>
          <w:rFonts w:ascii="Times New Roman" w:hAnsi="Times New Roman" w:cs="Times New Roman"/>
          <w:noProof/>
          <w:sz w:val="24"/>
          <w:szCs w:val="24"/>
        </w:rPr>
        <w:t>(Reinhardt et al. 1997)</w:t>
      </w:r>
      <w:r w:rsidR="00510D01">
        <w:rPr>
          <w:rFonts w:ascii="Times New Roman" w:hAnsi="Times New Roman" w:cs="Times New Roman"/>
          <w:sz w:val="24"/>
          <w:szCs w:val="24"/>
        </w:rPr>
        <w:fldChar w:fldCharType="end"/>
      </w:r>
      <w:r w:rsidR="008543E3">
        <w:rPr>
          <w:rFonts w:ascii="Times New Roman" w:hAnsi="Times New Roman" w:cs="Times New Roman"/>
          <w:sz w:val="24"/>
          <w:szCs w:val="24"/>
        </w:rPr>
        <w:t xml:space="preserve"> to model potential tree mortality in a wildfire.</w:t>
      </w:r>
      <w:r w:rsidR="00BE5B1E">
        <w:rPr>
          <w:rFonts w:ascii="Times New Roman" w:hAnsi="Times New Roman" w:cs="Times New Roman"/>
          <w:sz w:val="24"/>
          <w:szCs w:val="24"/>
        </w:rPr>
        <w:t xml:space="preserve">  All fire and mortality modelling </w:t>
      </w:r>
      <w:proofErr w:type="gramStart"/>
      <w:r w:rsidR="00BE5B1E">
        <w:rPr>
          <w:rFonts w:ascii="Times New Roman" w:hAnsi="Times New Roman" w:cs="Times New Roman"/>
          <w:sz w:val="24"/>
          <w:szCs w:val="24"/>
        </w:rPr>
        <w:t>was</w:t>
      </w:r>
      <w:proofErr w:type="gramEnd"/>
      <w:r w:rsidR="00BE5B1E">
        <w:rPr>
          <w:rFonts w:ascii="Times New Roman" w:hAnsi="Times New Roman" w:cs="Times New Roman"/>
          <w:sz w:val="24"/>
          <w:szCs w:val="24"/>
        </w:rPr>
        <w:t xml:space="preserve"> done on the plot level, to allow assessment of variability in response within replicate units and treatment categories.</w:t>
      </w:r>
      <w:r w:rsidR="008543E3">
        <w:rPr>
          <w:rFonts w:ascii="Times New Roman" w:hAnsi="Times New Roman" w:cs="Times New Roman"/>
          <w:sz w:val="24"/>
          <w:szCs w:val="24"/>
        </w:rPr>
        <w:t xml:space="preserve">  Fuel moisture and weather parameters were </w:t>
      </w:r>
      <w:r w:rsidR="00C418D7">
        <w:rPr>
          <w:rFonts w:ascii="Times New Roman" w:hAnsi="Times New Roman" w:cs="Times New Roman"/>
          <w:sz w:val="24"/>
          <w:szCs w:val="24"/>
        </w:rPr>
        <w:t>gathered in Fire Family Plus</w:t>
      </w:r>
      <w:r w:rsidR="00510D01">
        <w:rPr>
          <w:rFonts w:ascii="Times New Roman" w:hAnsi="Times New Roman" w:cs="Times New Roman"/>
          <w:sz w:val="24"/>
          <w:szCs w:val="24"/>
        </w:rPr>
        <w:t xml:space="preserve"> </w:t>
      </w:r>
      <w:r w:rsidR="00510D01">
        <w:rPr>
          <w:rFonts w:ascii="Times New Roman" w:hAnsi="Times New Roman" w:cs="Times New Roman"/>
          <w:sz w:val="24"/>
          <w:szCs w:val="24"/>
        </w:rPr>
        <w:fldChar w:fldCharType="begin" w:fldLock="1"/>
      </w:r>
      <w:r w:rsidR="004E66CC">
        <w:rPr>
          <w:rFonts w:ascii="Times New Roman" w:hAnsi="Times New Roman" w:cs="Times New Roman"/>
          <w:sz w:val="24"/>
          <w:szCs w:val="24"/>
        </w:rPr>
        <w:instrText>ADDIN CSL_CITATION {"citationItems":[{"id":"ITEM-1","itemData":{"DOI":"10.2737/RMRS-GTR-67","author":[{"dropping-particle":"","family":"Bradshaw","given":"Larry","non-dropping-particle":"","parse-names":false,"suffix":""},{"dropping-particle":"","family":"McCormick","given":"Erin","non-dropping-particle":"","parse-names":false,"suffix":""}],"container-title":"Gen. Tech. Rep. RMRS-GTR-67. Ogden, UT: U.S. Department of Agriculture, Forest Service, Rocky Mountain Research Station.","id":"ITEM-1","issued":{"date-parts":[["2000"]]},"title":"FireFamily Plus user's guide, Version 2.0","type":"article-journal","volume":"67"},"uris":["http://www.mendeley.com/documents/?uuid=f37099cd-0d33-3ada-8c51-3d8e66d17952"]}],"mendeley":{"formattedCitation":"(Bradshaw and McCormick 2000)","plainTextFormattedCitation":"(Bradshaw and McCormick 2000)","previouslyFormattedCitation":"(Bradshaw and McCormick 2000)"},"properties":{"noteIndex":0},"schema":"https://github.com/citation-style-language/schema/raw/master/csl-citation.json"}</w:instrText>
      </w:r>
      <w:r w:rsidR="00510D01">
        <w:rPr>
          <w:rFonts w:ascii="Times New Roman" w:hAnsi="Times New Roman" w:cs="Times New Roman"/>
          <w:sz w:val="24"/>
          <w:szCs w:val="24"/>
        </w:rPr>
        <w:fldChar w:fldCharType="separate"/>
      </w:r>
      <w:r w:rsidR="00510D01" w:rsidRPr="00510D01">
        <w:rPr>
          <w:rFonts w:ascii="Times New Roman" w:hAnsi="Times New Roman" w:cs="Times New Roman"/>
          <w:noProof/>
          <w:sz w:val="24"/>
          <w:szCs w:val="24"/>
        </w:rPr>
        <w:t>(Bradshaw and McCormick 2000)</w:t>
      </w:r>
      <w:r w:rsidR="00510D01">
        <w:rPr>
          <w:rFonts w:ascii="Times New Roman" w:hAnsi="Times New Roman" w:cs="Times New Roman"/>
          <w:sz w:val="24"/>
          <w:szCs w:val="24"/>
        </w:rPr>
        <w:fldChar w:fldCharType="end"/>
      </w:r>
      <w:r w:rsidR="00C418D7">
        <w:rPr>
          <w:rFonts w:ascii="Times New Roman" w:hAnsi="Times New Roman" w:cs="Times New Roman"/>
          <w:sz w:val="24"/>
          <w:szCs w:val="24"/>
        </w:rPr>
        <w:t>,</w:t>
      </w:r>
      <w:r w:rsidR="008543E3">
        <w:rPr>
          <w:rFonts w:ascii="Times New Roman" w:hAnsi="Times New Roman" w:cs="Times New Roman"/>
          <w:sz w:val="24"/>
          <w:szCs w:val="24"/>
        </w:rPr>
        <w:t xml:space="preserve"> </w:t>
      </w:r>
      <w:r w:rsidR="00C418D7">
        <w:rPr>
          <w:rFonts w:ascii="Times New Roman" w:hAnsi="Times New Roman" w:cs="Times New Roman"/>
          <w:sz w:val="24"/>
          <w:szCs w:val="24"/>
        </w:rPr>
        <w:t>and reflect</w:t>
      </w:r>
      <w:r w:rsidR="008543E3">
        <w:rPr>
          <w:rFonts w:ascii="Times New Roman" w:hAnsi="Times New Roman" w:cs="Times New Roman"/>
          <w:sz w:val="24"/>
          <w:szCs w:val="24"/>
        </w:rPr>
        <w:t xml:space="preserve"> 80</w:t>
      </w:r>
      <w:r w:rsidR="008543E3" w:rsidRPr="008543E3">
        <w:rPr>
          <w:rFonts w:ascii="Times New Roman" w:hAnsi="Times New Roman" w:cs="Times New Roman"/>
          <w:sz w:val="24"/>
          <w:szCs w:val="24"/>
          <w:vertAlign w:val="superscript"/>
        </w:rPr>
        <w:t>th</w:t>
      </w:r>
      <w:r w:rsidR="008543E3">
        <w:rPr>
          <w:rFonts w:ascii="Times New Roman" w:hAnsi="Times New Roman" w:cs="Times New Roman"/>
          <w:sz w:val="24"/>
          <w:szCs w:val="24"/>
        </w:rPr>
        <w:t xml:space="preserve"> percentile fire weather </w:t>
      </w:r>
      <w:r w:rsidR="00C418D7">
        <w:rPr>
          <w:rFonts w:ascii="Times New Roman" w:hAnsi="Times New Roman" w:cs="Times New Roman"/>
          <w:sz w:val="24"/>
          <w:szCs w:val="24"/>
        </w:rPr>
        <w:t>conditions</w:t>
      </w:r>
      <w:r w:rsidR="008543E3">
        <w:rPr>
          <w:rFonts w:ascii="Times New Roman" w:hAnsi="Times New Roman" w:cs="Times New Roman"/>
          <w:sz w:val="24"/>
          <w:szCs w:val="24"/>
        </w:rPr>
        <w:t xml:space="preserve"> for</w:t>
      </w:r>
      <w:r w:rsidR="00C418D7">
        <w:rPr>
          <w:rFonts w:ascii="Times New Roman" w:hAnsi="Times New Roman" w:cs="Times New Roman"/>
          <w:sz w:val="24"/>
          <w:szCs w:val="24"/>
        </w:rPr>
        <w:t xml:space="preserve"> the fire season</w:t>
      </w:r>
      <w:r w:rsidR="00846B08">
        <w:rPr>
          <w:rFonts w:ascii="Times New Roman" w:hAnsi="Times New Roman" w:cs="Times New Roman"/>
          <w:sz w:val="24"/>
          <w:szCs w:val="24"/>
        </w:rPr>
        <w:t>s</w:t>
      </w:r>
      <w:r w:rsidR="008543E3">
        <w:rPr>
          <w:rFonts w:ascii="Times New Roman" w:hAnsi="Times New Roman" w:cs="Times New Roman"/>
          <w:sz w:val="24"/>
          <w:szCs w:val="24"/>
        </w:rPr>
        <w:t xml:space="preserve"> </w:t>
      </w:r>
      <w:r w:rsidR="00C418D7">
        <w:rPr>
          <w:rFonts w:ascii="Times New Roman" w:hAnsi="Times New Roman" w:cs="Times New Roman"/>
          <w:sz w:val="24"/>
          <w:szCs w:val="24"/>
        </w:rPr>
        <w:t>(</w:t>
      </w:r>
      <w:r w:rsidR="008543E3">
        <w:rPr>
          <w:rFonts w:ascii="Times New Roman" w:hAnsi="Times New Roman" w:cs="Times New Roman"/>
          <w:sz w:val="24"/>
          <w:szCs w:val="24"/>
        </w:rPr>
        <w:t>June 15 – September 15</w:t>
      </w:r>
      <w:r w:rsidR="00C418D7">
        <w:rPr>
          <w:rFonts w:ascii="Times New Roman" w:hAnsi="Times New Roman" w:cs="Times New Roman"/>
          <w:sz w:val="24"/>
          <w:szCs w:val="24"/>
        </w:rPr>
        <w:t>) of</w:t>
      </w:r>
      <w:r w:rsidR="008543E3">
        <w:rPr>
          <w:rFonts w:ascii="Times New Roman" w:hAnsi="Times New Roman" w:cs="Times New Roman"/>
          <w:sz w:val="24"/>
          <w:szCs w:val="24"/>
        </w:rPr>
        <w:t xml:space="preserve"> 2002 through 2017, for two </w:t>
      </w:r>
      <w:r w:rsidR="00510D01">
        <w:rPr>
          <w:rFonts w:ascii="Times New Roman" w:hAnsi="Times New Roman" w:cs="Times New Roman"/>
          <w:sz w:val="24"/>
          <w:szCs w:val="24"/>
        </w:rPr>
        <w:t>Remote Automatic Weather Stations</w:t>
      </w:r>
      <w:r w:rsidR="008543E3">
        <w:rPr>
          <w:rFonts w:ascii="Times New Roman" w:hAnsi="Times New Roman" w:cs="Times New Roman"/>
          <w:sz w:val="24"/>
          <w:szCs w:val="24"/>
        </w:rPr>
        <w:t xml:space="preserve"> near the Mission Creek Site (</w:t>
      </w:r>
      <w:proofErr w:type="spellStart"/>
      <w:r w:rsidR="008543E3">
        <w:rPr>
          <w:rFonts w:ascii="Times New Roman" w:hAnsi="Times New Roman" w:cs="Times New Roman"/>
          <w:sz w:val="24"/>
          <w:szCs w:val="24"/>
        </w:rPr>
        <w:t>Swauk</w:t>
      </w:r>
      <w:proofErr w:type="spellEnd"/>
      <w:r w:rsidR="008543E3">
        <w:rPr>
          <w:rFonts w:ascii="Times New Roman" w:hAnsi="Times New Roman" w:cs="Times New Roman"/>
          <w:sz w:val="24"/>
          <w:szCs w:val="24"/>
        </w:rPr>
        <w:t xml:space="preserve"> and Dry Creek).  </w:t>
      </w:r>
      <w:r w:rsidR="00642BC5">
        <w:rPr>
          <w:rFonts w:ascii="Times New Roman" w:hAnsi="Times New Roman" w:cs="Times New Roman"/>
          <w:sz w:val="24"/>
          <w:szCs w:val="24"/>
        </w:rPr>
        <w:t>I input measured surface fuel loads into FVS-FFE.  I</w:t>
      </w:r>
      <w:r w:rsidR="00BE5B1E">
        <w:rPr>
          <w:rFonts w:ascii="Times New Roman" w:hAnsi="Times New Roman" w:cs="Times New Roman"/>
          <w:sz w:val="24"/>
          <w:szCs w:val="24"/>
        </w:rPr>
        <w:t xml:space="preserve"> allowed</w:t>
      </w:r>
      <w:r w:rsidR="00642BC5">
        <w:rPr>
          <w:rFonts w:ascii="Times New Roman" w:hAnsi="Times New Roman" w:cs="Times New Roman"/>
          <w:sz w:val="24"/>
          <w:szCs w:val="24"/>
        </w:rPr>
        <w:t xml:space="preserve"> </w:t>
      </w:r>
      <w:r w:rsidR="00846B08">
        <w:rPr>
          <w:rFonts w:ascii="Times New Roman" w:hAnsi="Times New Roman" w:cs="Times New Roman"/>
          <w:sz w:val="24"/>
          <w:szCs w:val="24"/>
        </w:rPr>
        <w:t>FVS-FFE to</w:t>
      </w:r>
      <w:r w:rsidR="00642BC5">
        <w:rPr>
          <w:rFonts w:ascii="Times New Roman" w:hAnsi="Times New Roman" w:cs="Times New Roman"/>
          <w:sz w:val="24"/>
          <w:szCs w:val="24"/>
        </w:rPr>
        <w:t xml:space="preserve"> choose the fuel model</w:t>
      </w:r>
      <w:r w:rsidR="00846B08">
        <w:rPr>
          <w:rFonts w:ascii="Times New Roman" w:hAnsi="Times New Roman" w:cs="Times New Roman"/>
          <w:sz w:val="24"/>
          <w:szCs w:val="24"/>
        </w:rPr>
        <w:t xml:space="preserve"> based on stand structural data</w:t>
      </w:r>
      <w:r w:rsidR="00BE5B1E">
        <w:rPr>
          <w:rFonts w:ascii="Times New Roman" w:hAnsi="Times New Roman" w:cs="Times New Roman"/>
          <w:sz w:val="24"/>
          <w:szCs w:val="24"/>
        </w:rPr>
        <w:t>,</w:t>
      </w:r>
      <w:r w:rsidR="00642BC5">
        <w:rPr>
          <w:rFonts w:ascii="Times New Roman" w:hAnsi="Times New Roman" w:cs="Times New Roman"/>
          <w:sz w:val="24"/>
          <w:szCs w:val="24"/>
        </w:rPr>
        <w:t xml:space="preserve"> because of</w:t>
      </w:r>
      <w:r w:rsidR="00BE5B1E">
        <w:rPr>
          <w:rFonts w:ascii="Times New Roman" w:hAnsi="Times New Roman" w:cs="Times New Roman"/>
          <w:sz w:val="24"/>
          <w:szCs w:val="24"/>
        </w:rPr>
        <w:t xml:space="preserve"> suspected</w:t>
      </w:r>
      <w:r w:rsidR="00642BC5">
        <w:rPr>
          <w:rFonts w:ascii="Times New Roman" w:hAnsi="Times New Roman" w:cs="Times New Roman"/>
          <w:sz w:val="24"/>
          <w:szCs w:val="24"/>
        </w:rPr>
        <w:t xml:space="preserve"> differences in fuel model assignments between the pretreatment and </w:t>
      </w:r>
      <w:proofErr w:type="spellStart"/>
      <w:r w:rsidR="00642BC5">
        <w:rPr>
          <w:rFonts w:ascii="Times New Roman" w:hAnsi="Times New Roman" w:cs="Times New Roman"/>
          <w:sz w:val="24"/>
          <w:szCs w:val="24"/>
        </w:rPr>
        <w:t>longterm</w:t>
      </w:r>
      <w:proofErr w:type="spellEnd"/>
      <w:r w:rsidR="00642BC5">
        <w:rPr>
          <w:rFonts w:ascii="Times New Roman" w:hAnsi="Times New Roman" w:cs="Times New Roman"/>
          <w:sz w:val="24"/>
          <w:szCs w:val="24"/>
        </w:rPr>
        <w:t xml:space="preserve"> field crews</w:t>
      </w:r>
      <w:r w:rsidR="00BE5B1E">
        <w:rPr>
          <w:rFonts w:ascii="Times New Roman" w:hAnsi="Times New Roman" w:cs="Times New Roman"/>
          <w:sz w:val="24"/>
          <w:szCs w:val="24"/>
        </w:rPr>
        <w:t xml:space="preserve">.  The surface flame height from FVS-FFE was input into FOFEM along with tree species, diameter, </w:t>
      </w:r>
      <w:r w:rsidR="00BE5B1E">
        <w:rPr>
          <w:rFonts w:ascii="Times New Roman" w:hAnsi="Times New Roman" w:cs="Times New Roman"/>
          <w:sz w:val="24"/>
          <w:szCs w:val="24"/>
        </w:rPr>
        <w:lastRenderedPageBreak/>
        <w:t xml:space="preserve">height, and canopy base height information, to model tree mortality by basal area and by density.  </w:t>
      </w:r>
      <w:r w:rsidR="00DE3424">
        <w:rPr>
          <w:rFonts w:ascii="Times New Roman" w:hAnsi="Times New Roman" w:cs="Times New Roman"/>
          <w:sz w:val="24"/>
          <w:szCs w:val="24"/>
        </w:rPr>
        <w:t>The FVS-FFE and FOFEM model outputs were added to the field collected fuel and stand structure data, to serve as response variables in multivariate analyses</w:t>
      </w:r>
      <w:r w:rsidR="004E66CC">
        <w:rPr>
          <w:rFonts w:ascii="Times New Roman" w:hAnsi="Times New Roman" w:cs="Times New Roman"/>
          <w:sz w:val="24"/>
          <w:szCs w:val="24"/>
        </w:rPr>
        <w:t xml:space="preserve"> (see metadata for full list of response variables)</w:t>
      </w:r>
      <w:r w:rsidR="00DE3424">
        <w:rPr>
          <w:rFonts w:ascii="Times New Roman" w:hAnsi="Times New Roman" w:cs="Times New Roman"/>
          <w:sz w:val="24"/>
          <w:szCs w:val="24"/>
        </w:rPr>
        <w:t xml:space="preserve">. </w:t>
      </w:r>
    </w:p>
    <w:p w14:paraId="2F680E85" w14:textId="77777777" w:rsidR="00193086" w:rsidRDefault="00193086" w:rsidP="000D0D8B">
      <w:pPr>
        <w:spacing w:after="0" w:line="480" w:lineRule="auto"/>
        <w:rPr>
          <w:rFonts w:ascii="Times New Roman" w:hAnsi="Times New Roman" w:cs="Times New Roman"/>
          <w:i/>
          <w:iCs/>
          <w:sz w:val="24"/>
          <w:szCs w:val="24"/>
        </w:rPr>
      </w:pPr>
    </w:p>
    <w:p w14:paraId="4601C3DB" w14:textId="011747F6" w:rsidR="00193086" w:rsidRDefault="00193086" w:rsidP="000D0D8B">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 xml:space="preserve">Statistical </w:t>
      </w:r>
      <w:r w:rsidR="00354B77">
        <w:rPr>
          <w:rFonts w:ascii="Times New Roman" w:hAnsi="Times New Roman" w:cs="Times New Roman"/>
          <w:i/>
          <w:iCs/>
          <w:sz w:val="24"/>
          <w:szCs w:val="24"/>
        </w:rPr>
        <w:t>methods</w:t>
      </w:r>
    </w:p>
    <w:p w14:paraId="18A1E7D1" w14:textId="27425B6C" w:rsidR="00C05AE2" w:rsidRPr="0095696B" w:rsidRDefault="0095696B" w:rsidP="000D0D8B">
      <w:pPr>
        <w:spacing w:after="0" w:line="480" w:lineRule="auto"/>
        <w:rPr>
          <w:rFonts w:ascii="Times New Roman" w:hAnsi="Times New Roman" w:cs="Times New Roman"/>
          <w:sz w:val="24"/>
          <w:szCs w:val="24"/>
        </w:rPr>
      </w:pPr>
      <w:r>
        <w:rPr>
          <w:rFonts w:ascii="Times New Roman" w:hAnsi="Times New Roman" w:cs="Times New Roman"/>
          <w:i/>
          <w:iCs/>
          <w:sz w:val="24"/>
          <w:szCs w:val="24"/>
        </w:rPr>
        <w:tab/>
      </w:r>
      <w:r w:rsidR="005F0D59">
        <w:rPr>
          <w:rFonts w:ascii="Times New Roman" w:hAnsi="Times New Roman" w:cs="Times New Roman"/>
          <w:sz w:val="24"/>
          <w:szCs w:val="24"/>
        </w:rPr>
        <w:t xml:space="preserve">All data manipulation and analyses were conducted with the R statistical software, version 4.1.2.  </w:t>
      </w:r>
      <w:r>
        <w:rPr>
          <w:rFonts w:ascii="Times New Roman" w:hAnsi="Times New Roman" w:cs="Times New Roman"/>
          <w:sz w:val="24"/>
          <w:szCs w:val="24"/>
        </w:rPr>
        <w:t>For all analyses, all variables were relativized by maximum to account for the different units and scales of measurement of the response variables</w:t>
      </w:r>
      <w:r w:rsidR="004B2773">
        <w:rPr>
          <w:rFonts w:ascii="Times New Roman" w:hAnsi="Times New Roman" w:cs="Times New Roman"/>
          <w:sz w:val="24"/>
          <w:szCs w:val="24"/>
        </w:rPr>
        <w:t>, which were all on continuous and positive (or 0) scales</w:t>
      </w:r>
      <w:r>
        <w:rPr>
          <w:rFonts w:ascii="Times New Roman" w:hAnsi="Times New Roman" w:cs="Times New Roman"/>
          <w:sz w:val="24"/>
          <w:szCs w:val="24"/>
        </w:rPr>
        <w:t xml:space="preserve">.  The pretreatment and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data were relativized together, so that </w:t>
      </w:r>
      <w:r w:rsidR="004B2773">
        <w:rPr>
          <w:rFonts w:ascii="Times New Roman" w:hAnsi="Times New Roman" w:cs="Times New Roman"/>
          <w:sz w:val="24"/>
          <w:szCs w:val="24"/>
        </w:rPr>
        <w:t xml:space="preserve">relativized variables would have the same meaning in absolute terms for both the pretreatment and </w:t>
      </w:r>
      <w:proofErr w:type="spellStart"/>
      <w:r w:rsidR="004B2773">
        <w:rPr>
          <w:rFonts w:ascii="Times New Roman" w:hAnsi="Times New Roman" w:cs="Times New Roman"/>
          <w:sz w:val="24"/>
          <w:szCs w:val="24"/>
        </w:rPr>
        <w:t>longterm</w:t>
      </w:r>
      <w:proofErr w:type="spellEnd"/>
      <w:r w:rsidR="004B2773">
        <w:rPr>
          <w:rFonts w:ascii="Times New Roman" w:hAnsi="Times New Roman" w:cs="Times New Roman"/>
          <w:sz w:val="24"/>
          <w:szCs w:val="24"/>
        </w:rPr>
        <w:t xml:space="preserve"> sampling periods.  This </w:t>
      </w:r>
      <w:r w:rsidR="004B6C68">
        <w:rPr>
          <w:rFonts w:ascii="Times New Roman" w:hAnsi="Times New Roman" w:cs="Times New Roman"/>
          <w:sz w:val="24"/>
          <w:szCs w:val="24"/>
        </w:rPr>
        <w:t xml:space="preserve">will </w:t>
      </w:r>
      <w:r w:rsidR="004B2773">
        <w:rPr>
          <w:rFonts w:ascii="Times New Roman" w:hAnsi="Times New Roman" w:cs="Times New Roman"/>
          <w:sz w:val="24"/>
          <w:szCs w:val="24"/>
        </w:rPr>
        <w:t xml:space="preserve">not affect patterns within a single response variable within a given sample </w:t>
      </w:r>
      <w:proofErr w:type="gramStart"/>
      <w:r w:rsidR="004B2773">
        <w:rPr>
          <w:rFonts w:ascii="Times New Roman" w:hAnsi="Times New Roman" w:cs="Times New Roman"/>
          <w:sz w:val="24"/>
          <w:szCs w:val="24"/>
        </w:rPr>
        <w:t>period, bu</w:t>
      </w:r>
      <w:r w:rsidR="00C05AE2">
        <w:rPr>
          <w:rFonts w:ascii="Times New Roman" w:hAnsi="Times New Roman" w:cs="Times New Roman"/>
          <w:sz w:val="24"/>
          <w:szCs w:val="24"/>
        </w:rPr>
        <w:t>t</w:t>
      </w:r>
      <w:proofErr w:type="gramEnd"/>
      <w:r w:rsidR="004B2773">
        <w:rPr>
          <w:rFonts w:ascii="Times New Roman" w:hAnsi="Times New Roman" w:cs="Times New Roman"/>
          <w:sz w:val="24"/>
          <w:szCs w:val="24"/>
        </w:rPr>
        <w:t xml:space="preserve"> </w:t>
      </w:r>
      <w:r w:rsidR="004B6C68">
        <w:rPr>
          <w:rFonts w:ascii="Times New Roman" w:hAnsi="Times New Roman" w:cs="Times New Roman"/>
          <w:sz w:val="24"/>
          <w:szCs w:val="24"/>
        </w:rPr>
        <w:t>may have</w:t>
      </w:r>
      <w:r w:rsidR="004B2773">
        <w:rPr>
          <w:rFonts w:ascii="Times New Roman" w:hAnsi="Times New Roman" w:cs="Times New Roman"/>
          <w:sz w:val="24"/>
          <w:szCs w:val="24"/>
        </w:rPr>
        <w:t xml:space="preserve"> affect</w:t>
      </w:r>
      <w:r w:rsidR="004B6C68">
        <w:rPr>
          <w:rFonts w:ascii="Times New Roman" w:hAnsi="Times New Roman" w:cs="Times New Roman"/>
          <w:sz w:val="24"/>
          <w:szCs w:val="24"/>
        </w:rPr>
        <w:t>ed</w:t>
      </w:r>
      <w:r w:rsidR="004B2773">
        <w:rPr>
          <w:rFonts w:ascii="Times New Roman" w:hAnsi="Times New Roman" w:cs="Times New Roman"/>
          <w:sz w:val="24"/>
          <w:szCs w:val="24"/>
        </w:rPr>
        <w:t xml:space="preserve"> the relationships among different response variables within a sampling period.  </w:t>
      </w:r>
    </w:p>
    <w:p w14:paraId="5E8614C0" w14:textId="17A166C3" w:rsidR="004B51B1" w:rsidRDefault="004B51B1" w:rsidP="000D0D8B">
      <w:pPr>
        <w:spacing w:after="0" w:line="48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I used </w:t>
      </w:r>
      <w:r w:rsidR="00F4220C">
        <w:rPr>
          <w:rFonts w:ascii="Times New Roman" w:hAnsi="Times New Roman" w:cs="Times New Roman"/>
          <w:sz w:val="24"/>
          <w:szCs w:val="24"/>
        </w:rPr>
        <w:t>nonmetric m</w:t>
      </w:r>
      <w:r>
        <w:rPr>
          <w:rFonts w:ascii="Times New Roman" w:hAnsi="Times New Roman" w:cs="Times New Roman"/>
          <w:sz w:val="24"/>
          <w:szCs w:val="24"/>
        </w:rPr>
        <w:t>ulti</w:t>
      </w:r>
      <w:r w:rsidR="00F4220C">
        <w:rPr>
          <w:rFonts w:ascii="Times New Roman" w:hAnsi="Times New Roman" w:cs="Times New Roman"/>
          <w:sz w:val="24"/>
          <w:szCs w:val="24"/>
        </w:rPr>
        <w:t>-</w:t>
      </w:r>
      <w:r>
        <w:rPr>
          <w:rFonts w:ascii="Times New Roman" w:hAnsi="Times New Roman" w:cs="Times New Roman"/>
          <w:sz w:val="24"/>
          <w:szCs w:val="24"/>
        </w:rPr>
        <w:t xml:space="preserve">dimensional </w:t>
      </w:r>
      <w:r w:rsidR="00F4220C">
        <w:rPr>
          <w:rFonts w:ascii="Times New Roman" w:hAnsi="Times New Roman" w:cs="Times New Roman"/>
          <w:sz w:val="24"/>
          <w:szCs w:val="24"/>
        </w:rPr>
        <w:t>s</w:t>
      </w:r>
      <w:r>
        <w:rPr>
          <w:rFonts w:ascii="Times New Roman" w:hAnsi="Times New Roman" w:cs="Times New Roman"/>
          <w:sz w:val="24"/>
          <w:szCs w:val="24"/>
        </w:rPr>
        <w:t>caling (NMDS) to assess within</w:t>
      </w:r>
      <w:r w:rsidR="00F4220C">
        <w:rPr>
          <w:rFonts w:ascii="Times New Roman" w:hAnsi="Times New Roman" w:cs="Times New Roman"/>
          <w:sz w:val="24"/>
          <w:szCs w:val="24"/>
        </w:rPr>
        <w:t>-</w:t>
      </w:r>
      <w:r>
        <w:rPr>
          <w:rFonts w:ascii="Times New Roman" w:hAnsi="Times New Roman" w:cs="Times New Roman"/>
          <w:sz w:val="24"/>
          <w:szCs w:val="24"/>
        </w:rPr>
        <w:t xml:space="preserve"> and among</w:t>
      </w:r>
      <w:r w:rsidR="00F4220C">
        <w:rPr>
          <w:rFonts w:ascii="Times New Roman" w:hAnsi="Times New Roman" w:cs="Times New Roman"/>
          <w:sz w:val="24"/>
          <w:szCs w:val="24"/>
        </w:rPr>
        <w:t>-</w:t>
      </w:r>
      <w:r>
        <w:rPr>
          <w:rFonts w:ascii="Times New Roman" w:hAnsi="Times New Roman" w:cs="Times New Roman"/>
          <w:sz w:val="24"/>
          <w:szCs w:val="24"/>
        </w:rPr>
        <w:t xml:space="preserve"> treatment variation in multivariate space, and the effects of treatment on multivariate patterns</w:t>
      </w:r>
      <w:r w:rsidR="001844BA">
        <w:rPr>
          <w:rFonts w:ascii="Times New Roman" w:hAnsi="Times New Roman" w:cs="Times New Roman"/>
          <w:sz w:val="24"/>
          <w:szCs w:val="24"/>
        </w:rPr>
        <w:t xml:space="preserve">.  My NMDS used a Euclidean distance </w:t>
      </w:r>
      <w:proofErr w:type="gramStart"/>
      <w:r w:rsidR="001844BA">
        <w:rPr>
          <w:rFonts w:ascii="Times New Roman" w:hAnsi="Times New Roman" w:cs="Times New Roman"/>
          <w:sz w:val="24"/>
          <w:szCs w:val="24"/>
        </w:rPr>
        <w:t xml:space="preserve">matrix, </w:t>
      </w:r>
      <w:r w:rsidR="001844BA" w:rsidRPr="001844BA">
        <w:rPr>
          <w:rFonts w:ascii="Times New Roman" w:hAnsi="Times New Roman" w:cs="Times New Roman"/>
          <w:sz w:val="24"/>
          <w:szCs w:val="24"/>
        </w:rPr>
        <w:t>because</w:t>
      </w:r>
      <w:proofErr w:type="gramEnd"/>
      <w:r w:rsidR="001844BA" w:rsidRPr="001844BA">
        <w:rPr>
          <w:rFonts w:ascii="Times New Roman" w:hAnsi="Times New Roman" w:cs="Times New Roman"/>
          <w:sz w:val="24"/>
          <w:szCs w:val="24"/>
        </w:rPr>
        <w:t xml:space="preserve"> a</w:t>
      </w:r>
      <w:r w:rsidR="001844BA">
        <w:rPr>
          <w:rFonts w:ascii="Times New Roman" w:hAnsi="Times New Roman" w:cs="Times New Roman"/>
          <w:sz w:val="24"/>
          <w:szCs w:val="24"/>
        </w:rPr>
        <w:t>ll response variables are</w:t>
      </w:r>
      <w:r w:rsidR="001844BA" w:rsidRPr="001844BA">
        <w:rPr>
          <w:rFonts w:ascii="Times New Roman" w:hAnsi="Times New Roman" w:cs="Times New Roman"/>
          <w:sz w:val="24"/>
          <w:szCs w:val="24"/>
        </w:rPr>
        <w:t xml:space="preserve"> continuous and symmetric (shared absences are likely to be meaningful).  </w:t>
      </w:r>
      <w:r w:rsidR="006849D7">
        <w:rPr>
          <w:rFonts w:ascii="Times New Roman" w:hAnsi="Times New Roman" w:cs="Times New Roman"/>
          <w:sz w:val="24"/>
          <w:szCs w:val="24"/>
        </w:rPr>
        <w:t xml:space="preserve">I ran separate NMDS for the two sample periods.  Trial and error showed three axes to be sufficient to reach an acceptable stress value; the pretreatment NMDS would not converge with two axes.  </w:t>
      </w:r>
      <w:r w:rsidR="00464E20">
        <w:rPr>
          <w:rFonts w:ascii="Times New Roman" w:hAnsi="Times New Roman" w:cs="Times New Roman"/>
          <w:sz w:val="24"/>
          <w:szCs w:val="24"/>
        </w:rPr>
        <w:t xml:space="preserve">I assessed multivariate patterns by coloring by treatment, and by plotting species scores onto the ordination.  I assessed change by plotting treatment centroids of both time periods, and by running a Procrustes analysis on the difference between the ordinations of the two time periods.  </w:t>
      </w:r>
    </w:p>
    <w:p w14:paraId="4E75AC6A" w14:textId="55EBBD24" w:rsidR="00F612FA" w:rsidRPr="004B6C68" w:rsidRDefault="00464E20"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 used cluster analyses to assess grouping patterns of plots in relation to replicate unit and spatial distribution.  </w:t>
      </w:r>
      <w:r w:rsidR="00F32825">
        <w:rPr>
          <w:rFonts w:ascii="Times New Roman" w:hAnsi="Times New Roman" w:cs="Times New Roman"/>
          <w:sz w:val="24"/>
          <w:szCs w:val="24"/>
        </w:rPr>
        <w:t xml:space="preserve">The Mission Creek study contains eight replicate units, so initially I divided cluster analysis results into eight groups. </w:t>
      </w:r>
      <w:r w:rsidR="00D94BEC">
        <w:rPr>
          <w:rFonts w:ascii="Times New Roman" w:hAnsi="Times New Roman" w:cs="Times New Roman"/>
          <w:sz w:val="24"/>
          <w:szCs w:val="24"/>
        </w:rPr>
        <w:t xml:space="preserve">To assess the degree of consistency </w:t>
      </w:r>
      <w:r w:rsidR="0064745A">
        <w:rPr>
          <w:rFonts w:ascii="Times New Roman" w:hAnsi="Times New Roman" w:cs="Times New Roman"/>
          <w:sz w:val="24"/>
          <w:szCs w:val="24"/>
        </w:rPr>
        <w:t xml:space="preserve">between different clustering methods, </w:t>
      </w:r>
      <w:r w:rsidR="00F32825">
        <w:rPr>
          <w:rFonts w:ascii="Times New Roman" w:hAnsi="Times New Roman" w:cs="Times New Roman"/>
          <w:sz w:val="24"/>
          <w:szCs w:val="24"/>
        </w:rPr>
        <w:t xml:space="preserve">I used </w:t>
      </w:r>
      <w:r w:rsidR="004B6C68">
        <w:rPr>
          <w:rFonts w:ascii="Times New Roman" w:hAnsi="Times New Roman" w:cs="Times New Roman"/>
          <w:sz w:val="24"/>
          <w:szCs w:val="24"/>
        </w:rPr>
        <w:t>seven</w:t>
      </w:r>
      <w:r w:rsidR="00F32825">
        <w:rPr>
          <w:rFonts w:ascii="Times New Roman" w:hAnsi="Times New Roman" w:cs="Times New Roman"/>
          <w:sz w:val="24"/>
          <w:szCs w:val="24"/>
        </w:rPr>
        <w:t xml:space="preserve"> different techniques to check for consistency between groupings</w:t>
      </w:r>
      <w:r w:rsidR="00F612FA">
        <w:rPr>
          <w:rFonts w:ascii="Times New Roman" w:hAnsi="Times New Roman" w:cs="Times New Roman"/>
          <w:sz w:val="24"/>
          <w:szCs w:val="24"/>
        </w:rPr>
        <w:t xml:space="preserve">: </w:t>
      </w:r>
      <w:r w:rsidR="0064745A">
        <w:rPr>
          <w:rFonts w:ascii="Times New Roman" w:hAnsi="Times New Roman" w:cs="Times New Roman"/>
          <w:sz w:val="24"/>
          <w:szCs w:val="24"/>
        </w:rPr>
        <w:t xml:space="preserve">hierarchical polythetic </w:t>
      </w:r>
      <w:r w:rsidR="00F612FA">
        <w:rPr>
          <w:rFonts w:ascii="Times New Roman" w:hAnsi="Times New Roman" w:cs="Times New Roman"/>
          <w:sz w:val="24"/>
          <w:szCs w:val="24"/>
        </w:rPr>
        <w:t xml:space="preserve">agglomerative clustering with </w:t>
      </w:r>
      <w:r w:rsidR="0064745A">
        <w:rPr>
          <w:rFonts w:ascii="Times New Roman" w:hAnsi="Times New Roman" w:cs="Times New Roman"/>
          <w:sz w:val="24"/>
          <w:szCs w:val="24"/>
        </w:rPr>
        <w:t xml:space="preserve">five different cluster linkage methods (single linkage, complete linkage, centroid linkage, average linkage, and Ward’s method), as well as two different non-hierarchical k-means methods (using function </w:t>
      </w:r>
      <w:proofErr w:type="gramStart"/>
      <w:r w:rsidR="0064745A">
        <w:rPr>
          <w:rFonts w:ascii="Times New Roman" w:hAnsi="Times New Roman" w:cs="Times New Roman"/>
          <w:sz w:val="24"/>
          <w:szCs w:val="24"/>
        </w:rPr>
        <w:t>stats::</w:t>
      </w:r>
      <w:proofErr w:type="spellStart"/>
      <w:proofErr w:type="gramEnd"/>
      <w:r w:rsidR="0064745A">
        <w:rPr>
          <w:rFonts w:ascii="Times New Roman" w:hAnsi="Times New Roman" w:cs="Times New Roman"/>
          <w:sz w:val="24"/>
          <w:szCs w:val="24"/>
        </w:rPr>
        <w:t>kmeans</w:t>
      </w:r>
      <w:proofErr w:type="spellEnd"/>
      <w:r w:rsidR="0064745A">
        <w:rPr>
          <w:rFonts w:ascii="Times New Roman" w:hAnsi="Times New Roman" w:cs="Times New Roman"/>
          <w:sz w:val="24"/>
          <w:szCs w:val="24"/>
        </w:rPr>
        <w:t>() in and cluster::pam() with Euclidean distance)</w:t>
      </w:r>
      <w:r w:rsidR="00F612FA">
        <w:rPr>
          <w:rFonts w:ascii="Times New Roman" w:hAnsi="Times New Roman" w:cs="Times New Roman"/>
          <w:sz w:val="24"/>
          <w:szCs w:val="24"/>
        </w:rPr>
        <w:t xml:space="preserve">.  To visualize the groupings, I produced confusion matrices, which represented what proportion of plots within a given replicate unit (column) fell within a given cluster analysis group (row).  To assess changes between sampling periods, I compared </w:t>
      </w:r>
      <w:r w:rsidR="00E92D63">
        <w:rPr>
          <w:rFonts w:ascii="Times New Roman" w:hAnsi="Times New Roman" w:cs="Times New Roman"/>
          <w:sz w:val="24"/>
          <w:szCs w:val="24"/>
        </w:rPr>
        <w:t xml:space="preserve">these </w:t>
      </w:r>
      <w:r w:rsidR="00F612FA">
        <w:rPr>
          <w:rFonts w:ascii="Times New Roman" w:hAnsi="Times New Roman" w:cs="Times New Roman"/>
          <w:sz w:val="24"/>
          <w:szCs w:val="24"/>
        </w:rPr>
        <w:t xml:space="preserve">confusion matrices </w:t>
      </w:r>
      <w:r w:rsidR="00E92D63">
        <w:rPr>
          <w:rFonts w:ascii="Times New Roman" w:hAnsi="Times New Roman" w:cs="Times New Roman"/>
          <w:sz w:val="24"/>
          <w:szCs w:val="24"/>
        </w:rPr>
        <w:t xml:space="preserve">for the pretreatment sample period and the </w:t>
      </w:r>
      <w:proofErr w:type="spellStart"/>
      <w:r w:rsidR="00E92D63">
        <w:rPr>
          <w:rFonts w:ascii="Times New Roman" w:hAnsi="Times New Roman" w:cs="Times New Roman"/>
          <w:sz w:val="24"/>
          <w:szCs w:val="24"/>
        </w:rPr>
        <w:t>longterm</w:t>
      </w:r>
      <w:proofErr w:type="spellEnd"/>
      <w:r w:rsidR="00E92D63">
        <w:rPr>
          <w:rFonts w:ascii="Times New Roman" w:hAnsi="Times New Roman" w:cs="Times New Roman"/>
          <w:sz w:val="24"/>
          <w:szCs w:val="24"/>
        </w:rPr>
        <w:t xml:space="preserve"> sample period.</w:t>
      </w:r>
      <w:r w:rsidR="004B6C68">
        <w:rPr>
          <w:rFonts w:ascii="Times New Roman" w:hAnsi="Times New Roman" w:cs="Times New Roman"/>
          <w:sz w:val="24"/>
          <w:szCs w:val="24"/>
        </w:rPr>
        <w:t xml:space="preserve">  After the initial analysis weakly suggested the possibility of two distinct geographical clusters of replicate units, I reran all cluster analyses with two clusters and two groups of units </w:t>
      </w:r>
      <w:r w:rsidR="004B6C68">
        <w:rPr>
          <w:rFonts w:ascii="Times New Roman" w:hAnsi="Times New Roman" w:cs="Times New Roman"/>
          <w:i/>
          <w:iCs/>
          <w:sz w:val="24"/>
          <w:szCs w:val="24"/>
        </w:rPr>
        <w:t>a posteriori</w:t>
      </w:r>
      <w:r w:rsidR="004B6C68">
        <w:rPr>
          <w:rFonts w:ascii="Times New Roman" w:hAnsi="Times New Roman" w:cs="Times New Roman"/>
          <w:sz w:val="24"/>
          <w:szCs w:val="24"/>
        </w:rPr>
        <w:t>,</w:t>
      </w:r>
    </w:p>
    <w:p w14:paraId="0AB57AD7" w14:textId="7EBAB38D" w:rsidR="00193086" w:rsidRDefault="00E92D63"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I used princip</w:t>
      </w:r>
      <w:r w:rsidR="004B6C68">
        <w:rPr>
          <w:rFonts w:ascii="Times New Roman" w:hAnsi="Times New Roman" w:cs="Times New Roman"/>
          <w:sz w:val="24"/>
          <w:szCs w:val="24"/>
        </w:rPr>
        <w:t>al</w:t>
      </w:r>
      <w:r>
        <w:rPr>
          <w:rFonts w:ascii="Times New Roman" w:hAnsi="Times New Roman" w:cs="Times New Roman"/>
          <w:sz w:val="24"/>
          <w:szCs w:val="24"/>
        </w:rPr>
        <w:t xml:space="preserve"> components analysis (PCA) to assess possibilities for response variable reduction.</w:t>
      </w:r>
      <w:r w:rsidR="00D94BEC">
        <w:rPr>
          <w:rFonts w:ascii="Times New Roman" w:hAnsi="Times New Roman" w:cs="Times New Roman"/>
          <w:sz w:val="24"/>
          <w:szCs w:val="24"/>
        </w:rPr>
        <w:t xml:space="preserve">  I used response variables from both sample periods in a single ordination, because the goal of the PCA was to assess relationships among variables, not to assess temporal patterns in ordination space as I did with the NMDS.</w:t>
      </w:r>
      <w:r w:rsidR="00F4220C">
        <w:rPr>
          <w:rFonts w:ascii="Times New Roman" w:hAnsi="Times New Roman" w:cs="Times New Roman"/>
          <w:sz w:val="24"/>
          <w:szCs w:val="24"/>
        </w:rPr>
        <w:t xml:space="preserve">  I attempted</w:t>
      </w:r>
      <w:r w:rsidR="00EC666A">
        <w:rPr>
          <w:rFonts w:ascii="Times New Roman" w:hAnsi="Times New Roman" w:cs="Times New Roman"/>
          <w:sz w:val="24"/>
          <w:szCs w:val="24"/>
        </w:rPr>
        <w:t xml:space="preserve"> log, square root, and/or squared</w:t>
      </w:r>
      <w:r w:rsidR="00F4220C">
        <w:rPr>
          <w:rFonts w:ascii="Times New Roman" w:hAnsi="Times New Roman" w:cs="Times New Roman"/>
          <w:sz w:val="24"/>
          <w:szCs w:val="24"/>
        </w:rPr>
        <w:t xml:space="preserve"> transformations of some response variables, as there are both right and left skewed</w:t>
      </w:r>
      <w:r w:rsidR="00D94BEC">
        <w:rPr>
          <w:rFonts w:ascii="Times New Roman" w:hAnsi="Times New Roman" w:cs="Times New Roman"/>
          <w:sz w:val="24"/>
          <w:szCs w:val="24"/>
        </w:rPr>
        <w:t xml:space="preserve"> distributions</w:t>
      </w:r>
      <w:r w:rsidR="00EC666A">
        <w:rPr>
          <w:rFonts w:ascii="Times New Roman" w:hAnsi="Times New Roman" w:cs="Times New Roman"/>
          <w:sz w:val="24"/>
          <w:szCs w:val="24"/>
        </w:rPr>
        <w:t>.  However, these transformations often produced distributions that were skewed and/or discontinuous</w:t>
      </w:r>
      <w:r w:rsidR="005120F4">
        <w:rPr>
          <w:rFonts w:ascii="Times New Roman" w:hAnsi="Times New Roman" w:cs="Times New Roman"/>
          <w:sz w:val="24"/>
          <w:szCs w:val="24"/>
        </w:rPr>
        <w:t>, appearing farther from normality assumptions than the untransformed distributions</w:t>
      </w:r>
      <w:r w:rsidR="00EC666A">
        <w:rPr>
          <w:rFonts w:ascii="Times New Roman" w:hAnsi="Times New Roman" w:cs="Times New Roman"/>
          <w:sz w:val="24"/>
          <w:szCs w:val="24"/>
        </w:rPr>
        <w:t>.  Therefore</w:t>
      </w:r>
      <w:r w:rsidR="005120F4">
        <w:rPr>
          <w:rFonts w:ascii="Times New Roman" w:hAnsi="Times New Roman" w:cs="Times New Roman"/>
          <w:sz w:val="24"/>
          <w:szCs w:val="24"/>
        </w:rPr>
        <w:t>,</w:t>
      </w:r>
      <w:r w:rsidR="00EC666A">
        <w:rPr>
          <w:rFonts w:ascii="Times New Roman" w:hAnsi="Times New Roman" w:cs="Times New Roman"/>
          <w:sz w:val="24"/>
          <w:szCs w:val="24"/>
        </w:rPr>
        <w:t xml:space="preserve"> I elected not to transform any response variables, and the results must be taken with caution due to some violation of normality assumptions. </w:t>
      </w:r>
      <w:r w:rsidR="005120F4">
        <w:rPr>
          <w:rFonts w:ascii="Times New Roman" w:hAnsi="Times New Roman" w:cs="Times New Roman"/>
          <w:sz w:val="24"/>
          <w:szCs w:val="24"/>
        </w:rPr>
        <w:t xml:space="preserve"> For interpretation, I </w:t>
      </w:r>
      <w:r w:rsidR="005120F4">
        <w:rPr>
          <w:rFonts w:ascii="Times New Roman" w:hAnsi="Times New Roman" w:cs="Times New Roman"/>
          <w:sz w:val="24"/>
          <w:szCs w:val="24"/>
        </w:rPr>
        <w:lastRenderedPageBreak/>
        <w:t>plotted the loadings of the first three</w:t>
      </w:r>
      <w:r w:rsidR="00D94BEC">
        <w:rPr>
          <w:rFonts w:ascii="Times New Roman" w:hAnsi="Times New Roman" w:cs="Times New Roman"/>
          <w:sz w:val="24"/>
          <w:szCs w:val="24"/>
        </w:rPr>
        <w:t xml:space="preserve"> princip</w:t>
      </w:r>
      <w:r w:rsidR="004B6C68">
        <w:rPr>
          <w:rFonts w:ascii="Times New Roman" w:hAnsi="Times New Roman" w:cs="Times New Roman"/>
          <w:sz w:val="24"/>
          <w:szCs w:val="24"/>
        </w:rPr>
        <w:t>al</w:t>
      </w:r>
      <w:r w:rsidR="00D94BEC">
        <w:rPr>
          <w:rFonts w:ascii="Times New Roman" w:hAnsi="Times New Roman" w:cs="Times New Roman"/>
          <w:sz w:val="24"/>
          <w:szCs w:val="24"/>
        </w:rPr>
        <w:t xml:space="preserve"> </w:t>
      </w:r>
      <w:proofErr w:type="gramStart"/>
      <w:r w:rsidR="00D94BEC">
        <w:rPr>
          <w:rFonts w:ascii="Times New Roman" w:hAnsi="Times New Roman" w:cs="Times New Roman"/>
          <w:sz w:val="24"/>
          <w:szCs w:val="24"/>
        </w:rPr>
        <w:t>components, and</w:t>
      </w:r>
      <w:proofErr w:type="gramEnd"/>
      <w:r w:rsidR="00D94BEC">
        <w:rPr>
          <w:rFonts w:ascii="Times New Roman" w:hAnsi="Times New Roman" w:cs="Times New Roman"/>
          <w:sz w:val="24"/>
          <w:szCs w:val="24"/>
        </w:rPr>
        <w:t xml:space="preserve"> created a table listing all response variables that displayed a correlation stronger than 0.3 or -0.3 with one of the first three principle components.  </w:t>
      </w:r>
      <w:r w:rsidR="00860198">
        <w:rPr>
          <w:rFonts w:ascii="Times New Roman" w:hAnsi="Times New Roman" w:cs="Times New Roman"/>
          <w:sz w:val="24"/>
          <w:szCs w:val="24"/>
        </w:rPr>
        <w:t xml:space="preserve">Additionally, I conducted separate PCAs for field measured variables and modelled </w:t>
      </w:r>
      <w:proofErr w:type="gramStart"/>
      <w:r w:rsidR="00860198">
        <w:rPr>
          <w:rFonts w:ascii="Times New Roman" w:hAnsi="Times New Roman" w:cs="Times New Roman"/>
          <w:sz w:val="24"/>
          <w:szCs w:val="24"/>
        </w:rPr>
        <w:t>variables, and</w:t>
      </w:r>
      <w:proofErr w:type="gramEnd"/>
      <w:r w:rsidR="00860198">
        <w:rPr>
          <w:rFonts w:ascii="Times New Roman" w:hAnsi="Times New Roman" w:cs="Times New Roman"/>
          <w:sz w:val="24"/>
          <w:szCs w:val="24"/>
        </w:rPr>
        <w:t xml:space="preserve"> plotted the loadings of these two PCAs to see if separate patterns would emerge. </w:t>
      </w:r>
    </w:p>
    <w:p w14:paraId="7AB08037" w14:textId="77777777" w:rsidR="00354B77" w:rsidRDefault="00354B77" w:rsidP="000D0D8B">
      <w:pPr>
        <w:spacing w:after="0" w:line="480" w:lineRule="auto"/>
        <w:rPr>
          <w:rFonts w:ascii="Times New Roman" w:hAnsi="Times New Roman" w:cs="Times New Roman"/>
          <w:sz w:val="24"/>
          <w:szCs w:val="24"/>
        </w:rPr>
      </w:pPr>
    </w:p>
    <w:p w14:paraId="36A5F9C7" w14:textId="3B5864B9" w:rsidR="006F5FEF" w:rsidRPr="00860198" w:rsidRDefault="00E7272B" w:rsidP="000D0D8B">
      <w:pPr>
        <w:spacing w:line="480" w:lineRule="auto"/>
        <w:rPr>
          <w:rFonts w:ascii="Times New Roman" w:hAnsi="Times New Roman" w:cs="Times New Roman"/>
          <w:b/>
          <w:bCs/>
          <w:sz w:val="24"/>
          <w:szCs w:val="24"/>
        </w:rPr>
      </w:pPr>
      <w:r w:rsidRPr="00860198">
        <w:rPr>
          <w:rFonts w:ascii="Times New Roman" w:hAnsi="Times New Roman" w:cs="Times New Roman"/>
          <w:b/>
          <w:bCs/>
          <w:sz w:val="24"/>
          <w:szCs w:val="24"/>
        </w:rPr>
        <w:t>Results</w:t>
      </w:r>
    </w:p>
    <w:p w14:paraId="5075D95F" w14:textId="77777777" w:rsidR="00893812" w:rsidRPr="00893812" w:rsidRDefault="00893812" w:rsidP="000D0D8B">
      <w:pPr>
        <w:spacing w:line="480" w:lineRule="auto"/>
        <w:rPr>
          <w:rFonts w:ascii="Times New Roman" w:hAnsi="Times New Roman" w:cs="Times New Roman"/>
          <w:i/>
          <w:iCs/>
          <w:sz w:val="24"/>
          <w:szCs w:val="24"/>
        </w:rPr>
      </w:pPr>
      <w:r w:rsidRPr="00893812">
        <w:rPr>
          <w:rFonts w:ascii="Times New Roman" w:hAnsi="Times New Roman" w:cs="Times New Roman"/>
          <w:sz w:val="24"/>
          <w:szCs w:val="24"/>
        </w:rPr>
        <w:t>Question 1:</w:t>
      </w:r>
      <w:r w:rsidRPr="00893812">
        <w:rPr>
          <w:rFonts w:ascii="Times New Roman" w:hAnsi="Times New Roman" w:cs="Times New Roman"/>
          <w:i/>
          <w:iCs/>
          <w:sz w:val="24"/>
          <w:szCs w:val="24"/>
        </w:rPr>
        <w:t xml:space="preserve"> Do plots within different treatment categories show similar patterns within multivariate space during the pretreatment sampling period, and do they appear to respond consistently to treatment in the </w:t>
      </w:r>
      <w:proofErr w:type="spellStart"/>
      <w:r w:rsidRPr="00893812">
        <w:rPr>
          <w:rFonts w:ascii="Times New Roman" w:hAnsi="Times New Roman" w:cs="Times New Roman"/>
          <w:i/>
          <w:iCs/>
          <w:sz w:val="24"/>
          <w:szCs w:val="24"/>
        </w:rPr>
        <w:t>longterm</w:t>
      </w:r>
      <w:proofErr w:type="spellEnd"/>
      <w:r w:rsidRPr="00893812">
        <w:rPr>
          <w:rFonts w:ascii="Times New Roman" w:hAnsi="Times New Roman" w:cs="Times New Roman"/>
          <w:i/>
          <w:iCs/>
          <w:sz w:val="24"/>
          <w:szCs w:val="24"/>
        </w:rPr>
        <w:t xml:space="preserve">? </w:t>
      </w:r>
    </w:p>
    <w:p w14:paraId="12686D35" w14:textId="1214AF33" w:rsidR="00893812" w:rsidRPr="00860198" w:rsidRDefault="00885844" w:rsidP="000D0D8B">
      <w:pPr>
        <w:spacing w:line="480" w:lineRule="auto"/>
        <w:rPr>
          <w:rFonts w:ascii="Times New Roman" w:hAnsi="Times New Roman" w:cs="Times New Roman"/>
          <w:sz w:val="24"/>
          <w:szCs w:val="24"/>
        </w:rPr>
      </w:pPr>
      <w:r w:rsidRPr="00860198">
        <w:rPr>
          <w:rFonts w:ascii="Times New Roman" w:hAnsi="Times New Roman" w:cs="Times New Roman"/>
          <w:b/>
          <w:bCs/>
          <w:sz w:val="24"/>
          <w:szCs w:val="24"/>
        </w:rPr>
        <w:tab/>
      </w:r>
      <w:r w:rsidRPr="00860198">
        <w:rPr>
          <w:rFonts w:ascii="Times New Roman" w:hAnsi="Times New Roman" w:cs="Times New Roman"/>
          <w:sz w:val="24"/>
          <w:szCs w:val="24"/>
        </w:rPr>
        <w:t>The NMDS plots</w:t>
      </w:r>
      <w:r w:rsidR="00867615">
        <w:rPr>
          <w:rFonts w:ascii="Times New Roman" w:hAnsi="Times New Roman" w:cs="Times New Roman"/>
          <w:sz w:val="24"/>
          <w:szCs w:val="24"/>
        </w:rPr>
        <w:t xml:space="preserve"> (figure 3)</w:t>
      </w:r>
      <w:r w:rsidRPr="00860198">
        <w:rPr>
          <w:rFonts w:ascii="Times New Roman" w:hAnsi="Times New Roman" w:cs="Times New Roman"/>
          <w:sz w:val="24"/>
          <w:szCs w:val="24"/>
        </w:rPr>
        <w:t xml:space="preserve"> suggest</w:t>
      </w:r>
      <w:r w:rsidR="001E36DB" w:rsidRPr="00860198">
        <w:rPr>
          <w:rFonts w:ascii="Times New Roman" w:hAnsi="Times New Roman" w:cs="Times New Roman"/>
          <w:sz w:val="24"/>
          <w:szCs w:val="24"/>
        </w:rPr>
        <w:t>ed</w:t>
      </w:r>
      <w:r w:rsidRPr="00860198">
        <w:rPr>
          <w:rFonts w:ascii="Times New Roman" w:hAnsi="Times New Roman" w:cs="Times New Roman"/>
          <w:sz w:val="24"/>
          <w:szCs w:val="24"/>
        </w:rPr>
        <w:t xml:space="preserve"> that treatment categories have substantial overlap in multivariate space during the pretreatment period. </w:t>
      </w:r>
      <w:r w:rsidR="004308F7">
        <w:rPr>
          <w:rFonts w:ascii="Times New Roman" w:hAnsi="Times New Roman" w:cs="Times New Roman"/>
          <w:sz w:val="24"/>
          <w:szCs w:val="24"/>
        </w:rPr>
        <w:t xml:space="preserve"> T</w:t>
      </w:r>
      <w:r w:rsidRPr="00860198">
        <w:rPr>
          <w:rFonts w:ascii="Times New Roman" w:hAnsi="Times New Roman" w:cs="Times New Roman"/>
          <w:sz w:val="24"/>
          <w:szCs w:val="24"/>
        </w:rPr>
        <w:t>he</w:t>
      </w:r>
      <w:r w:rsidR="007447D5" w:rsidRPr="00860198">
        <w:rPr>
          <w:rFonts w:ascii="Times New Roman" w:hAnsi="Times New Roman" w:cs="Times New Roman"/>
          <w:sz w:val="24"/>
          <w:szCs w:val="24"/>
        </w:rPr>
        <w:t xml:space="preserve"> pretreatment ordination sugges</w:t>
      </w:r>
      <w:r w:rsidR="001E36DB" w:rsidRPr="00860198">
        <w:rPr>
          <w:rFonts w:ascii="Times New Roman" w:hAnsi="Times New Roman" w:cs="Times New Roman"/>
          <w:sz w:val="24"/>
          <w:szCs w:val="24"/>
        </w:rPr>
        <w:t xml:space="preserve">ted </w:t>
      </w:r>
      <w:r w:rsidR="007447D5" w:rsidRPr="00860198">
        <w:rPr>
          <w:rFonts w:ascii="Times New Roman" w:hAnsi="Times New Roman" w:cs="Times New Roman"/>
          <w:sz w:val="24"/>
          <w:szCs w:val="24"/>
        </w:rPr>
        <w:t>a relationship between sample size and variation in ordination space; the control treatment shows the smallest convex hull, and ha</w:t>
      </w:r>
      <w:r w:rsidR="001E36DB" w:rsidRPr="00860198">
        <w:rPr>
          <w:rFonts w:ascii="Times New Roman" w:hAnsi="Times New Roman" w:cs="Times New Roman"/>
          <w:sz w:val="24"/>
          <w:szCs w:val="24"/>
        </w:rPr>
        <w:t>d</w:t>
      </w:r>
      <w:r w:rsidR="007447D5" w:rsidRPr="00860198">
        <w:rPr>
          <w:rFonts w:ascii="Times New Roman" w:hAnsi="Times New Roman" w:cs="Times New Roman"/>
          <w:sz w:val="24"/>
          <w:szCs w:val="24"/>
        </w:rPr>
        <w:t xml:space="preserve"> just one replicate unit, while the thin plus burn treatment shows the largest convex </w:t>
      </w:r>
      <w:proofErr w:type="gramStart"/>
      <w:r w:rsidR="007447D5" w:rsidRPr="00860198">
        <w:rPr>
          <w:rFonts w:ascii="Times New Roman" w:hAnsi="Times New Roman" w:cs="Times New Roman"/>
          <w:sz w:val="24"/>
          <w:szCs w:val="24"/>
        </w:rPr>
        <w:t>hull, and</w:t>
      </w:r>
      <w:proofErr w:type="gramEnd"/>
      <w:r w:rsidR="007447D5" w:rsidRPr="00860198">
        <w:rPr>
          <w:rFonts w:ascii="Times New Roman" w:hAnsi="Times New Roman" w:cs="Times New Roman"/>
          <w:sz w:val="24"/>
          <w:szCs w:val="24"/>
        </w:rPr>
        <w:t xml:space="preserve"> ha</w:t>
      </w:r>
      <w:r w:rsidR="001E36DB" w:rsidRPr="00860198">
        <w:rPr>
          <w:rFonts w:ascii="Times New Roman" w:hAnsi="Times New Roman" w:cs="Times New Roman"/>
          <w:sz w:val="24"/>
          <w:szCs w:val="24"/>
        </w:rPr>
        <w:t>d</w:t>
      </w:r>
      <w:r w:rsidR="007447D5" w:rsidRPr="00860198">
        <w:rPr>
          <w:rFonts w:ascii="Times New Roman" w:hAnsi="Times New Roman" w:cs="Times New Roman"/>
          <w:sz w:val="24"/>
          <w:szCs w:val="24"/>
        </w:rPr>
        <w:t xml:space="preserve"> three replicate units.  The burn and the thin treatments, each with two replicate units, </w:t>
      </w:r>
      <w:r w:rsidR="001E36DB" w:rsidRPr="00860198">
        <w:rPr>
          <w:rFonts w:ascii="Times New Roman" w:hAnsi="Times New Roman" w:cs="Times New Roman"/>
          <w:sz w:val="24"/>
          <w:szCs w:val="24"/>
        </w:rPr>
        <w:t xml:space="preserve">showed intermediate sized hulls.  The centroids of the burn, thin, and thin plus burn treatments were close to one another, while the control centroid had a slightly higher axis one score, corresponding with more open stand structure and less fuel.  The </w:t>
      </w:r>
      <w:proofErr w:type="spellStart"/>
      <w:r w:rsidR="001E36DB" w:rsidRPr="00860198">
        <w:rPr>
          <w:rFonts w:ascii="Times New Roman" w:hAnsi="Times New Roman" w:cs="Times New Roman"/>
          <w:sz w:val="24"/>
          <w:szCs w:val="24"/>
        </w:rPr>
        <w:t>longterm</w:t>
      </w:r>
      <w:proofErr w:type="spellEnd"/>
      <w:r w:rsidR="001E36DB" w:rsidRPr="00860198">
        <w:rPr>
          <w:rFonts w:ascii="Times New Roman" w:hAnsi="Times New Roman" w:cs="Times New Roman"/>
          <w:sz w:val="24"/>
          <w:szCs w:val="24"/>
        </w:rPr>
        <w:t xml:space="preserve"> ordination showed qualitatively similar patterns of variance and similar locations of response variable scores.  </w:t>
      </w:r>
      <w:r w:rsidR="008A2BCF" w:rsidRPr="00860198">
        <w:rPr>
          <w:rFonts w:ascii="Times New Roman" w:hAnsi="Times New Roman" w:cs="Times New Roman"/>
          <w:sz w:val="24"/>
          <w:szCs w:val="24"/>
        </w:rPr>
        <w:t xml:space="preserve">The control and thin plus burn treatments showed the greatest movement of centroids from pretreatment to </w:t>
      </w:r>
      <w:proofErr w:type="spellStart"/>
      <w:r w:rsidR="008A2BCF" w:rsidRPr="00860198">
        <w:rPr>
          <w:rFonts w:ascii="Times New Roman" w:hAnsi="Times New Roman" w:cs="Times New Roman"/>
          <w:sz w:val="24"/>
          <w:szCs w:val="24"/>
        </w:rPr>
        <w:t>longterm</w:t>
      </w:r>
      <w:proofErr w:type="spellEnd"/>
      <w:r w:rsidR="008A2BCF" w:rsidRPr="00860198">
        <w:rPr>
          <w:rFonts w:ascii="Times New Roman" w:hAnsi="Times New Roman" w:cs="Times New Roman"/>
          <w:sz w:val="24"/>
          <w:szCs w:val="24"/>
        </w:rPr>
        <w:t xml:space="preserve"> sample periods, with control moving towards more closed canopy later successional conditions, and thin plus burn moving towards more open </w:t>
      </w:r>
      <w:r w:rsidR="008A2BCF" w:rsidRPr="00860198">
        <w:rPr>
          <w:rFonts w:ascii="Times New Roman" w:hAnsi="Times New Roman" w:cs="Times New Roman"/>
          <w:sz w:val="24"/>
          <w:szCs w:val="24"/>
        </w:rPr>
        <w:lastRenderedPageBreak/>
        <w:t>conditions.  Procrustes analysis</w:t>
      </w:r>
      <w:r w:rsidR="00867615">
        <w:rPr>
          <w:rFonts w:ascii="Times New Roman" w:hAnsi="Times New Roman" w:cs="Times New Roman"/>
          <w:sz w:val="24"/>
          <w:szCs w:val="24"/>
        </w:rPr>
        <w:t xml:space="preserve"> (figure 4)</w:t>
      </w:r>
      <w:r w:rsidR="008A2BCF" w:rsidRPr="00860198">
        <w:rPr>
          <w:rFonts w:ascii="Times New Roman" w:hAnsi="Times New Roman" w:cs="Times New Roman"/>
          <w:sz w:val="24"/>
          <w:szCs w:val="24"/>
        </w:rPr>
        <w:t xml:space="preserve"> s</w:t>
      </w:r>
      <w:r w:rsidR="007B3034" w:rsidRPr="00860198">
        <w:rPr>
          <w:rFonts w:ascii="Times New Roman" w:hAnsi="Times New Roman" w:cs="Times New Roman"/>
          <w:sz w:val="24"/>
          <w:szCs w:val="24"/>
        </w:rPr>
        <w:t>uggested</w:t>
      </w:r>
      <w:r w:rsidR="008A2BCF" w:rsidRPr="00860198">
        <w:rPr>
          <w:rFonts w:ascii="Times New Roman" w:hAnsi="Times New Roman" w:cs="Times New Roman"/>
          <w:sz w:val="24"/>
          <w:szCs w:val="24"/>
        </w:rPr>
        <w:t xml:space="preserve"> that individual plots changed in a highly variable </w:t>
      </w:r>
    </w:p>
    <w:p w14:paraId="26C876DA" w14:textId="4D8BDA32" w:rsidR="00F71C16" w:rsidRDefault="00867615" w:rsidP="00F71C16">
      <w:pPr>
        <w:keepNext/>
        <w:spacing w:line="480" w:lineRule="auto"/>
      </w:pPr>
      <w:r w:rsidRPr="00860198">
        <w:rPr>
          <w:rFonts w:ascii="Times New Roman" w:hAnsi="Times New Roman" w:cs="Times New Roman"/>
          <w:noProof/>
          <w:sz w:val="24"/>
          <w:szCs w:val="24"/>
        </w:rPr>
        <w:drawing>
          <wp:inline distT="0" distB="0" distL="0" distR="0" wp14:anchorId="093E98EB" wp14:editId="5590CB05">
            <wp:extent cx="5943600" cy="2971800"/>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D8191B4" w14:textId="69AD2562" w:rsidR="00386BF8" w:rsidRPr="00F71C16" w:rsidRDefault="00F71C16" w:rsidP="00F71C16">
      <w:pPr>
        <w:pStyle w:val="Caption"/>
        <w:rPr>
          <w:rFonts w:ascii="Times New Roman" w:hAnsi="Times New Roman" w:cs="Times New Roman"/>
          <w:b/>
          <w:bCs/>
          <w:sz w:val="32"/>
          <w:szCs w:val="32"/>
        </w:rPr>
      </w:pPr>
      <w:r w:rsidRPr="00F71C16">
        <w:rPr>
          <w:sz w:val="22"/>
          <w:szCs w:val="22"/>
        </w:rPr>
        <w:t xml:space="preserve">Figure </w:t>
      </w:r>
      <w:r w:rsidRPr="00F71C16">
        <w:rPr>
          <w:sz w:val="22"/>
          <w:szCs w:val="22"/>
        </w:rPr>
        <w:fldChar w:fldCharType="begin"/>
      </w:r>
      <w:r w:rsidRPr="00F71C16">
        <w:rPr>
          <w:sz w:val="22"/>
          <w:szCs w:val="22"/>
        </w:rPr>
        <w:instrText xml:space="preserve"> SEQ Figure \* ARABIC </w:instrText>
      </w:r>
      <w:r w:rsidRPr="00F71C16">
        <w:rPr>
          <w:sz w:val="22"/>
          <w:szCs w:val="22"/>
        </w:rPr>
        <w:fldChar w:fldCharType="separate"/>
      </w:r>
      <w:r w:rsidR="008939AA">
        <w:rPr>
          <w:noProof/>
          <w:sz w:val="22"/>
          <w:szCs w:val="22"/>
        </w:rPr>
        <w:t>3</w:t>
      </w:r>
      <w:r w:rsidRPr="00F71C16">
        <w:rPr>
          <w:sz w:val="22"/>
          <w:szCs w:val="22"/>
        </w:rPr>
        <w:fldChar w:fldCharType="end"/>
      </w:r>
      <w:r w:rsidRPr="00F71C16">
        <w:rPr>
          <w:sz w:val="22"/>
          <w:szCs w:val="22"/>
        </w:rPr>
        <w:t xml:space="preserve">: NMDS graphs of the pretreatment and </w:t>
      </w:r>
      <w:proofErr w:type="spellStart"/>
      <w:r w:rsidRPr="00F71C16">
        <w:rPr>
          <w:sz w:val="22"/>
          <w:szCs w:val="22"/>
        </w:rPr>
        <w:t>longterm</w:t>
      </w:r>
      <w:proofErr w:type="spellEnd"/>
      <w:r w:rsidRPr="00F71C16">
        <w:rPr>
          <w:sz w:val="22"/>
          <w:szCs w:val="22"/>
        </w:rPr>
        <w:t xml:space="preserve"> sampling periods, colored by treatment.  Large points are centroids, small points are plots.  Both ordinations were run with three axes.  The pretreatment NMDS had a stress of 0.10, and the </w:t>
      </w:r>
      <w:proofErr w:type="spellStart"/>
      <w:r w:rsidRPr="00F71C16">
        <w:rPr>
          <w:sz w:val="22"/>
          <w:szCs w:val="22"/>
        </w:rPr>
        <w:t>longterm</w:t>
      </w:r>
      <w:proofErr w:type="spellEnd"/>
      <w:r w:rsidRPr="00F71C16">
        <w:rPr>
          <w:sz w:val="22"/>
          <w:szCs w:val="22"/>
        </w:rPr>
        <w:t xml:space="preserve"> 0.11.</w:t>
      </w:r>
    </w:p>
    <w:p w14:paraId="770753A9" w14:textId="77777777" w:rsidR="00F71C16" w:rsidRDefault="00B40E2E" w:rsidP="00F71C16">
      <w:pPr>
        <w:keepNext/>
        <w:spacing w:line="480" w:lineRule="auto"/>
      </w:pPr>
      <w:r w:rsidRPr="00860198">
        <w:rPr>
          <w:rFonts w:ascii="Times New Roman" w:hAnsi="Times New Roman" w:cs="Times New Roman"/>
          <w:noProof/>
          <w:sz w:val="24"/>
          <w:szCs w:val="24"/>
        </w:rPr>
        <w:drawing>
          <wp:inline distT="0" distB="0" distL="0" distR="0" wp14:anchorId="47CC9A21" wp14:editId="3201F05A">
            <wp:extent cx="5943600" cy="284988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01131E69" w14:textId="617ABC3B" w:rsidR="00B40E2E" w:rsidRPr="00713102" w:rsidRDefault="00F71C16" w:rsidP="00F71C16">
      <w:pPr>
        <w:pStyle w:val="Caption"/>
        <w:rPr>
          <w:rFonts w:ascii="Times New Roman" w:hAnsi="Times New Roman" w:cs="Times New Roman"/>
          <w:b/>
          <w:bCs/>
          <w:sz w:val="32"/>
          <w:szCs w:val="32"/>
        </w:rPr>
      </w:pPr>
      <w:r w:rsidRPr="00713102">
        <w:rPr>
          <w:sz w:val="22"/>
          <w:szCs w:val="22"/>
        </w:rPr>
        <w:t xml:space="preserve">Figure </w:t>
      </w:r>
      <w:r w:rsidRPr="00713102">
        <w:rPr>
          <w:sz w:val="22"/>
          <w:szCs w:val="22"/>
        </w:rPr>
        <w:fldChar w:fldCharType="begin"/>
      </w:r>
      <w:r w:rsidRPr="00713102">
        <w:rPr>
          <w:sz w:val="22"/>
          <w:szCs w:val="22"/>
        </w:rPr>
        <w:instrText xml:space="preserve"> SEQ Figure \* ARABIC </w:instrText>
      </w:r>
      <w:r w:rsidRPr="00713102">
        <w:rPr>
          <w:sz w:val="22"/>
          <w:szCs w:val="22"/>
        </w:rPr>
        <w:fldChar w:fldCharType="separate"/>
      </w:r>
      <w:r w:rsidR="008939AA">
        <w:rPr>
          <w:noProof/>
          <w:sz w:val="22"/>
          <w:szCs w:val="22"/>
        </w:rPr>
        <w:t>4</w:t>
      </w:r>
      <w:r w:rsidRPr="00713102">
        <w:rPr>
          <w:sz w:val="22"/>
          <w:szCs w:val="22"/>
        </w:rPr>
        <w:fldChar w:fldCharType="end"/>
      </w:r>
      <w:r w:rsidRPr="00713102">
        <w:rPr>
          <w:sz w:val="22"/>
          <w:szCs w:val="22"/>
        </w:rPr>
        <w:t>: Change in</w:t>
      </w:r>
      <w:r w:rsidR="00713102">
        <w:rPr>
          <w:sz w:val="22"/>
          <w:szCs w:val="22"/>
        </w:rPr>
        <w:t xml:space="preserve"> treatment</w:t>
      </w:r>
      <w:r w:rsidRPr="00713102">
        <w:rPr>
          <w:sz w:val="22"/>
          <w:szCs w:val="22"/>
        </w:rPr>
        <w:t xml:space="preserve"> centroids (left) and individual plot scores (right) from pretreatment to </w:t>
      </w:r>
      <w:proofErr w:type="spellStart"/>
      <w:r w:rsidRPr="00713102">
        <w:rPr>
          <w:sz w:val="22"/>
          <w:szCs w:val="22"/>
        </w:rPr>
        <w:t>longterm</w:t>
      </w:r>
      <w:proofErr w:type="spellEnd"/>
      <w:r w:rsidRPr="00713102">
        <w:rPr>
          <w:sz w:val="22"/>
          <w:szCs w:val="22"/>
        </w:rPr>
        <w:t>.</w:t>
      </w:r>
    </w:p>
    <w:p w14:paraId="4A887E1F" w14:textId="559666B2" w:rsidR="00867615" w:rsidRDefault="00867615" w:rsidP="000D0D8B">
      <w:pPr>
        <w:spacing w:line="480" w:lineRule="auto"/>
        <w:rPr>
          <w:rFonts w:ascii="Times New Roman" w:hAnsi="Times New Roman" w:cs="Times New Roman"/>
          <w:sz w:val="24"/>
          <w:szCs w:val="24"/>
        </w:rPr>
      </w:pPr>
      <w:r w:rsidRPr="00860198">
        <w:rPr>
          <w:rFonts w:ascii="Times New Roman" w:hAnsi="Times New Roman" w:cs="Times New Roman"/>
          <w:sz w:val="24"/>
          <w:szCs w:val="24"/>
        </w:rPr>
        <w:lastRenderedPageBreak/>
        <w:t xml:space="preserve">manner, with greater magnitude of change than treatment centroid movement alone may suggest.  The Procrustes analysis also suggested that the movement of the thin plus burn centroid is driven by large movements in a few plots, and not consistent direction of change.  </w:t>
      </w:r>
    </w:p>
    <w:p w14:paraId="0C235C2D" w14:textId="651750ED" w:rsidR="0064456C" w:rsidRPr="00860198" w:rsidRDefault="0064456C" w:rsidP="000D0D8B">
      <w:pPr>
        <w:spacing w:line="480" w:lineRule="auto"/>
        <w:rPr>
          <w:rFonts w:ascii="Times New Roman" w:hAnsi="Times New Roman" w:cs="Times New Roman"/>
          <w:i/>
          <w:iCs/>
          <w:sz w:val="24"/>
          <w:szCs w:val="24"/>
        </w:rPr>
      </w:pPr>
      <w:r w:rsidRPr="0064456C">
        <w:rPr>
          <w:rFonts w:ascii="Times New Roman" w:hAnsi="Times New Roman" w:cs="Times New Roman"/>
          <w:sz w:val="24"/>
          <w:szCs w:val="24"/>
        </w:rPr>
        <w:t xml:space="preserve">Question 2: </w:t>
      </w:r>
      <w:r w:rsidRPr="0064456C">
        <w:rPr>
          <w:rFonts w:ascii="Times New Roman" w:hAnsi="Times New Roman" w:cs="Times New Roman"/>
          <w:i/>
          <w:iCs/>
          <w:sz w:val="24"/>
          <w:szCs w:val="24"/>
        </w:rPr>
        <w:t>Do plots within a replicate unit and within spatially proximate replicate units will group together in multivariate space in the pretreatment sampling period, and do different replicate units within a treatment category group together after treatment?</w:t>
      </w:r>
    </w:p>
    <w:p w14:paraId="49FFC518" w14:textId="09CC06DA" w:rsidR="0064456C" w:rsidRPr="0064456C" w:rsidRDefault="000C1CA6" w:rsidP="000D0D8B">
      <w:pPr>
        <w:spacing w:line="480" w:lineRule="auto"/>
        <w:rPr>
          <w:rFonts w:ascii="Times New Roman" w:hAnsi="Times New Roman" w:cs="Times New Roman"/>
          <w:sz w:val="24"/>
          <w:szCs w:val="24"/>
        </w:rPr>
      </w:pPr>
      <w:r w:rsidRPr="00860198">
        <w:rPr>
          <w:rFonts w:ascii="Times New Roman" w:hAnsi="Times New Roman" w:cs="Times New Roman"/>
          <w:sz w:val="24"/>
          <w:szCs w:val="24"/>
        </w:rPr>
        <w:tab/>
        <w:t xml:space="preserve">Several clustering methods suggested </w:t>
      </w:r>
      <w:r w:rsidR="00801948" w:rsidRPr="00860198">
        <w:rPr>
          <w:rFonts w:ascii="Times New Roman" w:hAnsi="Times New Roman" w:cs="Times New Roman"/>
          <w:sz w:val="24"/>
          <w:szCs w:val="24"/>
        </w:rPr>
        <w:t>some pretreatment grouping of replicate units into two groups, one corresponding to the westmost four units, and another corresponding to the eastmost units</w:t>
      </w:r>
      <w:r w:rsidR="00867615">
        <w:rPr>
          <w:rFonts w:ascii="Times New Roman" w:hAnsi="Times New Roman" w:cs="Times New Roman"/>
          <w:sz w:val="24"/>
          <w:szCs w:val="24"/>
        </w:rPr>
        <w:t xml:space="preserve"> (figures 5-10)</w:t>
      </w:r>
      <w:r w:rsidR="00801948" w:rsidRPr="00860198">
        <w:rPr>
          <w:rFonts w:ascii="Times New Roman" w:hAnsi="Times New Roman" w:cs="Times New Roman"/>
          <w:sz w:val="24"/>
          <w:szCs w:val="24"/>
        </w:rPr>
        <w:t>.  There was crossover between these groups, and the amount of crossover varied by clustering method</w:t>
      </w:r>
      <w:r w:rsidR="00201901" w:rsidRPr="00860198">
        <w:rPr>
          <w:rFonts w:ascii="Times New Roman" w:hAnsi="Times New Roman" w:cs="Times New Roman"/>
          <w:sz w:val="24"/>
          <w:szCs w:val="24"/>
        </w:rPr>
        <w:t xml:space="preserve">.  The </w:t>
      </w:r>
      <w:proofErr w:type="spellStart"/>
      <w:r w:rsidR="00201901" w:rsidRPr="00860198">
        <w:rPr>
          <w:rFonts w:ascii="Times New Roman" w:hAnsi="Times New Roman" w:cs="Times New Roman"/>
          <w:sz w:val="24"/>
          <w:szCs w:val="24"/>
        </w:rPr>
        <w:t>longterm</w:t>
      </w:r>
      <w:proofErr w:type="spellEnd"/>
      <w:r w:rsidR="00201901" w:rsidRPr="00860198">
        <w:rPr>
          <w:rFonts w:ascii="Times New Roman" w:hAnsi="Times New Roman" w:cs="Times New Roman"/>
          <w:sz w:val="24"/>
          <w:szCs w:val="24"/>
        </w:rPr>
        <w:t xml:space="preserve"> cluster analyses suggest that treatment </w:t>
      </w:r>
      <w:r w:rsidR="00935B10" w:rsidRPr="00860198">
        <w:rPr>
          <w:rFonts w:ascii="Times New Roman" w:hAnsi="Times New Roman" w:cs="Times New Roman"/>
          <w:sz w:val="24"/>
          <w:szCs w:val="24"/>
        </w:rPr>
        <w:t xml:space="preserve">was associated with </w:t>
      </w:r>
      <w:r w:rsidR="00210B23" w:rsidRPr="00860198">
        <w:rPr>
          <w:rFonts w:ascii="Times New Roman" w:hAnsi="Times New Roman" w:cs="Times New Roman"/>
          <w:sz w:val="24"/>
          <w:szCs w:val="24"/>
        </w:rPr>
        <w:t>a slight increase in</w:t>
      </w:r>
      <w:r w:rsidR="00201901" w:rsidRPr="00860198">
        <w:rPr>
          <w:rFonts w:ascii="Times New Roman" w:hAnsi="Times New Roman" w:cs="Times New Roman"/>
          <w:sz w:val="24"/>
          <w:szCs w:val="24"/>
        </w:rPr>
        <w:t xml:space="preserve"> intermixing between the groups.</w:t>
      </w:r>
      <w:r w:rsidR="00935B10" w:rsidRPr="00860198">
        <w:rPr>
          <w:rFonts w:ascii="Times New Roman" w:hAnsi="Times New Roman" w:cs="Times New Roman"/>
          <w:sz w:val="24"/>
          <w:szCs w:val="24"/>
        </w:rPr>
        <w:t xml:space="preserve">  Hierarchical clustering with simple, average, and centroid linkage produced results dominated by one group, so I did not present those results in this paper.</w:t>
      </w:r>
      <w:r w:rsidR="00201901" w:rsidRPr="00860198">
        <w:rPr>
          <w:rFonts w:ascii="Times New Roman" w:hAnsi="Times New Roman" w:cs="Times New Roman"/>
          <w:sz w:val="24"/>
          <w:szCs w:val="24"/>
        </w:rPr>
        <w:t xml:space="preserve"> </w:t>
      </w:r>
      <w:r w:rsidR="00DA305F" w:rsidRPr="00860198">
        <w:rPr>
          <w:rFonts w:ascii="Times New Roman" w:hAnsi="Times New Roman" w:cs="Times New Roman"/>
          <w:sz w:val="24"/>
          <w:szCs w:val="24"/>
        </w:rPr>
        <w:t xml:space="preserve"> Dividing the </w:t>
      </w:r>
      <w:r w:rsidR="00210B23" w:rsidRPr="00860198">
        <w:rPr>
          <w:rFonts w:ascii="Times New Roman" w:hAnsi="Times New Roman" w:cs="Times New Roman"/>
          <w:sz w:val="24"/>
          <w:szCs w:val="24"/>
        </w:rPr>
        <w:t xml:space="preserve">replicate </w:t>
      </w:r>
      <w:proofErr w:type="gramStart"/>
      <w:r w:rsidR="00DA305F" w:rsidRPr="00860198">
        <w:rPr>
          <w:rFonts w:ascii="Times New Roman" w:hAnsi="Times New Roman" w:cs="Times New Roman"/>
          <w:sz w:val="24"/>
          <w:szCs w:val="24"/>
        </w:rPr>
        <w:t>units</w:t>
      </w:r>
      <w:proofErr w:type="gramEnd"/>
      <w:r w:rsidR="00DA305F" w:rsidRPr="00860198">
        <w:rPr>
          <w:rFonts w:ascii="Times New Roman" w:hAnsi="Times New Roman" w:cs="Times New Roman"/>
          <w:sz w:val="24"/>
          <w:szCs w:val="24"/>
        </w:rPr>
        <w:t xml:space="preserve"> </w:t>
      </w:r>
      <w:r w:rsidR="00DA305F" w:rsidRPr="00860198">
        <w:rPr>
          <w:rFonts w:ascii="Times New Roman" w:hAnsi="Times New Roman" w:cs="Times New Roman"/>
          <w:i/>
          <w:iCs/>
          <w:sz w:val="24"/>
          <w:szCs w:val="24"/>
        </w:rPr>
        <w:t xml:space="preserve">a posteriori </w:t>
      </w:r>
      <w:r w:rsidR="00DA305F" w:rsidRPr="00860198">
        <w:rPr>
          <w:rFonts w:ascii="Times New Roman" w:hAnsi="Times New Roman" w:cs="Times New Roman"/>
          <w:sz w:val="24"/>
          <w:szCs w:val="24"/>
        </w:rPr>
        <w:t xml:space="preserve">into two groups </w:t>
      </w:r>
      <w:r w:rsidR="00210B23" w:rsidRPr="00860198">
        <w:rPr>
          <w:rFonts w:ascii="Times New Roman" w:hAnsi="Times New Roman" w:cs="Times New Roman"/>
          <w:sz w:val="24"/>
          <w:szCs w:val="24"/>
        </w:rPr>
        <w:t>(‘west’ and ‘east’)</w:t>
      </w:r>
      <w:r w:rsidR="00DA305F" w:rsidRPr="00860198">
        <w:rPr>
          <w:rFonts w:ascii="Times New Roman" w:hAnsi="Times New Roman" w:cs="Times New Roman"/>
          <w:sz w:val="24"/>
          <w:szCs w:val="24"/>
        </w:rPr>
        <w:t xml:space="preserve"> and running the cluster analyses to divide plot</w:t>
      </w:r>
      <w:r w:rsidR="000162E9">
        <w:rPr>
          <w:rFonts w:ascii="Times New Roman" w:hAnsi="Times New Roman" w:cs="Times New Roman"/>
          <w:sz w:val="24"/>
          <w:szCs w:val="24"/>
        </w:rPr>
        <w:t xml:space="preserve">s into </w:t>
      </w:r>
      <w:r w:rsidR="00DA305F" w:rsidRPr="00860198">
        <w:rPr>
          <w:rFonts w:ascii="Times New Roman" w:hAnsi="Times New Roman" w:cs="Times New Roman"/>
          <w:sz w:val="24"/>
          <w:szCs w:val="24"/>
        </w:rPr>
        <w:t xml:space="preserve">two groups did not reveal </w:t>
      </w:r>
      <w:r w:rsidR="00210B23" w:rsidRPr="00860198">
        <w:rPr>
          <w:rFonts w:ascii="Times New Roman" w:hAnsi="Times New Roman" w:cs="Times New Roman"/>
          <w:sz w:val="24"/>
          <w:szCs w:val="24"/>
        </w:rPr>
        <w:t>strong discrimination between the two</w:t>
      </w:r>
      <w:r w:rsidR="00935B10" w:rsidRPr="00860198">
        <w:rPr>
          <w:rFonts w:ascii="Times New Roman" w:hAnsi="Times New Roman" w:cs="Times New Roman"/>
          <w:sz w:val="24"/>
          <w:szCs w:val="24"/>
        </w:rPr>
        <w:t xml:space="preserve"> clusters of replicate units</w:t>
      </w:r>
      <w:r w:rsidR="000162E9">
        <w:rPr>
          <w:rFonts w:ascii="Times New Roman" w:hAnsi="Times New Roman" w:cs="Times New Roman"/>
          <w:sz w:val="24"/>
          <w:szCs w:val="24"/>
        </w:rPr>
        <w:t xml:space="preserve">, with the exception of the </w:t>
      </w:r>
      <w:r w:rsidR="000162E9">
        <w:rPr>
          <w:rFonts w:ascii="Times New Roman" w:hAnsi="Times New Roman" w:cs="Times New Roman"/>
          <w:i/>
          <w:iCs/>
          <w:sz w:val="24"/>
          <w:szCs w:val="24"/>
        </w:rPr>
        <w:t>k</w:t>
      </w:r>
      <w:r w:rsidR="000162E9">
        <w:rPr>
          <w:rFonts w:ascii="Times New Roman" w:hAnsi="Times New Roman" w:cs="Times New Roman"/>
          <w:sz w:val="24"/>
          <w:szCs w:val="24"/>
        </w:rPr>
        <w:t xml:space="preserve">-means method (figure </w:t>
      </w:r>
      <w:r w:rsidR="00867615">
        <w:rPr>
          <w:rFonts w:ascii="Times New Roman" w:hAnsi="Times New Roman" w:cs="Times New Roman"/>
          <w:sz w:val="24"/>
          <w:szCs w:val="24"/>
        </w:rPr>
        <w:t>9</w:t>
      </w:r>
      <w:r w:rsidR="000162E9">
        <w:rPr>
          <w:rFonts w:ascii="Times New Roman" w:hAnsi="Times New Roman" w:cs="Times New Roman"/>
          <w:sz w:val="24"/>
          <w:szCs w:val="24"/>
        </w:rPr>
        <w:t>)</w:t>
      </w:r>
      <w:r w:rsidR="00210B23" w:rsidRPr="00860198">
        <w:rPr>
          <w:rFonts w:ascii="Times New Roman" w:hAnsi="Times New Roman" w:cs="Times New Roman"/>
          <w:sz w:val="24"/>
          <w:szCs w:val="24"/>
        </w:rPr>
        <w:t>.  Qualitatively I consider any trends seen in cluster analysis to be weak.  If I were to present these cluster analyses in a published manuscript I would first research further statistical tests on confusion matrices/classification</w:t>
      </w:r>
      <w:r w:rsidR="00935B10" w:rsidRPr="00860198">
        <w:rPr>
          <w:rFonts w:ascii="Times New Roman" w:hAnsi="Times New Roman" w:cs="Times New Roman"/>
          <w:sz w:val="24"/>
          <w:szCs w:val="24"/>
        </w:rPr>
        <w:t xml:space="preserve">, and further investigate the characteristics associated with each respective cluster analysis group.  The variability in clustering from method to method, and the </w:t>
      </w:r>
      <w:r w:rsidR="003314EE" w:rsidRPr="00860198">
        <w:rPr>
          <w:rFonts w:ascii="Times New Roman" w:hAnsi="Times New Roman" w:cs="Times New Roman"/>
          <w:sz w:val="24"/>
          <w:szCs w:val="24"/>
        </w:rPr>
        <w:t>difficulty I’ve found in interpreting the results,</w:t>
      </w:r>
      <w:r w:rsidR="00935B10" w:rsidRPr="00860198">
        <w:rPr>
          <w:rFonts w:ascii="Times New Roman" w:hAnsi="Times New Roman" w:cs="Times New Roman"/>
          <w:sz w:val="24"/>
          <w:szCs w:val="24"/>
        </w:rPr>
        <w:t xml:space="preserve"> however, has caused me to question the value of conducting cluster analyses. </w:t>
      </w:r>
    </w:p>
    <w:p w14:paraId="521AD1D4" w14:textId="23023A72" w:rsidR="00512A92" w:rsidRPr="00860198" w:rsidRDefault="00512A92" w:rsidP="000D0D8B">
      <w:pPr>
        <w:spacing w:line="480" w:lineRule="auto"/>
        <w:rPr>
          <w:rFonts w:ascii="Times New Roman" w:hAnsi="Times New Roman" w:cs="Times New Roman"/>
          <w:b/>
          <w:bCs/>
          <w:sz w:val="24"/>
          <w:szCs w:val="24"/>
        </w:rPr>
      </w:pPr>
    </w:p>
    <w:p w14:paraId="6DDB7673" w14:textId="3FB56C5E" w:rsidR="00947929" w:rsidRPr="00860198" w:rsidRDefault="00947929" w:rsidP="000D0D8B">
      <w:pPr>
        <w:spacing w:line="480" w:lineRule="auto"/>
        <w:rPr>
          <w:rFonts w:ascii="Times New Roman" w:hAnsi="Times New Roman" w:cs="Times New Roman"/>
          <w:b/>
          <w:bCs/>
          <w:sz w:val="24"/>
          <w:szCs w:val="24"/>
        </w:rPr>
      </w:pPr>
    </w:p>
    <w:p w14:paraId="58AA0AC2" w14:textId="1FE3E202" w:rsidR="000C1CA6" w:rsidRPr="00860198" w:rsidRDefault="00B75ABD" w:rsidP="000D0D8B">
      <w:pPr>
        <w:spacing w:line="480" w:lineRule="auto"/>
        <w:rPr>
          <w:rFonts w:ascii="Times New Roman" w:hAnsi="Times New Roman" w:cs="Times New Roman"/>
          <w:b/>
          <w:bCs/>
          <w:sz w:val="24"/>
          <w:szCs w:val="24"/>
        </w:rPr>
      </w:pPr>
      <w:r>
        <w:rPr>
          <w:noProof/>
        </w:rPr>
        <w:pict w14:anchorId="72CDEDAB">
          <v:shape id="_x0000_s1029" type="#_x0000_t202" style="position:absolute;margin-left:0;margin-top:522.2pt;width:468pt;height:.05pt;z-index:251679232;mso-position-horizontal-relative:text;mso-position-vertical-relative:text" wrapcoords="-35 0 -35 21140 21600 21140 21600 0 -35 0" stroked="f">
            <v:textbox style="mso-fit-shape-to-text:t" inset="0,0,0,0">
              <w:txbxContent>
                <w:p w14:paraId="6123BE0B" w14:textId="33C8904B" w:rsidR="00BA6BE9" w:rsidRPr="00BA6BE9" w:rsidRDefault="00BA6BE9" w:rsidP="00BA6BE9">
                  <w:pPr>
                    <w:pStyle w:val="Caption"/>
                    <w:rPr>
                      <w:rFonts w:ascii="Times New Roman" w:hAnsi="Times New Roman" w:cs="Times New Roman"/>
                      <w:noProof/>
                      <w:sz w:val="32"/>
                      <w:szCs w:val="32"/>
                    </w:rPr>
                  </w:pPr>
                  <w:r w:rsidRPr="00BA6BE9">
                    <w:rPr>
                      <w:sz w:val="22"/>
                      <w:szCs w:val="22"/>
                    </w:rPr>
                    <w:t xml:space="preserve">Figure </w:t>
                  </w:r>
                  <w:r>
                    <w:rPr>
                      <w:sz w:val="22"/>
                      <w:szCs w:val="22"/>
                    </w:rPr>
                    <w:t>6</w:t>
                  </w:r>
                  <w:r w:rsidRPr="00BA6BE9">
                    <w:rPr>
                      <w:sz w:val="22"/>
                      <w:szCs w:val="22"/>
                    </w:rPr>
                    <w:t>: Hierarchical clustering analysis with Ward's method of group linkage.  Replicate units on the x axis are arranged by latitudinal position</w:t>
                  </w:r>
                </w:p>
              </w:txbxContent>
            </v:textbox>
            <w10:wrap type="tight"/>
          </v:shape>
        </w:pict>
      </w:r>
      <w:r w:rsidR="00BA6BE9" w:rsidRPr="00860198">
        <w:rPr>
          <w:rFonts w:ascii="Times New Roman" w:hAnsi="Times New Roman" w:cs="Times New Roman"/>
          <w:noProof/>
          <w:sz w:val="24"/>
          <w:szCs w:val="24"/>
        </w:rPr>
        <w:drawing>
          <wp:anchor distT="0" distB="0" distL="114300" distR="114300" simplePos="0" relativeHeight="251656192" behindDoc="1" locked="0" layoutInCell="1" allowOverlap="1" wp14:anchorId="044DB5EB" wp14:editId="2D833927">
            <wp:simplePos x="0" y="0"/>
            <wp:positionH relativeFrom="column">
              <wp:posOffset>0</wp:posOffset>
            </wp:positionH>
            <wp:positionV relativeFrom="page">
              <wp:posOffset>4517571</wp:posOffset>
            </wp:positionV>
            <wp:extent cx="5943600" cy="2971800"/>
            <wp:effectExtent l="0" t="0" r="0" b="0"/>
            <wp:wrapTight wrapText="bothSides">
              <wp:wrapPolygon edited="0">
                <wp:start x="0" y="0"/>
                <wp:lineTo x="0" y="21462"/>
                <wp:lineTo x="21531" y="21462"/>
                <wp:lineTo x="21531" y="0"/>
                <wp:lineTo x="0" y="0"/>
              </wp:wrapPolygon>
            </wp:wrapTight>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Pr>
          <w:noProof/>
        </w:rPr>
        <w:pict w14:anchorId="481C821B">
          <v:shape id="_x0000_s1028" type="#_x0000_t202" style="position:absolute;margin-left:0;margin-top:238.45pt;width:468pt;height:.05pt;z-index:251677184;mso-position-horizontal-relative:text;mso-position-vertical-relative:text" wrapcoords="-35 0 -35 21140 21600 21140 21600 0 -35 0" stroked="f">
            <v:textbox style="mso-fit-shape-to-text:t" inset="0,0,0,0">
              <w:txbxContent>
                <w:p w14:paraId="08B81A7B" w14:textId="6DCDC91D" w:rsidR="00BA6BE9" w:rsidRPr="00BA6BE9" w:rsidRDefault="00BA6BE9" w:rsidP="00BA6BE9">
                  <w:pPr>
                    <w:pStyle w:val="Caption"/>
                    <w:rPr>
                      <w:rFonts w:ascii="Times New Roman" w:hAnsi="Times New Roman" w:cs="Times New Roman"/>
                      <w:noProof/>
                      <w:sz w:val="32"/>
                      <w:szCs w:val="32"/>
                    </w:rPr>
                  </w:pPr>
                  <w:r w:rsidRPr="00BA6BE9">
                    <w:rPr>
                      <w:sz w:val="22"/>
                      <w:szCs w:val="22"/>
                    </w:rPr>
                    <w:t>Figure</w:t>
                  </w:r>
                  <w:r w:rsidR="00626930">
                    <w:rPr>
                      <w:sz w:val="22"/>
                      <w:szCs w:val="22"/>
                    </w:rPr>
                    <w:t xml:space="preserve"> 5</w:t>
                  </w:r>
                  <w:r w:rsidRPr="00BA6BE9">
                    <w:rPr>
                      <w:sz w:val="22"/>
                      <w:szCs w:val="22"/>
                    </w:rPr>
                    <w:t>: Hierarchical clustering analysis with Ward's method of group linkage.  Replicate units on the x axis are arranged by latitudinal position.</w:t>
                  </w:r>
                </w:p>
              </w:txbxContent>
            </v:textbox>
            <w10:wrap type="tight"/>
          </v:shape>
        </w:pict>
      </w:r>
      <w:r w:rsidR="00BA6BE9" w:rsidRPr="00860198">
        <w:rPr>
          <w:rFonts w:ascii="Times New Roman" w:hAnsi="Times New Roman" w:cs="Times New Roman"/>
          <w:noProof/>
          <w:sz w:val="24"/>
          <w:szCs w:val="24"/>
        </w:rPr>
        <w:drawing>
          <wp:anchor distT="0" distB="0" distL="114300" distR="114300" simplePos="0" relativeHeight="251654144" behindDoc="1" locked="0" layoutInCell="1" allowOverlap="1" wp14:anchorId="56691659" wp14:editId="11214E46">
            <wp:simplePos x="0" y="0"/>
            <wp:positionH relativeFrom="column">
              <wp:posOffset>-544</wp:posOffset>
            </wp:positionH>
            <wp:positionV relativeFrom="page">
              <wp:posOffset>914310</wp:posOffset>
            </wp:positionV>
            <wp:extent cx="5943600" cy="2971800"/>
            <wp:effectExtent l="0" t="0" r="0" b="0"/>
            <wp:wrapTight wrapText="bothSides">
              <wp:wrapPolygon edited="0">
                <wp:start x="0" y="0"/>
                <wp:lineTo x="0" y="21462"/>
                <wp:lineTo x="21531" y="21462"/>
                <wp:lineTo x="21531" y="0"/>
                <wp:lineTo x="0" y="0"/>
              </wp:wrapPolygon>
            </wp:wrapTight>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4BDEC5FB" w14:textId="22BCCF47" w:rsidR="00512A92" w:rsidRPr="00860198" w:rsidRDefault="00F817A6" w:rsidP="000D0D8B">
      <w:pPr>
        <w:spacing w:line="480" w:lineRule="auto"/>
        <w:rPr>
          <w:rFonts w:ascii="Times New Roman" w:hAnsi="Times New Roman" w:cs="Times New Roman"/>
          <w:b/>
          <w:bCs/>
          <w:sz w:val="24"/>
          <w:szCs w:val="24"/>
        </w:rPr>
      </w:pPr>
      <w:r w:rsidRPr="00860198">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28687790" wp14:editId="01AD9EB9">
            <wp:simplePos x="0" y="0"/>
            <wp:positionH relativeFrom="column">
              <wp:posOffset>0</wp:posOffset>
            </wp:positionH>
            <wp:positionV relativeFrom="page">
              <wp:posOffset>4910455</wp:posOffset>
            </wp:positionV>
            <wp:extent cx="5943600" cy="2971800"/>
            <wp:effectExtent l="0" t="0" r="0" b="0"/>
            <wp:wrapTight wrapText="bothSides">
              <wp:wrapPolygon edited="0">
                <wp:start x="0" y="0"/>
                <wp:lineTo x="0" y="21462"/>
                <wp:lineTo x="21531" y="21462"/>
                <wp:lineTo x="21531" y="0"/>
                <wp:lineTo x="0" y="0"/>
              </wp:wrapPolygon>
            </wp:wrapTight>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562B7" w14:textId="60D76299" w:rsidR="00B40E2E" w:rsidRDefault="00B40E2E" w:rsidP="000D0D8B">
      <w:pPr>
        <w:spacing w:line="480" w:lineRule="auto"/>
        <w:rPr>
          <w:rFonts w:ascii="Times New Roman" w:hAnsi="Times New Roman" w:cs="Times New Roman"/>
          <w:b/>
          <w:bCs/>
          <w:sz w:val="24"/>
          <w:szCs w:val="24"/>
        </w:rPr>
      </w:pPr>
    </w:p>
    <w:p w14:paraId="4BA1D619" w14:textId="3A888756" w:rsidR="00227338" w:rsidRDefault="00B75ABD" w:rsidP="00B550A0">
      <w:pPr>
        <w:spacing w:line="480" w:lineRule="auto"/>
        <w:rPr>
          <w:rFonts w:ascii="Times New Roman" w:hAnsi="Times New Roman" w:cs="Times New Roman"/>
          <w:i/>
          <w:iCs/>
          <w:sz w:val="24"/>
          <w:szCs w:val="24"/>
        </w:rPr>
      </w:pPr>
      <w:r>
        <w:rPr>
          <w:noProof/>
        </w:rPr>
        <w:pict w14:anchorId="0505063C">
          <v:shape id="_x0000_s1031" type="#_x0000_t202" style="position:absolute;margin-left:0;margin-top:480.2pt;width:468pt;height:31.95pt;z-index:251683328;mso-position-horizontal-relative:text;mso-position-vertical-relative:text" stroked="f">
            <v:textbox style="mso-next-textbox:#_x0000_s1031;mso-fit-shape-to-text:t" inset="0,0,0,0">
              <w:txbxContent>
                <w:p w14:paraId="2CCCD4EF" w14:textId="072BFE39" w:rsidR="00F817A6" w:rsidRPr="00B550A0" w:rsidRDefault="00F817A6" w:rsidP="00F817A6">
                  <w:pPr>
                    <w:pStyle w:val="Caption"/>
                    <w:rPr>
                      <w:rFonts w:ascii="Times New Roman" w:hAnsi="Times New Roman" w:cs="Times New Roman"/>
                      <w:noProof/>
                      <w:sz w:val="32"/>
                      <w:szCs w:val="32"/>
                    </w:rPr>
                  </w:pPr>
                  <w:r w:rsidRPr="00B550A0">
                    <w:rPr>
                      <w:sz w:val="22"/>
                      <w:szCs w:val="22"/>
                    </w:rPr>
                    <w:t xml:space="preserve">Figure 8: k-means clustering with the </w:t>
                  </w:r>
                  <w:r w:rsidRPr="00B550A0">
                    <w:rPr>
                      <w:sz w:val="22"/>
                      <w:szCs w:val="22"/>
                    </w:rPr>
                    <w:t>stats::</w:t>
                  </w:r>
                  <w:proofErr w:type="spellStart"/>
                  <w:r w:rsidRPr="00B550A0">
                    <w:rPr>
                      <w:sz w:val="22"/>
                      <w:szCs w:val="22"/>
                    </w:rPr>
                    <w:t>kmeans</w:t>
                  </w:r>
                  <w:proofErr w:type="spellEnd"/>
                  <w:r w:rsidRPr="00B550A0">
                    <w:rPr>
                      <w:sz w:val="22"/>
                      <w:szCs w:val="22"/>
                    </w:rPr>
                    <w:t>() function in R.  Replicate units on the x axis are arranged by latitudinal position, order of cluster analysis groups on the y axis is arbitrary.</w:t>
                  </w:r>
                </w:p>
              </w:txbxContent>
            </v:textbox>
            <w10:wrap type="square"/>
          </v:shape>
        </w:pict>
      </w:r>
      <w:r>
        <w:rPr>
          <w:noProof/>
        </w:rPr>
        <w:pict w14:anchorId="67626FDA">
          <v:shape id="_x0000_s1030" type="#_x0000_t202" style="position:absolute;margin-left:-.15pt;margin-top:131.9pt;width:468pt;height:.05pt;z-index:251681280;mso-position-horizontal-relative:text;mso-position-vertical-relative:text" wrapcoords="-35 0 -35 21140 21600 21140 21600 0 -35 0" stroked="f">
            <v:textbox style="mso-next-textbox:#_x0000_s1030;mso-fit-shape-to-text:t" inset="0,0,0,0">
              <w:txbxContent>
                <w:p w14:paraId="4669DEC7" w14:textId="1F0B79F5" w:rsidR="00F817A6" w:rsidRPr="00F817A6" w:rsidRDefault="00F817A6" w:rsidP="00F817A6">
                  <w:pPr>
                    <w:pStyle w:val="Caption"/>
                    <w:rPr>
                      <w:rFonts w:ascii="Times New Roman" w:hAnsi="Times New Roman" w:cs="Times New Roman"/>
                      <w:noProof/>
                      <w:sz w:val="32"/>
                      <w:szCs w:val="32"/>
                    </w:rPr>
                  </w:pPr>
                  <w:r w:rsidRPr="00F817A6">
                    <w:rPr>
                      <w:sz w:val="22"/>
                      <w:szCs w:val="22"/>
                    </w:rPr>
                    <w:t xml:space="preserve">Figure 7: k-means clustering with the </w:t>
                  </w:r>
                  <w:r w:rsidRPr="00F817A6">
                    <w:rPr>
                      <w:sz w:val="22"/>
                      <w:szCs w:val="22"/>
                    </w:rPr>
                    <w:t>cluster::pam() function in R.  Replicate units on the x axis are arranged by latitudinal position</w:t>
                  </w:r>
                  <w:r w:rsidRPr="00F817A6">
                    <w:rPr>
                      <w:noProof/>
                      <w:sz w:val="22"/>
                      <w:szCs w:val="22"/>
                    </w:rPr>
                    <w:t>, order of cluster analysis groups on the y axis is arbitrary.</w:t>
                  </w:r>
                </w:p>
              </w:txbxContent>
            </v:textbox>
            <w10:wrap type="through"/>
          </v:shape>
        </w:pict>
      </w:r>
      <w:r w:rsidR="00BA6BE9" w:rsidRPr="00860198">
        <w:rPr>
          <w:rFonts w:ascii="Times New Roman" w:hAnsi="Times New Roman" w:cs="Times New Roman"/>
          <w:noProof/>
          <w:sz w:val="24"/>
          <w:szCs w:val="24"/>
        </w:rPr>
        <w:drawing>
          <wp:anchor distT="0" distB="0" distL="114300" distR="114300" simplePos="0" relativeHeight="251664384" behindDoc="1" locked="0" layoutInCell="1" allowOverlap="1" wp14:anchorId="3EA8D280" wp14:editId="68A74512">
            <wp:simplePos x="0" y="0"/>
            <wp:positionH relativeFrom="column">
              <wp:posOffset>-2177</wp:posOffset>
            </wp:positionH>
            <wp:positionV relativeFrom="page">
              <wp:posOffset>917212</wp:posOffset>
            </wp:positionV>
            <wp:extent cx="5943600" cy="2971800"/>
            <wp:effectExtent l="0" t="0" r="0" b="0"/>
            <wp:wrapThrough wrapText="bothSides">
              <wp:wrapPolygon edited="0">
                <wp:start x="0" y="0"/>
                <wp:lineTo x="0" y="21462"/>
                <wp:lineTo x="21531" y="21462"/>
                <wp:lineTo x="21531" y="0"/>
                <wp:lineTo x="0" y="0"/>
              </wp:wrapPolygon>
            </wp:wrapThrough>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6FE195DE" w14:textId="77777777" w:rsidR="00227338" w:rsidRDefault="00227338" w:rsidP="000D0D8B">
      <w:pPr>
        <w:spacing w:after="0" w:line="480" w:lineRule="auto"/>
        <w:rPr>
          <w:rFonts w:ascii="Times New Roman" w:hAnsi="Times New Roman" w:cs="Times New Roman"/>
          <w:i/>
          <w:iCs/>
          <w:sz w:val="24"/>
          <w:szCs w:val="24"/>
        </w:rPr>
      </w:pPr>
    </w:p>
    <w:p w14:paraId="63F75330" w14:textId="0BD9F493" w:rsidR="00227338" w:rsidRDefault="00B75ABD" w:rsidP="000D0D8B">
      <w:pPr>
        <w:spacing w:after="0" w:line="480" w:lineRule="auto"/>
        <w:rPr>
          <w:rFonts w:ascii="Times New Roman" w:hAnsi="Times New Roman" w:cs="Times New Roman"/>
          <w:i/>
          <w:iCs/>
          <w:sz w:val="24"/>
          <w:szCs w:val="24"/>
        </w:rPr>
      </w:pPr>
      <w:r>
        <w:rPr>
          <w:noProof/>
        </w:rPr>
        <w:lastRenderedPageBreak/>
        <w:pict w14:anchorId="6B60C328">
          <v:shape id="_x0000_s1032" type="#_x0000_t202" style="position:absolute;margin-left:-.1pt;margin-top:238.5pt;width:468pt;height:.05pt;z-index:251685376;mso-position-horizontal-relative:text;mso-position-vertical-relative:text" wrapcoords="-35 0 -35 21016 21600 21016 21600 0 -35 0" stroked="f">
            <v:textbox style="mso-fit-shape-to-text:t" inset="0,0,0,0">
              <w:txbxContent>
                <w:p w14:paraId="7A2BBAE8" w14:textId="51F1DA11" w:rsidR="00B550A0" w:rsidRPr="00B550A0" w:rsidRDefault="00B550A0" w:rsidP="00B550A0">
                  <w:pPr>
                    <w:pStyle w:val="Caption"/>
                    <w:rPr>
                      <w:rFonts w:ascii="Times New Roman" w:hAnsi="Times New Roman" w:cs="Times New Roman"/>
                      <w:noProof/>
                      <w:sz w:val="32"/>
                      <w:szCs w:val="32"/>
                    </w:rPr>
                  </w:pPr>
                  <w:r w:rsidRPr="00B550A0">
                    <w:rPr>
                      <w:sz w:val="22"/>
                      <w:szCs w:val="22"/>
                    </w:rPr>
                    <w:t xml:space="preserve">Figure 9: </w:t>
                  </w:r>
                  <w:r>
                    <w:rPr>
                      <w:sz w:val="22"/>
                      <w:szCs w:val="22"/>
                    </w:rPr>
                    <w:t>k-means clustering with pam() function,</w:t>
                  </w:r>
                  <w:r w:rsidRPr="00B550A0">
                    <w:rPr>
                      <w:sz w:val="22"/>
                      <w:szCs w:val="22"/>
                    </w:rPr>
                    <w:t xml:space="preserve"> with two groups of replicate units</w:t>
                  </w:r>
                  <w:r>
                    <w:rPr>
                      <w:sz w:val="22"/>
                      <w:szCs w:val="22"/>
                    </w:rPr>
                    <w:t xml:space="preserve"> (four westmost and four eastmost)</w:t>
                  </w:r>
                  <w:r w:rsidRPr="00B550A0">
                    <w:rPr>
                      <w:sz w:val="22"/>
                      <w:szCs w:val="22"/>
                    </w:rPr>
                    <w:t xml:space="preserve"> and two cluster analysis groups.</w:t>
                  </w:r>
                </w:p>
              </w:txbxContent>
            </v:textbox>
            <w10:wrap type="tight"/>
          </v:shape>
        </w:pict>
      </w:r>
      <w:r w:rsidR="00B550A0" w:rsidRPr="00860198">
        <w:rPr>
          <w:rFonts w:ascii="Times New Roman" w:hAnsi="Times New Roman" w:cs="Times New Roman"/>
          <w:noProof/>
          <w:sz w:val="24"/>
          <w:szCs w:val="24"/>
        </w:rPr>
        <w:drawing>
          <wp:anchor distT="0" distB="0" distL="114300" distR="114300" simplePos="0" relativeHeight="251658240" behindDoc="1" locked="0" layoutInCell="1" allowOverlap="1" wp14:anchorId="5C38EB30" wp14:editId="5CFCE30E">
            <wp:simplePos x="0" y="0"/>
            <wp:positionH relativeFrom="column">
              <wp:posOffset>-1270</wp:posOffset>
            </wp:positionH>
            <wp:positionV relativeFrom="page">
              <wp:posOffset>914400</wp:posOffset>
            </wp:positionV>
            <wp:extent cx="5943600" cy="2971800"/>
            <wp:effectExtent l="0" t="0" r="0" b="0"/>
            <wp:wrapTight wrapText="bothSides">
              <wp:wrapPolygon edited="0">
                <wp:start x="0" y="0"/>
                <wp:lineTo x="0" y="21462"/>
                <wp:lineTo x="21531" y="21462"/>
                <wp:lineTo x="21531" y="0"/>
                <wp:lineTo x="0" y="0"/>
              </wp:wrapPolygon>
            </wp:wrapTight>
            <wp:docPr id="12" name="Picture 12" descr="Background pattern,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6E16B859" w14:textId="35785148" w:rsidR="00227338" w:rsidRDefault="00B75ABD" w:rsidP="000D0D8B">
      <w:pPr>
        <w:spacing w:after="0" w:line="480" w:lineRule="auto"/>
        <w:rPr>
          <w:rFonts w:ascii="Times New Roman" w:hAnsi="Times New Roman" w:cs="Times New Roman"/>
          <w:i/>
          <w:iCs/>
          <w:sz w:val="24"/>
          <w:szCs w:val="24"/>
        </w:rPr>
      </w:pPr>
      <w:r>
        <w:rPr>
          <w:noProof/>
        </w:rPr>
        <w:pict w14:anchorId="6580DED3">
          <v:shape id="_x0000_s1033" type="#_x0000_t202" style="position:absolute;margin-left:-10pt;margin-top:218.95pt;width:468pt;height:.05pt;z-index:251687424;mso-position-horizontal-relative:text;mso-position-vertical-relative:text" wrapcoords="-35 0 -35 21000 21600 21000 21600 0 -35 0" stroked="f">
            <v:textbox style="mso-fit-shape-to-text:t" inset="0,0,0,0">
              <w:txbxContent>
                <w:p w14:paraId="1BF1204B" w14:textId="7A17956A" w:rsidR="00B550A0" w:rsidRPr="00A428A3" w:rsidRDefault="00B550A0" w:rsidP="00B550A0">
                  <w:pPr>
                    <w:pStyle w:val="Caption"/>
                    <w:rPr>
                      <w:noProof/>
                      <w:sz w:val="22"/>
                      <w:szCs w:val="22"/>
                    </w:rPr>
                  </w:pPr>
                  <w:r w:rsidRPr="00A428A3">
                    <w:rPr>
                      <w:sz w:val="22"/>
                      <w:szCs w:val="22"/>
                    </w:rPr>
                    <w:t xml:space="preserve">Figure </w:t>
                  </w:r>
                  <w:r w:rsidR="00A428A3" w:rsidRPr="00A428A3">
                    <w:rPr>
                      <w:sz w:val="22"/>
                      <w:szCs w:val="22"/>
                    </w:rPr>
                    <w:t>10</w:t>
                  </w:r>
                  <w:r w:rsidRPr="00A428A3">
                    <w:rPr>
                      <w:sz w:val="22"/>
                      <w:szCs w:val="22"/>
                    </w:rPr>
                    <w:t>: k-means clustering with pam() function, with two groups of replicate units (four westmost and four eastmost) and two cluster analysis groups.</w:t>
                  </w:r>
                </w:p>
              </w:txbxContent>
            </v:textbox>
            <w10:wrap type="tight"/>
          </v:shape>
        </w:pict>
      </w:r>
      <w:r w:rsidR="00B550A0">
        <w:rPr>
          <w:noProof/>
        </w:rPr>
        <w:drawing>
          <wp:anchor distT="0" distB="0" distL="114300" distR="114300" simplePos="0" relativeHeight="251660288" behindDoc="1" locked="0" layoutInCell="1" allowOverlap="1" wp14:anchorId="50104FC6" wp14:editId="6F8E3634">
            <wp:simplePos x="0" y="0"/>
            <wp:positionH relativeFrom="column">
              <wp:posOffset>-127000</wp:posOffset>
            </wp:positionH>
            <wp:positionV relativeFrom="page">
              <wp:posOffset>4521200</wp:posOffset>
            </wp:positionV>
            <wp:extent cx="5943600" cy="2971800"/>
            <wp:effectExtent l="0" t="0" r="0" b="0"/>
            <wp:wrapTight wrapText="bothSides">
              <wp:wrapPolygon edited="0">
                <wp:start x="0" y="0"/>
                <wp:lineTo x="0" y="21462"/>
                <wp:lineTo x="21531" y="21462"/>
                <wp:lineTo x="21531" y="0"/>
                <wp:lineTo x="0" y="0"/>
              </wp:wrapPolygon>
            </wp:wrapTight>
            <wp:docPr id="17" name="Picture 17" descr="A picture containing text, birdhous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birdhouse,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6FE09767" w14:textId="77777777" w:rsidR="00A428A3" w:rsidRDefault="00A428A3" w:rsidP="00A428A3">
      <w:pPr>
        <w:keepNext/>
        <w:spacing w:after="0" w:line="480" w:lineRule="auto"/>
      </w:pPr>
      <w:r w:rsidRPr="00860198">
        <w:rPr>
          <w:rFonts w:ascii="Times New Roman" w:hAnsi="Times New Roman" w:cs="Times New Roman"/>
          <w:noProof/>
          <w:sz w:val="24"/>
          <w:szCs w:val="24"/>
        </w:rPr>
        <w:lastRenderedPageBreak/>
        <w:drawing>
          <wp:inline distT="0" distB="0" distL="0" distR="0" wp14:anchorId="6D7D2BA8" wp14:editId="05D4FE0A">
            <wp:extent cx="5943600" cy="339661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61D3F4F" w14:textId="7B8D28E8" w:rsidR="00A428A3" w:rsidRDefault="00A428A3" w:rsidP="00A428A3">
      <w:pPr>
        <w:pStyle w:val="Caption"/>
        <w:rPr>
          <w:sz w:val="22"/>
          <w:szCs w:val="22"/>
        </w:rPr>
      </w:pPr>
      <w:r w:rsidRPr="00A428A3">
        <w:rPr>
          <w:sz w:val="22"/>
          <w:szCs w:val="22"/>
        </w:rPr>
        <w:t>Figure</w:t>
      </w:r>
      <w:r>
        <w:rPr>
          <w:sz w:val="22"/>
          <w:szCs w:val="22"/>
        </w:rPr>
        <w:t xml:space="preserve"> 11</w:t>
      </w:r>
      <w:r w:rsidRPr="00A428A3">
        <w:rPr>
          <w:sz w:val="22"/>
          <w:szCs w:val="22"/>
        </w:rPr>
        <w:t xml:space="preserve">: Loadings of first three </w:t>
      </w:r>
      <w:proofErr w:type="spellStart"/>
      <w:r w:rsidRPr="00A428A3">
        <w:rPr>
          <w:sz w:val="22"/>
          <w:szCs w:val="22"/>
        </w:rPr>
        <w:t>prinicipal</w:t>
      </w:r>
      <w:proofErr w:type="spellEnd"/>
      <w:r w:rsidRPr="00A428A3">
        <w:rPr>
          <w:sz w:val="22"/>
          <w:szCs w:val="22"/>
        </w:rPr>
        <w:t xml:space="preserve"> components from the PCA with all response variables.</w:t>
      </w:r>
    </w:p>
    <w:p w14:paraId="11CE463F" w14:textId="77777777" w:rsidR="00A428A3" w:rsidRPr="00A428A3" w:rsidRDefault="00A428A3" w:rsidP="00A428A3"/>
    <w:p w14:paraId="18568CE1" w14:textId="4E526F0E" w:rsidR="00A428A3" w:rsidRPr="002D69D5" w:rsidRDefault="00A428A3" w:rsidP="00A428A3">
      <w:pPr>
        <w:pStyle w:val="Caption"/>
        <w:keepNext/>
        <w:rPr>
          <w:sz w:val="22"/>
          <w:szCs w:val="22"/>
        </w:rPr>
      </w:pPr>
      <w:r w:rsidRPr="002D69D5">
        <w:rPr>
          <w:sz w:val="22"/>
          <w:szCs w:val="22"/>
        </w:rPr>
        <w:t xml:space="preserve">Table </w:t>
      </w:r>
      <w:r w:rsidRPr="002D69D5">
        <w:rPr>
          <w:sz w:val="22"/>
          <w:szCs w:val="22"/>
        </w:rPr>
        <w:fldChar w:fldCharType="begin"/>
      </w:r>
      <w:r w:rsidRPr="002D69D5">
        <w:rPr>
          <w:sz w:val="22"/>
          <w:szCs w:val="22"/>
        </w:rPr>
        <w:instrText xml:space="preserve"> SEQ Table \* ARABIC </w:instrText>
      </w:r>
      <w:r w:rsidRPr="002D69D5">
        <w:rPr>
          <w:sz w:val="22"/>
          <w:szCs w:val="22"/>
        </w:rPr>
        <w:fldChar w:fldCharType="separate"/>
      </w:r>
      <w:r w:rsidR="008939AA">
        <w:rPr>
          <w:noProof/>
          <w:sz w:val="22"/>
          <w:szCs w:val="22"/>
        </w:rPr>
        <w:t>1</w:t>
      </w:r>
      <w:r w:rsidRPr="002D69D5">
        <w:rPr>
          <w:sz w:val="22"/>
          <w:szCs w:val="22"/>
        </w:rPr>
        <w:fldChar w:fldCharType="end"/>
      </w:r>
      <w:r w:rsidRPr="002D69D5">
        <w:rPr>
          <w:sz w:val="22"/>
          <w:szCs w:val="22"/>
        </w:rPr>
        <w:t xml:space="preserve">: Response variables with a greater than 0.3 loading for one of the first three </w:t>
      </w:r>
      <w:proofErr w:type="gramStart"/>
      <w:r w:rsidRPr="002D69D5">
        <w:rPr>
          <w:sz w:val="22"/>
          <w:szCs w:val="22"/>
        </w:rPr>
        <w:t>principle</w:t>
      </w:r>
      <w:proofErr w:type="gramEnd"/>
      <w:r w:rsidRPr="002D69D5">
        <w:rPr>
          <w:sz w:val="22"/>
          <w:szCs w:val="22"/>
        </w:rPr>
        <w:t xml:space="preserve"> components of the full PCA.</w:t>
      </w:r>
    </w:p>
    <w:p w14:paraId="31005EC8" w14:textId="77777777" w:rsidR="00A428A3" w:rsidRDefault="00A428A3" w:rsidP="000D0D8B">
      <w:pPr>
        <w:spacing w:after="0" w:line="480" w:lineRule="auto"/>
        <w:rPr>
          <w:rFonts w:ascii="Times New Roman" w:hAnsi="Times New Roman" w:cs="Times New Roman"/>
          <w:i/>
          <w:iCs/>
          <w:sz w:val="24"/>
          <w:szCs w:val="24"/>
        </w:rPr>
      </w:pPr>
      <w:r>
        <w:rPr>
          <w:noProof/>
        </w:rPr>
        <w:drawing>
          <wp:inline distT="0" distB="0" distL="0" distR="0" wp14:anchorId="33143A9A" wp14:editId="7F32D44B">
            <wp:extent cx="5943600" cy="28352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5943600" cy="2835275"/>
                    </a:xfrm>
                    <a:prstGeom prst="rect">
                      <a:avLst/>
                    </a:prstGeom>
                  </pic:spPr>
                </pic:pic>
              </a:graphicData>
            </a:graphic>
          </wp:inline>
        </w:drawing>
      </w:r>
    </w:p>
    <w:p w14:paraId="00DB4065" w14:textId="77777777" w:rsidR="002D69D5" w:rsidRDefault="002D69D5" w:rsidP="000D0D8B">
      <w:pPr>
        <w:spacing w:after="0" w:line="480" w:lineRule="auto"/>
        <w:rPr>
          <w:rFonts w:ascii="Times New Roman" w:hAnsi="Times New Roman" w:cs="Times New Roman"/>
          <w:i/>
          <w:iCs/>
          <w:sz w:val="24"/>
          <w:szCs w:val="24"/>
        </w:rPr>
      </w:pPr>
    </w:p>
    <w:p w14:paraId="18D8B491" w14:textId="628459F6" w:rsidR="00860198" w:rsidRPr="00860198" w:rsidRDefault="00125EB4" w:rsidP="000D0D8B">
      <w:pPr>
        <w:spacing w:after="0" w:line="480" w:lineRule="auto"/>
        <w:rPr>
          <w:rFonts w:ascii="Times New Roman" w:hAnsi="Times New Roman" w:cs="Times New Roman"/>
          <w:i/>
          <w:iCs/>
          <w:sz w:val="24"/>
          <w:szCs w:val="24"/>
        </w:rPr>
      </w:pPr>
      <w:r w:rsidRPr="00860198">
        <w:rPr>
          <w:rFonts w:ascii="Times New Roman" w:hAnsi="Times New Roman" w:cs="Times New Roman"/>
          <w:i/>
          <w:iCs/>
          <w:sz w:val="24"/>
          <w:szCs w:val="24"/>
        </w:rPr>
        <w:lastRenderedPageBreak/>
        <w:t>Question 3: Could the number of variables needed in analysis potentially be reduced by data reduction methods?</w:t>
      </w:r>
    </w:p>
    <w:p w14:paraId="52765A0B" w14:textId="20D8D28F" w:rsidR="005744E3" w:rsidRDefault="00096606" w:rsidP="000D0D8B">
      <w:pPr>
        <w:spacing w:line="480" w:lineRule="auto"/>
        <w:rPr>
          <w:rFonts w:ascii="Times New Roman" w:hAnsi="Times New Roman" w:cs="Times New Roman"/>
          <w:sz w:val="24"/>
          <w:szCs w:val="24"/>
        </w:rPr>
      </w:pPr>
      <w:r w:rsidRPr="00860198">
        <w:rPr>
          <w:rFonts w:ascii="Times New Roman" w:hAnsi="Times New Roman" w:cs="Times New Roman"/>
          <w:b/>
          <w:bCs/>
          <w:sz w:val="24"/>
          <w:szCs w:val="24"/>
        </w:rPr>
        <w:tab/>
      </w:r>
      <w:r w:rsidRPr="00860198">
        <w:rPr>
          <w:rFonts w:ascii="Times New Roman" w:hAnsi="Times New Roman" w:cs="Times New Roman"/>
          <w:sz w:val="24"/>
          <w:szCs w:val="24"/>
        </w:rPr>
        <w:t>With all response variables run together,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one explained 31% of the variance,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two explained 19%, and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three explained </w:t>
      </w:r>
    </w:p>
    <w:p w14:paraId="499DB626" w14:textId="0FE19765" w:rsidR="00512A92" w:rsidRDefault="00096606" w:rsidP="000D0D8B">
      <w:pPr>
        <w:spacing w:line="480" w:lineRule="auto"/>
        <w:rPr>
          <w:rFonts w:ascii="Times New Roman" w:hAnsi="Times New Roman" w:cs="Times New Roman"/>
          <w:sz w:val="24"/>
          <w:szCs w:val="24"/>
        </w:rPr>
      </w:pPr>
      <w:r w:rsidRPr="00860198">
        <w:rPr>
          <w:rFonts w:ascii="Times New Roman" w:hAnsi="Times New Roman" w:cs="Times New Roman"/>
          <w:sz w:val="24"/>
          <w:szCs w:val="24"/>
        </w:rPr>
        <w:t xml:space="preserve">11% (figure </w:t>
      </w:r>
      <w:r w:rsidR="004E66CC">
        <w:rPr>
          <w:rFonts w:ascii="Times New Roman" w:hAnsi="Times New Roman" w:cs="Times New Roman"/>
          <w:sz w:val="24"/>
          <w:szCs w:val="24"/>
        </w:rPr>
        <w:t>11</w:t>
      </w:r>
      <w:r w:rsidRPr="00860198">
        <w:rPr>
          <w:rFonts w:ascii="Times New Roman" w:hAnsi="Times New Roman" w:cs="Times New Roman"/>
          <w:sz w:val="24"/>
          <w:szCs w:val="24"/>
        </w:rPr>
        <w:t>).  The first two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were primarily related to tree mortality</w:t>
      </w:r>
      <w:r w:rsidR="000162E9">
        <w:rPr>
          <w:rFonts w:ascii="Times New Roman" w:hAnsi="Times New Roman" w:cs="Times New Roman"/>
          <w:sz w:val="24"/>
          <w:szCs w:val="24"/>
        </w:rPr>
        <w:t xml:space="preserve"> and fire behavior</w:t>
      </w:r>
      <w:r w:rsidRPr="00860198">
        <w:rPr>
          <w:rFonts w:ascii="Times New Roman" w:hAnsi="Times New Roman" w:cs="Times New Roman"/>
          <w:sz w:val="24"/>
          <w:szCs w:val="24"/>
        </w:rPr>
        <w:t>, while the third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corresponded to more closed canopy positions and later successional status (table </w:t>
      </w:r>
      <w:r w:rsidR="004E66CC">
        <w:rPr>
          <w:rFonts w:ascii="Times New Roman" w:hAnsi="Times New Roman" w:cs="Times New Roman"/>
          <w:sz w:val="24"/>
          <w:szCs w:val="24"/>
        </w:rPr>
        <w:t>1</w:t>
      </w:r>
      <w:r w:rsidRPr="00860198">
        <w:rPr>
          <w:rFonts w:ascii="Times New Roman" w:hAnsi="Times New Roman" w:cs="Times New Roman"/>
          <w:sz w:val="24"/>
          <w:szCs w:val="24"/>
        </w:rPr>
        <w:t>).  The field variables PCA explained less variance, with the first three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explaining 56% (figure </w:t>
      </w:r>
      <w:r w:rsidR="004E66CC">
        <w:rPr>
          <w:rFonts w:ascii="Times New Roman" w:hAnsi="Times New Roman" w:cs="Times New Roman"/>
          <w:sz w:val="24"/>
          <w:szCs w:val="24"/>
        </w:rPr>
        <w:t>12</w:t>
      </w:r>
      <w:r w:rsidRPr="00860198">
        <w:rPr>
          <w:rFonts w:ascii="Times New Roman" w:hAnsi="Times New Roman" w:cs="Times New Roman"/>
          <w:sz w:val="24"/>
          <w:szCs w:val="24"/>
        </w:rPr>
        <w:t>).  The modelling variables PCA explained more variance, with 88% explained in the first three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and 53% explained by the first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(figure </w:t>
      </w:r>
      <w:r w:rsidR="004E66CC">
        <w:rPr>
          <w:rFonts w:ascii="Times New Roman" w:hAnsi="Times New Roman" w:cs="Times New Roman"/>
          <w:sz w:val="24"/>
          <w:szCs w:val="24"/>
        </w:rPr>
        <w:t>13</w:t>
      </w:r>
      <w:r w:rsidRPr="00860198">
        <w:rPr>
          <w:rFonts w:ascii="Times New Roman" w:hAnsi="Times New Roman" w:cs="Times New Roman"/>
          <w:sz w:val="24"/>
          <w:szCs w:val="24"/>
        </w:rPr>
        <w:t>).  The first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in the field data </w:t>
      </w:r>
      <w:r w:rsidR="00860198" w:rsidRPr="00860198">
        <w:rPr>
          <w:rFonts w:ascii="Times New Roman" w:hAnsi="Times New Roman" w:cs="Times New Roman"/>
          <w:sz w:val="24"/>
          <w:szCs w:val="24"/>
        </w:rPr>
        <w:t xml:space="preserve">PCA </w:t>
      </w:r>
      <w:r w:rsidRPr="00860198">
        <w:rPr>
          <w:rFonts w:ascii="Times New Roman" w:hAnsi="Times New Roman" w:cs="Times New Roman"/>
          <w:sz w:val="24"/>
          <w:szCs w:val="24"/>
        </w:rPr>
        <w:t>was positively associated with stand structure and woody surface fuel, and the first two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of the modelling </w:t>
      </w:r>
      <w:r w:rsidR="00860198" w:rsidRPr="00860198">
        <w:rPr>
          <w:rFonts w:ascii="Times New Roman" w:hAnsi="Times New Roman" w:cs="Times New Roman"/>
          <w:sz w:val="24"/>
          <w:szCs w:val="24"/>
        </w:rPr>
        <w:t xml:space="preserve">variable PCA were positively associated with tree mortality. </w:t>
      </w:r>
    </w:p>
    <w:p w14:paraId="3AEAF34B" w14:textId="77777777" w:rsidR="002D69D5" w:rsidRPr="00BA6BE9" w:rsidRDefault="002D69D5" w:rsidP="000D0D8B">
      <w:pPr>
        <w:spacing w:line="480" w:lineRule="auto"/>
        <w:rPr>
          <w:rFonts w:ascii="Times New Roman" w:hAnsi="Times New Roman" w:cs="Times New Roman"/>
          <w:sz w:val="24"/>
          <w:szCs w:val="24"/>
        </w:rPr>
      </w:pPr>
    </w:p>
    <w:p w14:paraId="37624597" w14:textId="4B67129B" w:rsidR="00512A92" w:rsidRDefault="00512A92" w:rsidP="000D0D8B">
      <w:pPr>
        <w:spacing w:line="480" w:lineRule="auto"/>
        <w:rPr>
          <w:rFonts w:ascii="Times New Roman" w:hAnsi="Times New Roman" w:cs="Times New Roman"/>
          <w:b/>
          <w:bCs/>
          <w:sz w:val="24"/>
          <w:szCs w:val="24"/>
        </w:rPr>
      </w:pPr>
      <w:r w:rsidRPr="009A6C55">
        <w:rPr>
          <w:rFonts w:ascii="Times New Roman" w:hAnsi="Times New Roman" w:cs="Times New Roman"/>
          <w:b/>
          <w:bCs/>
          <w:sz w:val="24"/>
          <w:szCs w:val="24"/>
        </w:rPr>
        <w:t>Discussion</w:t>
      </w:r>
    </w:p>
    <w:p w14:paraId="5F6B9F69" w14:textId="77777777" w:rsidR="002D69D5" w:rsidRDefault="004308F7" w:rsidP="002D69D5">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NDMS results </w:t>
      </w:r>
      <w:r w:rsidR="00BF291D">
        <w:rPr>
          <w:rFonts w:ascii="Times New Roman" w:hAnsi="Times New Roman" w:cs="Times New Roman"/>
          <w:sz w:val="24"/>
          <w:szCs w:val="24"/>
        </w:rPr>
        <w:t>suggested that</w:t>
      </w:r>
      <w:r w:rsidR="00AD13CD">
        <w:rPr>
          <w:rFonts w:ascii="Times New Roman" w:hAnsi="Times New Roman" w:cs="Times New Roman"/>
          <w:sz w:val="24"/>
          <w:szCs w:val="24"/>
        </w:rPr>
        <w:t xml:space="preserve"> assumptions about pretreatment experimental balance</w:t>
      </w:r>
      <w:r w:rsidR="00BF291D">
        <w:rPr>
          <w:rFonts w:ascii="Times New Roman" w:hAnsi="Times New Roman" w:cs="Times New Roman"/>
          <w:sz w:val="24"/>
          <w:szCs w:val="24"/>
        </w:rPr>
        <w:t xml:space="preserve"> may be reasonable</w:t>
      </w:r>
      <w:r w:rsidR="00112C85">
        <w:rPr>
          <w:rFonts w:ascii="Times New Roman" w:hAnsi="Times New Roman" w:cs="Times New Roman"/>
          <w:sz w:val="24"/>
          <w:szCs w:val="24"/>
        </w:rPr>
        <w:t>, and s</w:t>
      </w:r>
      <w:r w:rsidR="0022026B">
        <w:rPr>
          <w:rFonts w:ascii="Times New Roman" w:hAnsi="Times New Roman" w:cs="Times New Roman"/>
          <w:sz w:val="24"/>
          <w:szCs w:val="24"/>
        </w:rPr>
        <w:t>ubstantial overlap in ordination space among treatment categories may strengthen my confidence in my univariate hypothesis tests</w:t>
      </w:r>
      <w:r w:rsidR="00112C85">
        <w:rPr>
          <w:rFonts w:ascii="Times New Roman" w:hAnsi="Times New Roman" w:cs="Times New Roman"/>
          <w:sz w:val="24"/>
          <w:szCs w:val="24"/>
        </w:rPr>
        <w:t>.  However, overlap in ordination space may not translate to overlap for all response variables.  Additionally, the smaller range of variation for the control treatment category, represented only by one replicate unit after the 2012 Poison Fire, should be considered while interpreting results from all analyses at the study site.</w:t>
      </w:r>
    </w:p>
    <w:p w14:paraId="4F2ACFE6" w14:textId="77777777" w:rsidR="002D69D5" w:rsidRDefault="002D69D5" w:rsidP="002D69D5">
      <w:pPr>
        <w:keepNext/>
        <w:spacing w:after="0" w:line="480" w:lineRule="auto"/>
      </w:pPr>
      <w:r>
        <w:rPr>
          <w:noProof/>
        </w:rPr>
        <w:lastRenderedPageBreak/>
        <w:drawing>
          <wp:inline distT="0" distB="0" distL="0" distR="0" wp14:anchorId="6A0BD96F" wp14:editId="688D0C68">
            <wp:extent cx="5943600" cy="339661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74D0035C" w14:textId="4E523927" w:rsidR="002D69D5" w:rsidRDefault="002D69D5" w:rsidP="002D69D5">
      <w:pPr>
        <w:pStyle w:val="Caption"/>
        <w:rPr>
          <w:sz w:val="22"/>
          <w:szCs w:val="22"/>
        </w:rPr>
      </w:pPr>
      <w:r w:rsidRPr="00A428A3">
        <w:rPr>
          <w:sz w:val="22"/>
          <w:szCs w:val="22"/>
        </w:rPr>
        <w:t>Figure</w:t>
      </w:r>
      <w:r>
        <w:rPr>
          <w:sz w:val="22"/>
          <w:szCs w:val="22"/>
        </w:rPr>
        <w:t xml:space="preserve"> 12</w:t>
      </w:r>
      <w:r w:rsidRPr="00A428A3">
        <w:rPr>
          <w:sz w:val="22"/>
          <w:szCs w:val="22"/>
        </w:rPr>
        <w:t xml:space="preserve">: Loadings of first three </w:t>
      </w:r>
      <w:r w:rsidR="00E14653">
        <w:rPr>
          <w:sz w:val="22"/>
          <w:szCs w:val="22"/>
        </w:rPr>
        <w:t xml:space="preserve">principal </w:t>
      </w:r>
      <w:r w:rsidRPr="00A428A3">
        <w:rPr>
          <w:sz w:val="22"/>
          <w:szCs w:val="22"/>
        </w:rPr>
        <w:t xml:space="preserve"> components from the PCA with </w:t>
      </w:r>
      <w:r w:rsidR="00E14653">
        <w:rPr>
          <w:sz w:val="22"/>
          <w:szCs w:val="22"/>
        </w:rPr>
        <w:t>field variables only</w:t>
      </w:r>
      <w:r w:rsidRPr="00A428A3">
        <w:rPr>
          <w:sz w:val="22"/>
          <w:szCs w:val="22"/>
        </w:rPr>
        <w:t>.</w:t>
      </w:r>
    </w:p>
    <w:p w14:paraId="2970D49F" w14:textId="6B1DC606" w:rsidR="002D69D5" w:rsidRDefault="002D69D5" w:rsidP="002D69D5">
      <w:pPr>
        <w:pStyle w:val="Caption"/>
        <w:rPr>
          <w:rFonts w:ascii="Times New Roman" w:hAnsi="Times New Roman" w:cs="Times New Roman"/>
          <w:sz w:val="24"/>
          <w:szCs w:val="24"/>
        </w:rPr>
      </w:pPr>
    </w:p>
    <w:p w14:paraId="16AADE12" w14:textId="77777777" w:rsidR="00E14653" w:rsidRDefault="002D69D5" w:rsidP="00E14653">
      <w:pPr>
        <w:keepNext/>
        <w:spacing w:after="0" w:line="480" w:lineRule="auto"/>
      </w:pPr>
      <w:r>
        <w:rPr>
          <w:noProof/>
        </w:rPr>
        <w:drawing>
          <wp:inline distT="0" distB="0" distL="0" distR="0" wp14:anchorId="76113690" wp14:editId="5FF370B5">
            <wp:extent cx="5943600" cy="339661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246F7707" w14:textId="11E58EB4" w:rsidR="002D69D5" w:rsidRDefault="00E14653" w:rsidP="00E14653">
      <w:pPr>
        <w:pStyle w:val="Caption"/>
        <w:rPr>
          <w:rFonts w:ascii="Times New Roman" w:hAnsi="Times New Roman" w:cs="Times New Roman"/>
          <w:sz w:val="24"/>
          <w:szCs w:val="24"/>
        </w:rPr>
      </w:pPr>
      <w:r w:rsidRPr="00E14653">
        <w:rPr>
          <w:sz w:val="22"/>
          <w:szCs w:val="22"/>
        </w:rPr>
        <w:t xml:space="preserve">Figure 13: Loadings of first three </w:t>
      </w:r>
      <w:proofErr w:type="spellStart"/>
      <w:r w:rsidRPr="00E14653">
        <w:rPr>
          <w:sz w:val="22"/>
          <w:szCs w:val="22"/>
        </w:rPr>
        <w:t>prinicipal</w:t>
      </w:r>
      <w:proofErr w:type="spellEnd"/>
      <w:r w:rsidRPr="00E14653">
        <w:rPr>
          <w:sz w:val="22"/>
          <w:szCs w:val="22"/>
        </w:rPr>
        <w:t xml:space="preserve"> components from the PCA with modelled response variables only. </w:t>
      </w:r>
    </w:p>
    <w:p w14:paraId="2E4402EE" w14:textId="77777777" w:rsidR="002D69D5" w:rsidRDefault="002D69D5" w:rsidP="002D69D5">
      <w:pPr>
        <w:spacing w:after="0" w:line="480" w:lineRule="auto"/>
        <w:rPr>
          <w:rFonts w:ascii="Times New Roman" w:hAnsi="Times New Roman" w:cs="Times New Roman"/>
          <w:sz w:val="24"/>
          <w:szCs w:val="24"/>
        </w:rPr>
      </w:pPr>
    </w:p>
    <w:p w14:paraId="3A9B7120" w14:textId="09A6FE5B" w:rsidR="00112C85" w:rsidRDefault="00ED332D" w:rsidP="00E146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Mo</w:t>
      </w:r>
      <w:r w:rsidR="00112C85">
        <w:rPr>
          <w:rFonts w:ascii="Times New Roman" w:hAnsi="Times New Roman" w:cs="Times New Roman"/>
          <w:sz w:val="24"/>
          <w:szCs w:val="24"/>
        </w:rPr>
        <w:t xml:space="preserve">vement of treatment category centroids in NMDS space </w:t>
      </w:r>
      <w:r w:rsidR="00462801">
        <w:rPr>
          <w:rFonts w:ascii="Times New Roman" w:hAnsi="Times New Roman" w:cs="Times New Roman"/>
          <w:sz w:val="24"/>
          <w:szCs w:val="24"/>
        </w:rPr>
        <w:t>suggest</w:t>
      </w:r>
      <w:r w:rsidR="00112C85">
        <w:rPr>
          <w:rFonts w:ascii="Times New Roman" w:hAnsi="Times New Roman" w:cs="Times New Roman"/>
          <w:sz w:val="24"/>
          <w:szCs w:val="24"/>
        </w:rPr>
        <w:t xml:space="preserve"> some minor overall effects of treatment</w:t>
      </w:r>
      <w:r w:rsidR="00462801">
        <w:rPr>
          <w:rFonts w:ascii="Times New Roman" w:hAnsi="Times New Roman" w:cs="Times New Roman"/>
          <w:sz w:val="24"/>
          <w:szCs w:val="24"/>
        </w:rPr>
        <w:t>.  The movement of</w:t>
      </w:r>
      <w:r>
        <w:rPr>
          <w:rFonts w:ascii="Times New Roman" w:hAnsi="Times New Roman" w:cs="Times New Roman"/>
          <w:sz w:val="24"/>
          <w:szCs w:val="24"/>
        </w:rPr>
        <w:t xml:space="preserve"> the</w:t>
      </w:r>
      <w:r w:rsidR="00462801">
        <w:rPr>
          <w:rFonts w:ascii="Times New Roman" w:hAnsi="Times New Roman" w:cs="Times New Roman"/>
          <w:sz w:val="24"/>
          <w:szCs w:val="24"/>
        </w:rPr>
        <w:t xml:space="preserve"> thin plus burn </w:t>
      </w:r>
      <w:r>
        <w:rPr>
          <w:rFonts w:ascii="Times New Roman" w:hAnsi="Times New Roman" w:cs="Times New Roman"/>
          <w:sz w:val="24"/>
          <w:szCs w:val="24"/>
        </w:rPr>
        <w:t>centroid</w:t>
      </w:r>
      <w:r w:rsidR="00462801">
        <w:rPr>
          <w:rFonts w:ascii="Times New Roman" w:hAnsi="Times New Roman" w:cs="Times New Roman"/>
          <w:sz w:val="24"/>
          <w:szCs w:val="24"/>
        </w:rPr>
        <w:t xml:space="preserve"> towards more open canopy conditions and movement of control treatment towards more closed canopy positions is consistent with expected responses to treatment </w:t>
      </w:r>
      <w:r>
        <w:rPr>
          <w:rFonts w:ascii="Times New Roman" w:hAnsi="Times New Roman" w:cs="Times New Roman"/>
          <w:sz w:val="24"/>
          <w:szCs w:val="24"/>
        </w:rPr>
        <w:fldChar w:fldCharType="begin" w:fldLock="1"/>
      </w:r>
      <w:r w:rsidR="00510D01">
        <w:rPr>
          <w:rFonts w:ascii="Times New Roman" w:hAnsi="Times New Roman" w:cs="Times New Roman"/>
          <w:sz w:val="24"/>
          <w:szCs w:val="24"/>
        </w:rPr>
        <w:instrText>ADDIN CSL_CITATION {"citationItems":[{"id":"ITEM-1","itemData":{"DOI":"10.1016/J.FORECO.2005.01.034","abstract":"Successful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forests.","author":[{"dropping-particle":"","family":"Agee","given":"James K.","non-dropping-particle":"","parse-names":false,"suffix":""},{"dropping-particle":"","family":"Skinner","given":"Carl N.","non-dropping-particle":"","parse-names":false,"suffix":""}],"container-title":"Forest Ecology and Management","id":"ITEM-1","issue":"1-2","issued":{"date-parts":[["2005","6","6"]]},"note":"·       Reduction of surface fuels \n·       Increasing height to the crown \n·       Decreasing crown density \n·       Releasing large trees of fire resistant species \n·         \n·       ‘low thinning will be more effective than crown or selection thinning’ \n·       The paradox of successful fire exclusion – brown and arno 1991 \n·       Define resiliency as a forest capable of maintinaing substantial live basal area after being burned by a wildfire \n·       There were people in 1910 aruging for low sever fire \n·       Argue first off not to have fire in wet forests \n·       Critical mass flow rate – mass consumption rate necessary to sustain crown fire \n·       More open forest sustains higher wind, fuels dry faster \n·       Three part objectives \no   Reduce surface fuels, ladder fuels, crown den \n·       States that one dist often not enough because of dropping fuel \n·       Helicopter yarding leaves the most fuel – tops left on sight \n·       Implications of their sims \no   Not all stands reduce fire hazard \no   Fuels and forest structure make a diff in high sefferity fine \no   Stat that more research is needed at lar4ger spatial and temp scale","page":"83-96","publisher":"Elsevier","title":"Basic principles of forest fuel reduction treatments","type":"article-journal","volume":"211"},"uris":["http://www.mendeley.com/documents/?uuid=331d98bb-a992-398a-9134-7761be0d7529"]}],"mendeley":{"formattedCitation":"(Agee and Skinner 2005)","plainTextFormattedCitation":"(Agee and Skinner 2005)","previouslyFormattedCitation":"(Agee and Skinner 2005)"},"properties":{"noteIndex":0},"schema":"https://github.com/citation-style-language/schema/raw/master/csl-citation.json"}</w:instrText>
      </w:r>
      <w:r>
        <w:rPr>
          <w:rFonts w:ascii="Times New Roman" w:hAnsi="Times New Roman" w:cs="Times New Roman"/>
          <w:sz w:val="24"/>
          <w:szCs w:val="24"/>
        </w:rPr>
        <w:fldChar w:fldCharType="separate"/>
      </w:r>
      <w:r w:rsidRPr="00ED332D">
        <w:rPr>
          <w:rFonts w:ascii="Times New Roman" w:hAnsi="Times New Roman" w:cs="Times New Roman"/>
          <w:noProof/>
          <w:sz w:val="24"/>
          <w:szCs w:val="24"/>
        </w:rPr>
        <w:t>(Agee and Skinner 2005)</w:t>
      </w:r>
      <w:r>
        <w:rPr>
          <w:rFonts w:ascii="Times New Roman" w:hAnsi="Times New Roman" w:cs="Times New Roman"/>
          <w:sz w:val="24"/>
          <w:szCs w:val="24"/>
        </w:rPr>
        <w:fldChar w:fldCharType="end"/>
      </w:r>
      <w:r w:rsidR="00462801">
        <w:rPr>
          <w:rFonts w:ascii="Times New Roman" w:hAnsi="Times New Roman" w:cs="Times New Roman"/>
          <w:sz w:val="24"/>
          <w:szCs w:val="24"/>
        </w:rPr>
        <w:t xml:space="preserve">.  The movement of the control centroid provides valuable insight for the burn and the thin treatments, for which the centroids moved little.  </w:t>
      </w:r>
      <w:r w:rsidR="00723C7D">
        <w:rPr>
          <w:rFonts w:ascii="Times New Roman" w:hAnsi="Times New Roman" w:cs="Times New Roman"/>
          <w:sz w:val="24"/>
          <w:szCs w:val="24"/>
        </w:rPr>
        <w:t xml:space="preserve">It is plausible that the true effect of burn and thin treatments may be to delay development towards more closed canopy conditions with more fuels, so that responses appearing not to indicate a </w:t>
      </w:r>
      <w:proofErr w:type="spellStart"/>
      <w:r w:rsidR="00723C7D">
        <w:rPr>
          <w:rFonts w:ascii="Times New Roman" w:hAnsi="Times New Roman" w:cs="Times New Roman"/>
          <w:sz w:val="24"/>
          <w:szCs w:val="24"/>
        </w:rPr>
        <w:t>longterm</w:t>
      </w:r>
      <w:proofErr w:type="spellEnd"/>
      <w:r w:rsidR="00723C7D">
        <w:rPr>
          <w:rFonts w:ascii="Times New Roman" w:hAnsi="Times New Roman" w:cs="Times New Roman"/>
          <w:sz w:val="24"/>
          <w:szCs w:val="24"/>
        </w:rPr>
        <w:t xml:space="preserve"> effect may still be beneficial compared to untreated stands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Pr>
          <w:rFonts w:ascii="Times New Roman" w:hAnsi="Times New Roman" w:cs="Times New Roman"/>
          <w:sz w:val="24"/>
          <w:szCs w:val="24"/>
        </w:rPr>
        <w:fldChar w:fldCharType="separate"/>
      </w:r>
      <w:r w:rsidRPr="00ED332D">
        <w:rPr>
          <w:rFonts w:ascii="Times New Roman" w:hAnsi="Times New Roman" w:cs="Times New Roman"/>
          <w:noProof/>
          <w:sz w:val="24"/>
          <w:szCs w:val="24"/>
        </w:rPr>
        <w:t>(Jain et al. 2012)</w:t>
      </w:r>
      <w:r>
        <w:rPr>
          <w:rFonts w:ascii="Times New Roman" w:hAnsi="Times New Roman" w:cs="Times New Roman"/>
          <w:sz w:val="24"/>
          <w:szCs w:val="24"/>
        </w:rPr>
        <w:fldChar w:fldCharType="end"/>
      </w:r>
      <w:r w:rsidR="00723C7D">
        <w:rPr>
          <w:rFonts w:ascii="Times New Roman" w:hAnsi="Times New Roman" w:cs="Times New Roman"/>
          <w:sz w:val="24"/>
          <w:szCs w:val="24"/>
        </w:rPr>
        <w:t xml:space="preserve">.  This interpretation should be taken with caution, however, due to </w:t>
      </w:r>
      <w:r w:rsidR="00706B2B">
        <w:rPr>
          <w:rFonts w:ascii="Times New Roman" w:hAnsi="Times New Roman" w:cs="Times New Roman"/>
          <w:sz w:val="24"/>
          <w:szCs w:val="24"/>
        </w:rPr>
        <w:t xml:space="preserve">having one control unit.  </w:t>
      </w:r>
    </w:p>
    <w:p w14:paraId="75A49DF2" w14:textId="20FB969E" w:rsidR="00706B2B" w:rsidRDefault="00706B2B" w:rsidP="000D0D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Procrustes analysis of the two sample periods suggest a wide range of variation in direction and magnitude of plot level responses to treatment, suggesting that factors other than treatment category should be </w:t>
      </w:r>
      <w:r w:rsidR="00A724B0">
        <w:rPr>
          <w:rFonts w:ascii="Times New Roman" w:hAnsi="Times New Roman" w:cs="Times New Roman"/>
          <w:sz w:val="24"/>
          <w:szCs w:val="24"/>
        </w:rPr>
        <w:t>considered</w:t>
      </w:r>
      <w:r>
        <w:rPr>
          <w:rFonts w:ascii="Times New Roman" w:hAnsi="Times New Roman" w:cs="Times New Roman"/>
          <w:sz w:val="24"/>
          <w:szCs w:val="24"/>
        </w:rPr>
        <w:t xml:space="preserve"> by scientists and managers working to understand long term treatment</w:t>
      </w:r>
      <w:r w:rsidR="00A724B0">
        <w:rPr>
          <w:rFonts w:ascii="Times New Roman" w:hAnsi="Times New Roman" w:cs="Times New Roman"/>
          <w:sz w:val="24"/>
          <w:szCs w:val="24"/>
        </w:rPr>
        <w:t xml:space="preserve"> effects</w:t>
      </w:r>
      <w:r>
        <w:rPr>
          <w:rFonts w:ascii="Times New Roman" w:hAnsi="Times New Roman" w:cs="Times New Roman"/>
          <w:sz w:val="24"/>
          <w:szCs w:val="24"/>
        </w:rPr>
        <w:t xml:space="preserve">.  </w:t>
      </w:r>
      <w:r w:rsidR="00A724B0">
        <w:rPr>
          <w:rFonts w:ascii="Times New Roman" w:hAnsi="Times New Roman" w:cs="Times New Roman"/>
          <w:sz w:val="24"/>
          <w:szCs w:val="24"/>
        </w:rPr>
        <w:t xml:space="preserve">Fuel treatment </w:t>
      </w:r>
      <w:r w:rsidR="00CB04F5">
        <w:rPr>
          <w:rFonts w:ascii="Times New Roman" w:hAnsi="Times New Roman" w:cs="Times New Roman"/>
          <w:sz w:val="24"/>
          <w:szCs w:val="24"/>
        </w:rPr>
        <w:t>experiments typically focus on treatment as a categorical variable</w:t>
      </w:r>
      <w:r w:rsidR="00ED332D">
        <w:rPr>
          <w:rFonts w:ascii="Times New Roman" w:hAnsi="Times New Roman" w:cs="Times New Roman"/>
          <w:sz w:val="24"/>
          <w:szCs w:val="24"/>
        </w:rPr>
        <w:t>s</w:t>
      </w:r>
      <w:r w:rsidR="00CB04F5">
        <w:rPr>
          <w:rFonts w:ascii="Times New Roman" w:hAnsi="Times New Roman" w:cs="Times New Roman"/>
          <w:sz w:val="24"/>
          <w:szCs w:val="24"/>
        </w:rPr>
        <w:t xml:space="preserve"> </w:t>
      </w:r>
      <w:r w:rsidR="00CB04F5">
        <w:rPr>
          <w:rFonts w:ascii="Times New Roman" w:hAnsi="Times New Roman" w:cs="Times New Roman"/>
          <w:sz w:val="24"/>
          <w:szCs w:val="24"/>
        </w:rPr>
        <w:fldChar w:fldCharType="begin" w:fldLock="1"/>
      </w:r>
      <w:r w:rsidR="00A47C1B">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Burning","type":"article-journal","volume":"3"},"uris":["http://www.mendeley.com/documents/?uuid=ec57e04d-6642-384d-9db2-3a58945675c1"]},{"id":"ITEM-2","itemData":{"DOI":"10.1186/s42408-018-0016-6","ISSN":"1933-9747","abstract":"Fuel reduction treatments have been widely implemented across the western US in recent decades for both fire protection and restoration. Although research has demonstrated that combined thinning and burning effectively reduces crown fire potential in the few years immediately following treatment, little research has identified effectiveness of thinning and burning treatments beyond a decade. Furthermore, it is unclear how post-treatment disturbances such as a bark beetle outbreak affect fuel treatment effectiveness. We evaluated differences in surface and canopy fuel characteristics and potential fire behavior metrics between fuel reduction treatments (no-action or control, burn-only, thin-only, thin+burn) implemented in ponderosa pine (Pinus ponderosa Lawson &amp; C. Lawson)−Douglas-fir (Pseudotsuga menziesii [Mirb.] Franco)-dominated forests that were subsequently affected by a mountain pine beetle (Dendroctonus ponderosae Hopkins) outbreak after treatment. Experimental units were measured in 2002 (immediately following fuel treatment) and in 2016 (14 years after treatment and at least 4 years following a beetle outbreak). We found that beetle-altered thinning treatments (thin-only and thin+burn combined) had less fuel (i.e., 34% and 83% lower fine and coarse woody debris loading, respectively) and lower crown fire potential (i.e., 47% lower probability of torching and 42% greater crowning index) than corresponding unthinned treatments (control and burn-only). There was no post-beetle-outbreak effect of burning treatments (burn-only and thin+burn combined) on surface fuel loading, but burning reduced crown fire potential (i.e., 37% greater crowning index) over unburned units (control and thin-only) 14 years after treatment. Additionally, we determined the relative impacts of fuel treatments and the bark beetle outbreak on fuel and crown fire potential differences and found that bark beetle-caused tree mortality inflated differences between controls and thinned treatments (thin-only and thin+burn) for surface fuel loading and probability of torching, but diminished differences between these treatments for canopy fuel loading, canopy bulk density, and crowning index. Despite the differential effects of bark beetle-caused tree mortality in the treatments, our study suggests that the effects of fuel treatments on mitigating crown fire potential persist even after a stand-transforming insect outbreak, especially when thinning and burning are combined.","author":[{"dropping-particle":"","family":"Crotteau","given":"Justin S.","non-dropping-particle":"","parse-names":false,"suffix":""},{"dropping-particle":"","family":"Keyes","given":"Christopher R.","non-dropping-particle":"","parse-names":false,"suffix":""},{"dropping-particle":"","family":"Hood","given":"Sharon M.","non-dropping-particle":"","parse-names":false,"suffix":""},{"dropping-particle":"","family":"Affleck","given":"David L. R.","non-dropping-particle":"","parse-names":false,"suffix":""},{"dropping-particle":"","family":"Sala","given":"Anna","non-dropping-particle":"","parse-names":false,"suffix":""}],"container-title":"Fire Ecology","id":"ITEM-2","issue":"2","issued":{"date-parts":[["2018","12"]]},"note":"14 years post treatment 4 years post beetle\n2002, 2016\n\nWe found that beetle altered thin units (t &amp;amp; tb) has less fuel and lower crown fire potential than corresponding unthinned treatments (b &amp;amp; c)\n34% less FWD, 83% less CWD\n47% lower probability of torching\n42% greater crown torching index\n\nBark beetle caused tree mortality inflated difference between control and thin units for surface fuel loading and probability of torching, but diminished differences for canopy fuel loading, canopy bulk density, and crowning index\n\n120 plots done\n10 plots randomly selected from 36\nAll plots done for surface fuels?\n\nPondo ba similar for all treatments post beetle\n\nTB most effective for longevity\n\n~\n\n'studies have identified that fuel treatments may be effective for a decade following treatment'\nfinney et al 2005\nfernandes 2009\njain et al 2012\nstephens et al 2012\n\nTreatment fully implemented 2002 at least four years before a widespread mpb outbreak\n\nFire and fuels extension to FVS\n\nUnits cut in 2001 burned 2002, creating 12 9 ha units\n\nlow sev burns with pockets of high sev in two thin+burn units\n\nthin only and thin burn unit surface fuels were destructively sampled instread of doing transects in initial measurement\nWHY????\n\nIn 2016 they did surface fuel transects on all 36 grid points in all units...\n\nthinning had 67% lower stand density in 2002, but similar values to other treatments post mpb outbreak\n\nThinning had a sig effect on CWD &amp;amp; FWD\n\nControl by far had the greatest propensity for crown fire\n\nProbability of torching in 2016 was only dependent on thinning\n\nOutbreak did not affect differences in loading between control and burn only units\n\nthin burn the lowest risk of crown fire after outbreak\n\nSix and Skov 2009 on these sites identified that in 2008 three bark beetle species increased in burning treatments, but not MPB\n\nNumber of overstory trees killed had a strong negetive association with thinning and slight positive with burning\n\n'natural thinning' by mpb has a smaller mag of crown fire reduction than active management\n\nNo fuel or crown fire potential differences between burn only and control\n\nRadical increase in surface fuel in unthinned units probably would not have happened without the outbreak","publisher":"Springer Nature","title":"Fuel dynamics after a bark beetle outbreak impacts experimental fuel treatments","type":"article-journal","volume":"14"},"uris":["http://www.mendeley.com/documents/?uuid=5ff5c1c8-6c76-3ac6-bec3-be5a4f2d66db"]},{"id":"ITEM-3","itemData":{"DOI":"10.1016/j.foreco.2012.08.030","ISSN":"03781127","abstract":"Understanding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Management","id":"ITEM-3","issued":{"date-parts":[["2012","12","1"]]},"page":"204-212","publisher":"Elsevier","title":"Fuel treatment longevity in a Sierra Nevada mixed conifer forest","type":"article-journal","volume":"285"},"uris":["http://www.mendeley.com/documents/?uuid=bf1ee0d7-20c5-3e99-81ab-c9581d916d62"]}],"mendeley":{"formattedCitation":"(Stephens et al. 2012, Crotteau et al. 2018, Hood et al. 2020)","manualFormatting":"(e.g. Stephens et al. 2012, Crotteau et al. 2018, Hood et al. 2020)","plainTextFormattedCitation":"(Stephens et al. 2012, Crotteau et al. 2018, Hood et al. 2020)","previouslyFormattedCitation":"(Stephens et al. 2012, Crotteau et al. 2018, Hood et al. 2020)"},"properties":{"noteIndex":0},"schema":"https://github.com/citation-style-language/schema/raw/master/csl-citation.json"}</w:instrText>
      </w:r>
      <w:r w:rsidR="00CB04F5">
        <w:rPr>
          <w:rFonts w:ascii="Times New Roman" w:hAnsi="Times New Roman" w:cs="Times New Roman"/>
          <w:sz w:val="24"/>
          <w:szCs w:val="24"/>
        </w:rPr>
        <w:fldChar w:fldCharType="separate"/>
      </w:r>
      <w:r w:rsidR="00CB04F5" w:rsidRPr="00CB04F5">
        <w:rPr>
          <w:rFonts w:ascii="Times New Roman" w:hAnsi="Times New Roman" w:cs="Times New Roman"/>
          <w:noProof/>
          <w:sz w:val="24"/>
          <w:szCs w:val="24"/>
        </w:rPr>
        <w:t>(</w:t>
      </w:r>
      <w:r w:rsidR="00CB04F5">
        <w:rPr>
          <w:rFonts w:ascii="Times New Roman" w:hAnsi="Times New Roman" w:cs="Times New Roman"/>
          <w:noProof/>
          <w:sz w:val="24"/>
          <w:szCs w:val="24"/>
        </w:rPr>
        <w:t xml:space="preserve">e.g. </w:t>
      </w:r>
      <w:r w:rsidR="00CB04F5" w:rsidRPr="00CB04F5">
        <w:rPr>
          <w:rFonts w:ascii="Times New Roman" w:hAnsi="Times New Roman" w:cs="Times New Roman"/>
          <w:noProof/>
          <w:sz w:val="24"/>
          <w:szCs w:val="24"/>
        </w:rPr>
        <w:t>Stephens et al. 2012, Crotteau et al. 2018, Hood et al. 2020)</w:t>
      </w:r>
      <w:r w:rsidR="00CB04F5">
        <w:rPr>
          <w:rFonts w:ascii="Times New Roman" w:hAnsi="Times New Roman" w:cs="Times New Roman"/>
          <w:sz w:val="24"/>
          <w:szCs w:val="24"/>
        </w:rPr>
        <w:fldChar w:fldCharType="end"/>
      </w:r>
      <w:r w:rsidR="001760FB">
        <w:rPr>
          <w:rFonts w:ascii="Times New Roman" w:hAnsi="Times New Roman" w:cs="Times New Roman"/>
          <w:sz w:val="24"/>
          <w:szCs w:val="24"/>
        </w:rPr>
        <w:t>, which may weaken statistical power when plot level responses to treatment vary</w:t>
      </w:r>
      <w:r w:rsidR="00CB04F5">
        <w:rPr>
          <w:rFonts w:ascii="Times New Roman" w:hAnsi="Times New Roman" w:cs="Times New Roman"/>
          <w:sz w:val="24"/>
          <w:szCs w:val="24"/>
        </w:rPr>
        <w:t xml:space="preserve">. </w:t>
      </w:r>
      <w:r w:rsidR="001760FB">
        <w:rPr>
          <w:rFonts w:ascii="Times New Roman" w:hAnsi="Times New Roman" w:cs="Times New Roman"/>
          <w:sz w:val="24"/>
          <w:szCs w:val="24"/>
        </w:rPr>
        <w:t xml:space="preserve"> T</w:t>
      </w:r>
      <w:r w:rsidR="00CB04F5">
        <w:rPr>
          <w:rFonts w:ascii="Times New Roman" w:hAnsi="Times New Roman" w:cs="Times New Roman"/>
          <w:sz w:val="24"/>
          <w:szCs w:val="24"/>
        </w:rPr>
        <w:t>reatment intensity often varies widely within a</w:t>
      </w:r>
      <w:r w:rsidR="00ED332D">
        <w:rPr>
          <w:rFonts w:ascii="Times New Roman" w:hAnsi="Times New Roman" w:cs="Times New Roman"/>
          <w:sz w:val="24"/>
          <w:szCs w:val="24"/>
        </w:rPr>
        <w:t xml:space="preserve"> treated</w:t>
      </w:r>
      <w:r w:rsidR="00CB04F5">
        <w:rPr>
          <w:rFonts w:ascii="Times New Roman" w:hAnsi="Times New Roman" w:cs="Times New Roman"/>
          <w:sz w:val="24"/>
          <w:szCs w:val="24"/>
        </w:rPr>
        <w:t xml:space="preserve"> stand, both because of variable prescribed fire intensity and intentionally ‘clumpy’ thinning patterns </w:t>
      </w:r>
      <w:r w:rsidR="00CB04F5">
        <w:rPr>
          <w:rFonts w:ascii="Times New Roman" w:hAnsi="Times New Roman" w:cs="Times New Roman"/>
          <w:sz w:val="24"/>
          <w:szCs w:val="24"/>
        </w:rPr>
        <w:fldChar w:fldCharType="begin" w:fldLock="1"/>
      </w:r>
      <w:r w:rsidR="00CB04F5">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CB04F5">
        <w:rPr>
          <w:rFonts w:ascii="Times New Roman" w:hAnsi="Times New Roman" w:cs="Times New Roman"/>
          <w:sz w:val="24"/>
          <w:szCs w:val="24"/>
        </w:rPr>
        <w:fldChar w:fldCharType="separate"/>
      </w:r>
      <w:r w:rsidR="00CB04F5" w:rsidRPr="00CB04F5">
        <w:rPr>
          <w:rFonts w:ascii="Times New Roman" w:hAnsi="Times New Roman" w:cs="Times New Roman"/>
          <w:noProof/>
          <w:sz w:val="24"/>
          <w:szCs w:val="24"/>
        </w:rPr>
        <w:t>(Jain et al. 2012)</w:t>
      </w:r>
      <w:r w:rsidR="00CB04F5">
        <w:rPr>
          <w:rFonts w:ascii="Times New Roman" w:hAnsi="Times New Roman" w:cs="Times New Roman"/>
          <w:sz w:val="24"/>
          <w:szCs w:val="24"/>
        </w:rPr>
        <w:fldChar w:fldCharType="end"/>
      </w:r>
      <w:r w:rsidR="00CB04F5">
        <w:rPr>
          <w:rFonts w:ascii="Times New Roman" w:hAnsi="Times New Roman" w:cs="Times New Roman"/>
          <w:sz w:val="24"/>
          <w:szCs w:val="24"/>
        </w:rPr>
        <w:t xml:space="preserve">.  </w:t>
      </w:r>
      <w:r w:rsidR="00A47C1B">
        <w:rPr>
          <w:rFonts w:ascii="Times New Roman" w:hAnsi="Times New Roman" w:cs="Times New Roman"/>
          <w:sz w:val="24"/>
          <w:szCs w:val="24"/>
        </w:rPr>
        <w:t xml:space="preserve">Treatments at my study site </w:t>
      </w:r>
      <w:r w:rsidR="00ED332D">
        <w:rPr>
          <w:rFonts w:ascii="Times New Roman" w:hAnsi="Times New Roman" w:cs="Times New Roman"/>
          <w:sz w:val="24"/>
          <w:szCs w:val="24"/>
        </w:rPr>
        <w:t>were of variable intensity</w:t>
      </w:r>
      <w:r w:rsidR="00A47C1B">
        <w:rPr>
          <w:rFonts w:ascii="Times New Roman" w:hAnsi="Times New Roman" w:cs="Times New Roman"/>
          <w:sz w:val="24"/>
          <w:szCs w:val="24"/>
        </w:rPr>
        <w:t xml:space="preserve"> </w:t>
      </w:r>
      <w:r w:rsidR="00A47C1B">
        <w:rPr>
          <w:rFonts w:ascii="Times New Roman" w:hAnsi="Times New Roman" w:cs="Times New Roman"/>
          <w:sz w:val="24"/>
          <w:szCs w:val="24"/>
        </w:rPr>
        <w:fldChar w:fldCharType="begin" w:fldLock="1"/>
      </w:r>
      <w:r w:rsidR="00A412E6">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2006)","plainTextFormattedCitation":"(Agee and Lolley 2006)","previouslyFormattedCitation":"(Agee and Lolley 2006)"},"properties":{"noteIndex":0},"schema":"https://github.com/citation-style-language/schema/raw/master/csl-citation.json"}</w:instrText>
      </w:r>
      <w:r w:rsidR="00A47C1B">
        <w:rPr>
          <w:rFonts w:ascii="Times New Roman" w:hAnsi="Times New Roman" w:cs="Times New Roman"/>
          <w:sz w:val="24"/>
          <w:szCs w:val="24"/>
        </w:rPr>
        <w:fldChar w:fldCharType="separate"/>
      </w:r>
      <w:r w:rsidR="00A47C1B" w:rsidRPr="00A47C1B">
        <w:rPr>
          <w:rFonts w:ascii="Times New Roman" w:hAnsi="Times New Roman" w:cs="Times New Roman"/>
          <w:noProof/>
          <w:sz w:val="24"/>
          <w:szCs w:val="24"/>
        </w:rPr>
        <w:t>(Agee and Lolley 2006)</w:t>
      </w:r>
      <w:r w:rsidR="00A47C1B">
        <w:rPr>
          <w:rFonts w:ascii="Times New Roman" w:hAnsi="Times New Roman" w:cs="Times New Roman"/>
          <w:sz w:val="24"/>
          <w:szCs w:val="24"/>
        </w:rPr>
        <w:fldChar w:fldCharType="end"/>
      </w:r>
      <w:r w:rsidR="00A47C1B">
        <w:rPr>
          <w:rFonts w:ascii="Times New Roman" w:hAnsi="Times New Roman" w:cs="Times New Roman"/>
          <w:sz w:val="24"/>
          <w:szCs w:val="24"/>
        </w:rPr>
        <w:t>, which may have contributed to the range of NMDS responses to treatment.</w:t>
      </w:r>
      <w:r w:rsidR="00A412E6">
        <w:rPr>
          <w:rFonts w:ascii="Times New Roman" w:hAnsi="Times New Roman" w:cs="Times New Roman"/>
          <w:sz w:val="24"/>
          <w:szCs w:val="24"/>
        </w:rPr>
        <w:t xml:space="preserve">  Other likely influences of </w:t>
      </w:r>
      <w:proofErr w:type="spellStart"/>
      <w:r w:rsidR="00A412E6">
        <w:rPr>
          <w:rFonts w:ascii="Times New Roman" w:hAnsi="Times New Roman" w:cs="Times New Roman"/>
          <w:sz w:val="24"/>
          <w:szCs w:val="24"/>
        </w:rPr>
        <w:t>longterm</w:t>
      </w:r>
      <w:proofErr w:type="spellEnd"/>
      <w:r w:rsidR="00A412E6">
        <w:rPr>
          <w:rFonts w:ascii="Times New Roman" w:hAnsi="Times New Roman" w:cs="Times New Roman"/>
          <w:sz w:val="24"/>
          <w:szCs w:val="24"/>
        </w:rPr>
        <w:t xml:space="preserve"> plot level response to treatment include topographic position and pretreatment condition </w:t>
      </w:r>
      <w:r w:rsidR="00A412E6">
        <w:rPr>
          <w:rFonts w:ascii="Times New Roman" w:hAnsi="Times New Roman" w:cs="Times New Roman"/>
          <w:sz w:val="24"/>
          <w:szCs w:val="24"/>
        </w:rPr>
        <w:fldChar w:fldCharType="begin" w:fldLock="1"/>
      </w:r>
      <w:r w:rsidR="001760FB">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A412E6">
        <w:rPr>
          <w:rFonts w:ascii="Times New Roman" w:hAnsi="Times New Roman" w:cs="Times New Roman"/>
          <w:sz w:val="24"/>
          <w:szCs w:val="24"/>
        </w:rPr>
        <w:fldChar w:fldCharType="separate"/>
      </w:r>
      <w:r w:rsidR="00A412E6" w:rsidRPr="00A412E6">
        <w:rPr>
          <w:rFonts w:ascii="Times New Roman" w:hAnsi="Times New Roman" w:cs="Times New Roman"/>
          <w:noProof/>
          <w:sz w:val="24"/>
          <w:szCs w:val="24"/>
        </w:rPr>
        <w:t>(Jain et al. 2012)</w:t>
      </w:r>
      <w:r w:rsidR="00A412E6">
        <w:rPr>
          <w:rFonts w:ascii="Times New Roman" w:hAnsi="Times New Roman" w:cs="Times New Roman"/>
          <w:sz w:val="24"/>
          <w:szCs w:val="24"/>
        </w:rPr>
        <w:fldChar w:fldCharType="end"/>
      </w:r>
      <w:r w:rsidR="00A412E6">
        <w:rPr>
          <w:rFonts w:ascii="Times New Roman" w:hAnsi="Times New Roman" w:cs="Times New Roman"/>
          <w:sz w:val="24"/>
          <w:szCs w:val="24"/>
        </w:rPr>
        <w:t xml:space="preserve">, which I will attempt to account for in my hypothesis testing analyses. </w:t>
      </w:r>
      <w:r w:rsidR="009F655E">
        <w:rPr>
          <w:rFonts w:ascii="Times New Roman" w:hAnsi="Times New Roman" w:cs="Times New Roman"/>
          <w:sz w:val="24"/>
          <w:szCs w:val="24"/>
        </w:rPr>
        <w:t xml:space="preserve"> </w:t>
      </w:r>
    </w:p>
    <w:p w14:paraId="6657C32B" w14:textId="085D9A37" w:rsidR="00657A67" w:rsidRDefault="00657A67"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Cluster analysis results </w:t>
      </w:r>
      <w:r w:rsidR="00530D46">
        <w:rPr>
          <w:rFonts w:ascii="Times New Roman" w:hAnsi="Times New Roman" w:cs="Times New Roman"/>
          <w:sz w:val="24"/>
          <w:szCs w:val="24"/>
        </w:rPr>
        <w:t>slightly suggested</w:t>
      </w:r>
      <w:r w:rsidR="004F44B5">
        <w:rPr>
          <w:rFonts w:ascii="Times New Roman" w:hAnsi="Times New Roman" w:cs="Times New Roman"/>
          <w:sz w:val="24"/>
          <w:szCs w:val="24"/>
        </w:rPr>
        <w:t xml:space="preserve"> </w:t>
      </w:r>
      <w:r>
        <w:rPr>
          <w:rFonts w:ascii="Times New Roman" w:hAnsi="Times New Roman" w:cs="Times New Roman"/>
          <w:sz w:val="24"/>
          <w:szCs w:val="24"/>
        </w:rPr>
        <w:t xml:space="preserve">some pretreatment clustering into a western and eastern group of replicate units, and some weakening of this </w:t>
      </w:r>
      <w:r w:rsidR="009F655E">
        <w:rPr>
          <w:rFonts w:ascii="Times New Roman" w:hAnsi="Times New Roman" w:cs="Times New Roman"/>
          <w:sz w:val="24"/>
          <w:szCs w:val="24"/>
        </w:rPr>
        <w:t xml:space="preserve">geographic </w:t>
      </w:r>
      <w:r>
        <w:rPr>
          <w:rFonts w:ascii="Times New Roman" w:hAnsi="Times New Roman" w:cs="Times New Roman"/>
          <w:sz w:val="24"/>
          <w:szCs w:val="24"/>
        </w:rPr>
        <w:t xml:space="preserve">clustering from the pretreatment to the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sample period</w:t>
      </w:r>
      <w:r w:rsidR="00530D46">
        <w:rPr>
          <w:rFonts w:ascii="Times New Roman" w:hAnsi="Times New Roman" w:cs="Times New Roman"/>
          <w:sz w:val="24"/>
          <w:szCs w:val="24"/>
        </w:rPr>
        <w:t xml:space="preserve">, however, results were inconsistent across clustering methods. </w:t>
      </w:r>
      <w:r w:rsidR="00DD55A2">
        <w:rPr>
          <w:rFonts w:ascii="Times New Roman" w:hAnsi="Times New Roman" w:cs="Times New Roman"/>
          <w:sz w:val="24"/>
          <w:szCs w:val="24"/>
        </w:rPr>
        <w:t xml:space="preserve"> If the western and eastern groups of replicate units are truly distinct groups, it could affect and/or confound interpretation of </w:t>
      </w:r>
      <w:r w:rsidR="001760FB">
        <w:rPr>
          <w:rFonts w:ascii="Times New Roman" w:hAnsi="Times New Roman" w:cs="Times New Roman"/>
          <w:sz w:val="24"/>
          <w:szCs w:val="24"/>
        </w:rPr>
        <w:t>statistical tests</w:t>
      </w:r>
      <w:r w:rsidR="00DD55A2">
        <w:rPr>
          <w:rFonts w:ascii="Times New Roman" w:hAnsi="Times New Roman" w:cs="Times New Roman"/>
          <w:sz w:val="24"/>
          <w:szCs w:val="24"/>
        </w:rPr>
        <w:t xml:space="preserve">.  The </w:t>
      </w:r>
      <w:r w:rsidR="002147CC">
        <w:rPr>
          <w:rFonts w:ascii="Times New Roman" w:hAnsi="Times New Roman" w:cs="Times New Roman"/>
          <w:sz w:val="24"/>
          <w:szCs w:val="24"/>
        </w:rPr>
        <w:t xml:space="preserve">single control unit is of particular </w:t>
      </w:r>
      <w:proofErr w:type="gramStart"/>
      <w:r w:rsidR="002147CC">
        <w:rPr>
          <w:rFonts w:ascii="Times New Roman" w:hAnsi="Times New Roman" w:cs="Times New Roman"/>
          <w:sz w:val="24"/>
          <w:szCs w:val="24"/>
        </w:rPr>
        <w:t>concern, because</w:t>
      </w:r>
      <w:proofErr w:type="gramEnd"/>
      <w:r w:rsidR="002147CC">
        <w:rPr>
          <w:rFonts w:ascii="Times New Roman" w:hAnsi="Times New Roman" w:cs="Times New Roman"/>
          <w:sz w:val="24"/>
          <w:szCs w:val="24"/>
        </w:rPr>
        <w:t xml:space="preserve"> it likely represents the relatively low elevation eastern units better than the higher elevation western units. Although the degree of pretreatment grouping </w:t>
      </w:r>
      <w:r w:rsidR="009F655E">
        <w:rPr>
          <w:rFonts w:ascii="Times New Roman" w:hAnsi="Times New Roman" w:cs="Times New Roman"/>
          <w:sz w:val="24"/>
          <w:szCs w:val="24"/>
        </w:rPr>
        <w:t xml:space="preserve">varied widely by cluster analysis technique, nearly all techniques suggest a greater intermixing of the two geographical clusters after treatment.  Replicate units in different geographical clusters given the same treatment do not appear to fall into the same cluster analysis group often.  This may suggest again that factors other than treatment type, </w:t>
      </w:r>
      <w:r w:rsidR="001760FB">
        <w:rPr>
          <w:rFonts w:ascii="Times New Roman" w:hAnsi="Times New Roman" w:cs="Times New Roman"/>
          <w:sz w:val="24"/>
          <w:szCs w:val="24"/>
        </w:rPr>
        <w:t xml:space="preserve">such as treatment intensity or topographic position, affect plot-level responses.  </w:t>
      </w:r>
    </w:p>
    <w:p w14:paraId="08C24EC3" w14:textId="35C22084" w:rsidR="002D69D5" w:rsidRDefault="00657A67" w:rsidP="000D0D8B">
      <w:pPr>
        <w:spacing w:line="480" w:lineRule="auto"/>
        <w:rPr>
          <w:rFonts w:ascii="Times New Roman" w:hAnsi="Times New Roman" w:cs="Times New Roman"/>
          <w:sz w:val="24"/>
          <w:szCs w:val="24"/>
        </w:rPr>
      </w:pPr>
      <w:r>
        <w:rPr>
          <w:rFonts w:ascii="Times New Roman" w:hAnsi="Times New Roman" w:cs="Times New Roman"/>
          <w:sz w:val="24"/>
          <w:szCs w:val="24"/>
        </w:rPr>
        <w:tab/>
        <w:t>PCA</w:t>
      </w:r>
      <w:r w:rsidR="006A3106">
        <w:rPr>
          <w:rFonts w:ascii="Times New Roman" w:hAnsi="Times New Roman" w:cs="Times New Roman"/>
          <w:sz w:val="24"/>
          <w:szCs w:val="24"/>
        </w:rPr>
        <w:t>s</w:t>
      </w:r>
      <w:r>
        <w:rPr>
          <w:rFonts w:ascii="Times New Roman" w:hAnsi="Times New Roman" w:cs="Times New Roman"/>
          <w:sz w:val="24"/>
          <w:szCs w:val="24"/>
        </w:rPr>
        <w:t xml:space="preserve"> sugges</w:t>
      </w:r>
      <w:r w:rsidR="00C562C8">
        <w:rPr>
          <w:rFonts w:ascii="Times New Roman" w:hAnsi="Times New Roman" w:cs="Times New Roman"/>
          <w:sz w:val="24"/>
          <w:szCs w:val="24"/>
        </w:rPr>
        <w:t xml:space="preserve">ted </w:t>
      </w:r>
      <w:r>
        <w:rPr>
          <w:rFonts w:ascii="Times New Roman" w:hAnsi="Times New Roman" w:cs="Times New Roman"/>
          <w:sz w:val="24"/>
          <w:szCs w:val="24"/>
        </w:rPr>
        <w:t>that field variables were relatively weakly related</w:t>
      </w:r>
      <w:r w:rsidR="004F44B5">
        <w:rPr>
          <w:rFonts w:ascii="Times New Roman" w:hAnsi="Times New Roman" w:cs="Times New Roman"/>
          <w:sz w:val="24"/>
          <w:szCs w:val="24"/>
        </w:rPr>
        <w:t xml:space="preserve"> to one another</w:t>
      </w:r>
      <w:r w:rsidR="00C562C8">
        <w:rPr>
          <w:rFonts w:ascii="Times New Roman" w:hAnsi="Times New Roman" w:cs="Times New Roman"/>
          <w:sz w:val="24"/>
          <w:szCs w:val="24"/>
        </w:rPr>
        <w:t>, and that the most variation in response variables could be explained by modelled tree mortality variables</w:t>
      </w:r>
      <w:r w:rsidR="009B578A">
        <w:rPr>
          <w:rFonts w:ascii="Times New Roman" w:hAnsi="Times New Roman" w:cs="Times New Roman"/>
          <w:sz w:val="24"/>
          <w:szCs w:val="24"/>
        </w:rPr>
        <w:t>.</w:t>
      </w:r>
      <w:r w:rsidR="004F44B5">
        <w:rPr>
          <w:rFonts w:ascii="Times New Roman" w:hAnsi="Times New Roman" w:cs="Times New Roman"/>
          <w:sz w:val="24"/>
          <w:szCs w:val="24"/>
        </w:rPr>
        <w:t xml:space="preserve"> </w:t>
      </w:r>
      <w:r w:rsidR="00BC6701">
        <w:rPr>
          <w:rFonts w:ascii="Times New Roman" w:hAnsi="Times New Roman" w:cs="Times New Roman"/>
          <w:sz w:val="24"/>
          <w:szCs w:val="24"/>
        </w:rPr>
        <w:t xml:space="preserve"> I believe that PCA is of limited utility for future analyses in this study,</w:t>
      </w:r>
      <w:r w:rsidR="00673D32">
        <w:rPr>
          <w:rFonts w:ascii="Times New Roman" w:hAnsi="Times New Roman" w:cs="Times New Roman"/>
          <w:sz w:val="24"/>
          <w:szCs w:val="24"/>
        </w:rPr>
        <w:t xml:space="preserve"> </w:t>
      </w:r>
      <w:r w:rsidR="006A3106">
        <w:rPr>
          <w:rFonts w:ascii="Times New Roman" w:hAnsi="Times New Roman" w:cs="Times New Roman"/>
          <w:sz w:val="24"/>
          <w:szCs w:val="24"/>
        </w:rPr>
        <w:t xml:space="preserve">based </w:t>
      </w:r>
      <w:r w:rsidR="00BC2357">
        <w:rPr>
          <w:rFonts w:ascii="Times New Roman" w:hAnsi="Times New Roman" w:cs="Times New Roman"/>
          <w:sz w:val="24"/>
          <w:szCs w:val="24"/>
        </w:rPr>
        <w:t>on (what I’m thinking is) a low</w:t>
      </w:r>
      <w:r w:rsidR="006A3106">
        <w:rPr>
          <w:rFonts w:ascii="Times New Roman" w:hAnsi="Times New Roman" w:cs="Times New Roman"/>
          <w:sz w:val="24"/>
          <w:szCs w:val="24"/>
        </w:rPr>
        <w:t xml:space="preserve"> amount of variance explained by</w:t>
      </w:r>
      <w:r w:rsidR="00D37F9A">
        <w:rPr>
          <w:rFonts w:ascii="Times New Roman" w:hAnsi="Times New Roman" w:cs="Times New Roman"/>
          <w:sz w:val="24"/>
          <w:szCs w:val="24"/>
        </w:rPr>
        <w:t xml:space="preserve"> the first</w:t>
      </w:r>
      <w:r w:rsidR="006A3106">
        <w:rPr>
          <w:rFonts w:ascii="Times New Roman" w:hAnsi="Times New Roman" w:cs="Times New Roman"/>
          <w:sz w:val="24"/>
          <w:szCs w:val="24"/>
        </w:rPr>
        <w:t xml:space="preserve"> princip</w:t>
      </w:r>
      <w:r w:rsidR="00BC2357">
        <w:rPr>
          <w:rFonts w:ascii="Times New Roman" w:hAnsi="Times New Roman" w:cs="Times New Roman"/>
          <w:sz w:val="24"/>
          <w:szCs w:val="24"/>
        </w:rPr>
        <w:t>al</w:t>
      </w:r>
      <w:r w:rsidR="006A3106">
        <w:rPr>
          <w:rFonts w:ascii="Times New Roman" w:hAnsi="Times New Roman" w:cs="Times New Roman"/>
          <w:sz w:val="24"/>
          <w:szCs w:val="24"/>
        </w:rPr>
        <w:t xml:space="preserve"> components</w:t>
      </w:r>
      <w:r w:rsidR="00BC2357">
        <w:rPr>
          <w:rFonts w:ascii="Times New Roman" w:hAnsi="Times New Roman" w:cs="Times New Roman"/>
          <w:sz w:val="24"/>
          <w:szCs w:val="24"/>
        </w:rPr>
        <w:t>, and on difficulties with normality assumptions</w:t>
      </w:r>
      <w:r w:rsidR="006A3106">
        <w:rPr>
          <w:rFonts w:ascii="Times New Roman" w:hAnsi="Times New Roman" w:cs="Times New Roman"/>
          <w:sz w:val="24"/>
          <w:szCs w:val="24"/>
        </w:rPr>
        <w:t xml:space="preserve">.  </w:t>
      </w:r>
      <w:r w:rsidR="00D37F9A">
        <w:rPr>
          <w:rFonts w:ascii="Times New Roman" w:hAnsi="Times New Roman" w:cs="Times New Roman"/>
          <w:sz w:val="24"/>
          <w:szCs w:val="24"/>
        </w:rPr>
        <w:t xml:space="preserve">Modelled </w:t>
      </w:r>
      <w:r w:rsidR="006A3106">
        <w:rPr>
          <w:rFonts w:ascii="Times New Roman" w:hAnsi="Times New Roman" w:cs="Times New Roman"/>
          <w:sz w:val="24"/>
          <w:szCs w:val="24"/>
        </w:rPr>
        <w:t xml:space="preserve">fire </w:t>
      </w:r>
      <w:r w:rsidR="00BC2357">
        <w:rPr>
          <w:rFonts w:ascii="Times New Roman" w:hAnsi="Times New Roman" w:cs="Times New Roman"/>
          <w:sz w:val="24"/>
          <w:szCs w:val="24"/>
        </w:rPr>
        <w:t xml:space="preserve">severity, however, </w:t>
      </w:r>
      <w:r w:rsidR="009B578A">
        <w:rPr>
          <w:rFonts w:ascii="Times New Roman" w:hAnsi="Times New Roman" w:cs="Times New Roman"/>
          <w:sz w:val="24"/>
          <w:szCs w:val="24"/>
        </w:rPr>
        <w:t>could</w:t>
      </w:r>
      <w:r w:rsidR="00BC2357">
        <w:rPr>
          <w:rFonts w:ascii="Times New Roman" w:hAnsi="Times New Roman" w:cs="Times New Roman"/>
          <w:sz w:val="24"/>
          <w:szCs w:val="24"/>
        </w:rPr>
        <w:t xml:space="preserve"> be represented by </w:t>
      </w:r>
      <w:proofErr w:type="gramStart"/>
      <w:r w:rsidR="00ED332D">
        <w:rPr>
          <w:rFonts w:ascii="Times New Roman" w:hAnsi="Times New Roman" w:cs="Times New Roman"/>
          <w:sz w:val="24"/>
          <w:szCs w:val="24"/>
        </w:rPr>
        <w:t>principle</w:t>
      </w:r>
      <w:proofErr w:type="gramEnd"/>
      <w:r w:rsidR="00ED332D">
        <w:rPr>
          <w:rFonts w:ascii="Times New Roman" w:hAnsi="Times New Roman" w:cs="Times New Roman"/>
          <w:sz w:val="24"/>
          <w:szCs w:val="24"/>
        </w:rPr>
        <w:t xml:space="preserve"> component</w:t>
      </w:r>
      <w:r w:rsidR="009B578A">
        <w:rPr>
          <w:rFonts w:ascii="Times New Roman" w:hAnsi="Times New Roman" w:cs="Times New Roman"/>
          <w:sz w:val="24"/>
          <w:szCs w:val="24"/>
        </w:rPr>
        <w:t>s</w:t>
      </w:r>
      <w:r w:rsidR="00ED332D">
        <w:rPr>
          <w:rFonts w:ascii="Times New Roman" w:hAnsi="Times New Roman" w:cs="Times New Roman"/>
          <w:sz w:val="24"/>
          <w:szCs w:val="24"/>
        </w:rPr>
        <w:t xml:space="preserve"> 1</w:t>
      </w:r>
      <w:r w:rsidR="009B578A">
        <w:rPr>
          <w:rFonts w:ascii="Times New Roman" w:hAnsi="Times New Roman" w:cs="Times New Roman"/>
          <w:sz w:val="24"/>
          <w:szCs w:val="24"/>
        </w:rPr>
        <w:t xml:space="preserve"> and 2</w:t>
      </w:r>
      <w:r w:rsidR="00BC2357">
        <w:rPr>
          <w:rFonts w:ascii="Times New Roman" w:hAnsi="Times New Roman" w:cs="Times New Roman"/>
          <w:sz w:val="24"/>
          <w:szCs w:val="24"/>
        </w:rPr>
        <w:t xml:space="preserve"> of the full PCA.  This is e</w:t>
      </w:r>
      <w:r w:rsidR="006A3106">
        <w:rPr>
          <w:rFonts w:ascii="Times New Roman" w:hAnsi="Times New Roman" w:cs="Times New Roman"/>
          <w:sz w:val="24"/>
          <w:szCs w:val="24"/>
        </w:rPr>
        <w:t>specially</w:t>
      </w:r>
      <w:r w:rsidR="00BC2357">
        <w:rPr>
          <w:rFonts w:ascii="Times New Roman" w:hAnsi="Times New Roman" w:cs="Times New Roman"/>
          <w:sz w:val="24"/>
          <w:szCs w:val="24"/>
        </w:rPr>
        <w:t xml:space="preserve"> true of</w:t>
      </w:r>
      <w:r w:rsidR="006A3106">
        <w:rPr>
          <w:rFonts w:ascii="Times New Roman" w:hAnsi="Times New Roman" w:cs="Times New Roman"/>
          <w:sz w:val="24"/>
          <w:szCs w:val="24"/>
        </w:rPr>
        <w:t xml:space="preserve"> tree mortality (both by basal area and density), which was strongly related to the first two </w:t>
      </w:r>
      <w:r w:rsidR="00D37F9A">
        <w:rPr>
          <w:rFonts w:ascii="Times New Roman" w:hAnsi="Times New Roman" w:cs="Times New Roman"/>
          <w:sz w:val="24"/>
          <w:szCs w:val="24"/>
        </w:rPr>
        <w:t>principal</w:t>
      </w:r>
      <w:r w:rsidR="006A3106">
        <w:rPr>
          <w:rFonts w:ascii="Times New Roman" w:hAnsi="Times New Roman" w:cs="Times New Roman"/>
          <w:sz w:val="24"/>
          <w:szCs w:val="24"/>
        </w:rPr>
        <w:t xml:space="preserve"> components of the full PCA and the modelled variables PCA</w:t>
      </w:r>
      <w:r w:rsidR="006B1144">
        <w:rPr>
          <w:rFonts w:ascii="Times New Roman" w:hAnsi="Times New Roman" w:cs="Times New Roman"/>
          <w:sz w:val="24"/>
          <w:szCs w:val="24"/>
        </w:rPr>
        <w:t xml:space="preserve">.  Modelled tree mortality could be thought of as capturing much of the variation present in the field data, as </w:t>
      </w:r>
      <w:r w:rsidR="00D37F9A">
        <w:rPr>
          <w:rFonts w:ascii="Times New Roman" w:hAnsi="Times New Roman" w:cs="Times New Roman"/>
          <w:sz w:val="24"/>
          <w:szCs w:val="24"/>
        </w:rPr>
        <w:t>it incorporates the field data via stand structural data and modelled surface flame</w:t>
      </w:r>
      <w:r w:rsidR="00BC2357">
        <w:rPr>
          <w:rFonts w:ascii="Times New Roman" w:hAnsi="Times New Roman" w:cs="Times New Roman"/>
          <w:sz w:val="24"/>
          <w:szCs w:val="24"/>
        </w:rPr>
        <w:t xml:space="preserve"> length</w:t>
      </w:r>
      <w:r w:rsidR="00D37F9A">
        <w:rPr>
          <w:rFonts w:ascii="Times New Roman" w:hAnsi="Times New Roman" w:cs="Times New Roman"/>
          <w:sz w:val="24"/>
          <w:szCs w:val="24"/>
        </w:rPr>
        <w:t xml:space="preserve">.  Many field variables showed a similar sign of response to mortality patterns in </w:t>
      </w:r>
      <w:r w:rsidR="00ED332D">
        <w:rPr>
          <w:rFonts w:ascii="Times New Roman" w:hAnsi="Times New Roman" w:cs="Times New Roman"/>
          <w:sz w:val="24"/>
          <w:szCs w:val="24"/>
        </w:rPr>
        <w:t>principal component 1</w:t>
      </w:r>
      <w:r w:rsidR="00D37F9A">
        <w:rPr>
          <w:rFonts w:ascii="Times New Roman" w:hAnsi="Times New Roman" w:cs="Times New Roman"/>
          <w:sz w:val="24"/>
          <w:szCs w:val="24"/>
        </w:rPr>
        <w:t xml:space="preserve"> and </w:t>
      </w:r>
      <w:r w:rsidR="009B578A">
        <w:rPr>
          <w:rFonts w:ascii="Times New Roman" w:hAnsi="Times New Roman" w:cs="Times New Roman"/>
          <w:sz w:val="24"/>
          <w:szCs w:val="24"/>
        </w:rPr>
        <w:t>principal</w:t>
      </w:r>
      <w:r w:rsidR="00ED332D">
        <w:rPr>
          <w:rFonts w:ascii="Times New Roman" w:hAnsi="Times New Roman" w:cs="Times New Roman"/>
          <w:sz w:val="24"/>
          <w:szCs w:val="24"/>
        </w:rPr>
        <w:t xml:space="preserve"> component 2</w:t>
      </w:r>
      <w:r w:rsidR="00D37F9A">
        <w:rPr>
          <w:rFonts w:ascii="Times New Roman" w:hAnsi="Times New Roman" w:cs="Times New Roman"/>
          <w:sz w:val="24"/>
          <w:szCs w:val="24"/>
        </w:rPr>
        <w:t xml:space="preserve"> of the full </w:t>
      </w:r>
      <w:proofErr w:type="gramStart"/>
      <w:r w:rsidR="00D37F9A">
        <w:rPr>
          <w:rFonts w:ascii="Times New Roman" w:hAnsi="Times New Roman" w:cs="Times New Roman"/>
          <w:sz w:val="24"/>
          <w:szCs w:val="24"/>
        </w:rPr>
        <w:lastRenderedPageBreak/>
        <w:t>PCA, but</w:t>
      </w:r>
      <w:proofErr w:type="gramEnd"/>
      <w:r w:rsidR="00D37F9A">
        <w:rPr>
          <w:rFonts w:ascii="Times New Roman" w:hAnsi="Times New Roman" w:cs="Times New Roman"/>
          <w:sz w:val="24"/>
          <w:szCs w:val="24"/>
        </w:rPr>
        <w:t xml:space="preserve"> did not have as strong a correlation as mortality.  The field variables PCA showed the weakest ability to explain variance with the first </w:t>
      </w:r>
      <w:r w:rsidR="009B578A">
        <w:rPr>
          <w:rFonts w:ascii="Times New Roman" w:hAnsi="Times New Roman" w:cs="Times New Roman"/>
          <w:sz w:val="24"/>
          <w:szCs w:val="24"/>
        </w:rPr>
        <w:t>principal</w:t>
      </w:r>
      <w:r w:rsidR="00D37F9A">
        <w:rPr>
          <w:rFonts w:ascii="Times New Roman" w:hAnsi="Times New Roman" w:cs="Times New Roman"/>
          <w:sz w:val="24"/>
          <w:szCs w:val="24"/>
        </w:rPr>
        <w:t xml:space="preserve"> components.  This is not surprising, given the high fine-scale variance of most fuel types, and the inability of most studies to show a strong relationship between stand structure and surface fuel loads </w:t>
      </w:r>
      <w:r w:rsidR="00D37F9A">
        <w:rPr>
          <w:rFonts w:ascii="Times New Roman" w:hAnsi="Times New Roman" w:cs="Times New Roman"/>
          <w:sz w:val="24"/>
          <w:szCs w:val="24"/>
        </w:rPr>
        <w:fldChar w:fldCharType="begin" w:fldLock="1"/>
      </w:r>
      <w:r w:rsidR="00ED332D">
        <w:rPr>
          <w:rFonts w:ascii="Times New Roman" w:hAnsi="Times New Roman" w:cs="Times New Roman"/>
          <w:sz w:val="24"/>
          <w:szCs w:val="24"/>
        </w:rPr>
        <w:instrText>ADDIN CSL_CITATION {"citationItems":[{"id":"ITEM-1","itemData":{"DOI":"10.1007/s10980-012-9773-9","ISSN":"09212973","abstract":"Wildland fuels are important to fire managers because they can be manipulated to achieve management goals, such as restoring ecosystems, decreasing fire intensity, minimizing plant mortality, and reducing erosion. However, it is difficult to accurately measure, describe, and map wildland fuels because of the great variability of wildland fuelbed properties over space and time. Few have quantified the scale of this variability across space to understand its effect on fire spread, burning intensity, and ecological effects. This study investigated the spatial variability of loading (biomass) across major surface and canopy fuel components in low elevation northern Rocky Mountain forest and rangeland ecosystems to determine the inherent scale of surface fuel and canopy fuel distributions. Biomass loadings (kg m -2) were measured for seven surface fuel components-four downed dead woody fuel size classes (0-6 mm, 6-25 mm, 25-75 mm, and 75 + mm), duff plus litter, shrub, and herb-using a spatially nested plot sampling design within a 1 km 2 square sampling grid installed at six sites in the northern US Rocky Mountains. Bulk density, biomass, and cover of the forest canopy were also measured for each plot in the grid. Surface fuel loadings were estimated using a combination of photoload and destructive collection methods at many distances within the grid. We quantified spatial variability of fuel component loading using spatial variograms, and found that each fuel component had its own inherent scale with fine fuels varying at scales of 1-5 m, coarse fuels at 10-150 m, and canopy fuels from 100 to 500 m. Using regression analyses, we computed a scaling factor of 4.6 m for fuel particle diameter (4.6 m increase in scale with each cm increase in particle diameter). Findings from this study can be used to design fuel sampling projects, classify fuelbeds, and map fuel characteristics, such as loading, to account for the inherent scale of fuel distributions to get more accurate fuel loading estimations. © 2012 Springer Science+Business Media B.V. (outside the USA).","author":[{"dropping-particle":"","family":"Keane","given":"Robert E.","non-dropping-particle":"","parse-names":false,"suffix":""},{"dropping-particle":"","family":"Gray","given":"Kathy","non-dropping-particle":"","parse-names":false,"suffix":""},{"dropping-particle":"","family":"Bacciu","given":"Valentina","non-dropping-particle":"","parse-names":false,"suffix":""},{"dropping-particle":"","family":"Leirfallom","given":"Signe","non-dropping-particle":"","parse-names":false,"suffix":""}],"container-title":"Landscape Ecology","id":"ITEM-1","issue":"8","issued":{"date-parts":[["2012","9","11"]]},"note":"Spatially nested plot sampling design\n\nEach fuel component had its own inherent scale\n-fine fuels vary 1-5m, course 10-150, canopy 100-500\n-scaling factor of 4.6m per cm of particle\n- strong site to site variation\n\n~\n\nThaxton and Platt 2006 - manipulation of het in grassland fuels\nRocca 2009 ditto\n\nVan Mantgem and Schwik 2009 found insignificant SA but 50m sampling grid prolly too coarse\n\n'canopy and surface fuels were sampled differently in this stuent because of meth, logsitcial and scale issues\n\n1000 100 1 m squared plot nested\n\nPhotoload method for fine woody fuels \n\nDuff and litter loading much higher than other fuel compoonents at all 6 sits\n\nJenkins et al 2008 - bark beetles and fuel\n\nPage and Jenkins 2007\n\nThe pj stand in utah showed that all particle classes varied at smae scale\n\nNeither range nor loading of fuel correlated with canopy charactersitcs\n\nIt took over a month to sample any one of these sites","page":"1213-1234","publisher":"Springer","title":"Spatial scaling of wildland fuels for six forest and rangeland ecosystems of the northern Rocky Mountains, USA","type":"article-journal","volume":"27"},"uris":["http://www.mendeley.com/documents/?uuid=2618256a-4ba1-33f5-89a8-b5fc6d2d9f47"]},{"id":"ITEM-2","itemData":{"DOI":"10.1071/wf01028","ISSN":"10498001","abstract":"Fuel maps are essential for computing spatial fire hazard and risk and simulating fire growth and intensity across a landscape. However, fuel mapping is an extremely difficult and complex process requiring expertise in remotely sensed image classification, fire behavior, fuels modeling, ecology, and geographical information systems (GIS). This paper first presents the challenges of mapping fuels: canopy concealment, fuelbed complexity, fuel type diversity, fuel variability, and fuel model generalization. Then, four approaches to mapping fuels are discussed with examples provided from the literature: (1) field reconnaissance; (2) direct mapping methods; (3) indirect mapping methods; and (4) gradient modeling. A fuel mapping method is proposed that uses current remote sensing and image processing technology. Future fuel mapping needs are also discussed which include better field data and fuel models, accurate GIS reference layers, improved satellite imagery, and comprehensive ecosystem models.","author":[{"dropping-particle":"","family":"Keane","given":"Robert E.","non-dropping-particle":"","parse-names":false,"suffix":""},{"dropping-particle":"","family":"Burgan","given":"Robert","non-dropping-particle":"","parse-names":false,"suffix":""},{"dropping-particle":"","family":"Wagtendonk","given":"Jan","non-dropping-particle":"Van","parse-names":false,"suffix":""}],"container-title":"International Journal of Wildland Fire","id":"ITEM-2","issue":"3-4","issued":{"date-parts":[["2001"]]},"page":"301-319","publisher":"CSIRO PUBLISHING","title":"Mapping wildland fuels for fire management across multiple scales: Integrating remote sensing, GIS, and biophysical modeling","type":"article-journal","volume":"10"},"uris":["http://www.mendeley.com/documents/?uuid=2a847846-fa1a-3966-b43e-ae333b120e00"]}],"mendeley":{"formattedCitation":"(Keane et al. 2001, 2012)","plainTextFormattedCitation":"(Keane et al. 2001, 2012)","previouslyFormattedCitation":"(Keane et al. 2001, 2012)"},"properties":{"noteIndex":0},"schema":"https://github.com/citation-style-language/schema/raw/master/csl-citation.json"}</w:instrText>
      </w:r>
      <w:r w:rsidR="00D37F9A">
        <w:rPr>
          <w:rFonts w:ascii="Times New Roman" w:hAnsi="Times New Roman" w:cs="Times New Roman"/>
          <w:sz w:val="24"/>
          <w:szCs w:val="24"/>
        </w:rPr>
        <w:fldChar w:fldCharType="separate"/>
      </w:r>
      <w:r w:rsidR="00D37F9A" w:rsidRPr="00D37F9A">
        <w:rPr>
          <w:rFonts w:ascii="Times New Roman" w:hAnsi="Times New Roman" w:cs="Times New Roman"/>
          <w:noProof/>
          <w:sz w:val="24"/>
          <w:szCs w:val="24"/>
        </w:rPr>
        <w:t>(Keane et al. 2001, 2012)</w:t>
      </w:r>
      <w:r w:rsidR="00D37F9A">
        <w:rPr>
          <w:rFonts w:ascii="Times New Roman" w:hAnsi="Times New Roman" w:cs="Times New Roman"/>
          <w:sz w:val="24"/>
          <w:szCs w:val="24"/>
        </w:rPr>
        <w:fldChar w:fldCharType="end"/>
      </w:r>
      <w:r w:rsidR="00BC2357">
        <w:rPr>
          <w:rFonts w:ascii="Times New Roman" w:hAnsi="Times New Roman" w:cs="Times New Roman"/>
          <w:sz w:val="24"/>
          <w:szCs w:val="24"/>
        </w:rPr>
        <w:t xml:space="preserve">.  Additionally, many of these variables were measured at different scales and/or different points along fuel transects, which may complicate inference when attempting to relate variables at a plot level. </w:t>
      </w:r>
    </w:p>
    <w:p w14:paraId="736628FD" w14:textId="77777777" w:rsidR="004E66CC" w:rsidRDefault="004E66CC" w:rsidP="000D0D8B">
      <w:pPr>
        <w:spacing w:line="480" w:lineRule="auto"/>
        <w:rPr>
          <w:rFonts w:ascii="Times New Roman" w:hAnsi="Times New Roman" w:cs="Times New Roman"/>
          <w:sz w:val="24"/>
          <w:szCs w:val="24"/>
        </w:rPr>
      </w:pPr>
    </w:p>
    <w:p w14:paraId="48177960" w14:textId="7052658C" w:rsidR="00670FA5" w:rsidRDefault="00670FA5" w:rsidP="000D0D8B">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r w:rsidR="007F2F4B">
        <w:rPr>
          <w:rFonts w:ascii="Times New Roman" w:hAnsi="Times New Roman" w:cs="Times New Roman"/>
          <w:b/>
          <w:bCs/>
          <w:sz w:val="24"/>
          <w:szCs w:val="24"/>
        </w:rPr>
        <w:t>s</w:t>
      </w:r>
    </w:p>
    <w:p w14:paraId="4938CAE0" w14:textId="11FCCCB7" w:rsidR="00670FA5" w:rsidRDefault="00670FA5"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The exploratory analyses presented in this paper will be complimentary to hypothesis testing analyses I will also conduct with the Mission Creek dataset.  I f</w:t>
      </w:r>
      <w:r w:rsidR="007F2F4B">
        <w:rPr>
          <w:rFonts w:ascii="Times New Roman" w:hAnsi="Times New Roman" w:cs="Times New Roman"/>
          <w:sz w:val="24"/>
          <w:szCs w:val="24"/>
        </w:rPr>
        <w:t>ound</w:t>
      </w:r>
      <w:r>
        <w:rPr>
          <w:rFonts w:ascii="Times New Roman" w:hAnsi="Times New Roman" w:cs="Times New Roman"/>
          <w:sz w:val="24"/>
          <w:szCs w:val="24"/>
        </w:rPr>
        <w:t xml:space="preserve"> NMDS to be particularly useful </w:t>
      </w:r>
      <w:proofErr w:type="gramStart"/>
      <w:r>
        <w:rPr>
          <w:rFonts w:ascii="Times New Roman" w:hAnsi="Times New Roman" w:cs="Times New Roman"/>
          <w:sz w:val="24"/>
          <w:szCs w:val="24"/>
        </w:rPr>
        <w:t>here, and</w:t>
      </w:r>
      <w:proofErr w:type="gramEnd"/>
      <w:r>
        <w:rPr>
          <w:rFonts w:ascii="Times New Roman" w:hAnsi="Times New Roman" w:cs="Times New Roman"/>
          <w:sz w:val="24"/>
          <w:szCs w:val="24"/>
        </w:rPr>
        <w:t xml:space="preserve"> will likely further explore the NMDS analyses I’ve conducted here, for inclusion into the final manuscript.</w:t>
      </w:r>
      <w:r w:rsidR="007F2F4B">
        <w:rPr>
          <w:rFonts w:ascii="Times New Roman" w:hAnsi="Times New Roman" w:cs="Times New Roman"/>
          <w:sz w:val="24"/>
          <w:szCs w:val="24"/>
        </w:rPr>
        <w:t xml:space="preserve">  Focus on within-treatment variation is becoming one of the major themes in my manuscript, and the NMDS Procrustes analysis provides clear justification for this focus. </w:t>
      </w:r>
      <w:r>
        <w:rPr>
          <w:rFonts w:ascii="Times New Roman" w:hAnsi="Times New Roman" w:cs="Times New Roman"/>
          <w:sz w:val="24"/>
          <w:szCs w:val="24"/>
        </w:rPr>
        <w:t xml:space="preserve"> The results of the cluster analyses </w:t>
      </w:r>
      <w:r w:rsidR="007F2F4B">
        <w:rPr>
          <w:rFonts w:ascii="Times New Roman" w:hAnsi="Times New Roman" w:cs="Times New Roman"/>
          <w:sz w:val="24"/>
          <w:szCs w:val="24"/>
        </w:rPr>
        <w:t>were</w:t>
      </w:r>
      <w:r>
        <w:rPr>
          <w:rFonts w:ascii="Times New Roman" w:hAnsi="Times New Roman" w:cs="Times New Roman"/>
          <w:sz w:val="24"/>
          <w:szCs w:val="24"/>
        </w:rPr>
        <w:t xml:space="preserve"> interesting, but I f</w:t>
      </w:r>
      <w:r w:rsidR="007F2F4B">
        <w:rPr>
          <w:rFonts w:ascii="Times New Roman" w:hAnsi="Times New Roman" w:cs="Times New Roman"/>
          <w:sz w:val="24"/>
          <w:szCs w:val="24"/>
        </w:rPr>
        <w:t xml:space="preserve">ound </w:t>
      </w:r>
      <w:r>
        <w:rPr>
          <w:rFonts w:ascii="Times New Roman" w:hAnsi="Times New Roman" w:cs="Times New Roman"/>
          <w:sz w:val="24"/>
          <w:szCs w:val="24"/>
        </w:rPr>
        <w:t xml:space="preserve">them a bit inconclusive.  </w:t>
      </w:r>
      <w:r w:rsidR="007F2F4B">
        <w:rPr>
          <w:rFonts w:ascii="Times New Roman" w:hAnsi="Times New Roman" w:cs="Times New Roman"/>
          <w:sz w:val="24"/>
          <w:szCs w:val="24"/>
        </w:rPr>
        <w:t>I will keep them in mind, however, as I use mixed effects models with replicate unit set as random effect.  It’s possible that the random intercept scores of the western four units will be in one direction, and the random intercept scores of the eastern four units will be in another direction.  Or it’s possible that</w:t>
      </w:r>
      <w:r w:rsidR="00E36B34">
        <w:rPr>
          <w:rFonts w:ascii="Times New Roman" w:hAnsi="Times New Roman" w:cs="Times New Roman"/>
          <w:sz w:val="24"/>
          <w:szCs w:val="24"/>
        </w:rPr>
        <w:t xml:space="preserve"> other </w:t>
      </w:r>
      <w:r w:rsidR="00AF500E">
        <w:rPr>
          <w:rFonts w:ascii="Times New Roman" w:hAnsi="Times New Roman" w:cs="Times New Roman"/>
          <w:sz w:val="24"/>
          <w:szCs w:val="24"/>
        </w:rPr>
        <w:t>explanatory variables</w:t>
      </w:r>
      <w:r w:rsidR="00E36B34">
        <w:rPr>
          <w:rFonts w:ascii="Times New Roman" w:hAnsi="Times New Roman" w:cs="Times New Roman"/>
          <w:sz w:val="24"/>
          <w:szCs w:val="24"/>
        </w:rPr>
        <w:t xml:space="preserve"> used in the models, such as heat load index, will partially account for differences between geographic clusters.  In any case, I’ll have a more concrete idea of possible confounding effects after running the cluster analyses.  I am unlikely to use</w:t>
      </w:r>
      <w:r w:rsidR="00AF500E">
        <w:rPr>
          <w:rFonts w:ascii="Times New Roman" w:hAnsi="Times New Roman" w:cs="Times New Roman"/>
          <w:sz w:val="24"/>
          <w:szCs w:val="24"/>
        </w:rPr>
        <w:t xml:space="preserve"> PCA results presented here for further hypothesis testing</w:t>
      </w:r>
      <w:r w:rsidR="00E36B34">
        <w:rPr>
          <w:rFonts w:ascii="Times New Roman" w:hAnsi="Times New Roman" w:cs="Times New Roman"/>
          <w:sz w:val="24"/>
          <w:szCs w:val="24"/>
        </w:rPr>
        <w:t xml:space="preserve">, partially because of concerns with </w:t>
      </w:r>
      <w:r w:rsidR="00AF500E">
        <w:rPr>
          <w:rFonts w:ascii="Times New Roman" w:hAnsi="Times New Roman" w:cs="Times New Roman"/>
          <w:sz w:val="24"/>
          <w:szCs w:val="24"/>
        </w:rPr>
        <w:t xml:space="preserve">PCA in this context and difficulty with variable transformation, and </w:t>
      </w:r>
      <w:r w:rsidR="00AF500E">
        <w:rPr>
          <w:rFonts w:ascii="Times New Roman" w:hAnsi="Times New Roman" w:cs="Times New Roman"/>
          <w:sz w:val="24"/>
          <w:szCs w:val="24"/>
        </w:rPr>
        <w:lastRenderedPageBreak/>
        <w:t>partially because of my preference for dealing with individual variables in hypothesis testing.  However, PCA has shed light on possible relationships between response variables</w:t>
      </w:r>
      <w:r w:rsidR="00BA1BB1">
        <w:rPr>
          <w:rFonts w:ascii="Times New Roman" w:hAnsi="Times New Roman" w:cs="Times New Roman"/>
          <w:sz w:val="24"/>
          <w:szCs w:val="24"/>
        </w:rPr>
        <w:t xml:space="preserve">, which will be interesting to compare to univariate hypothesis testing results of different response variables.  </w:t>
      </w:r>
    </w:p>
    <w:p w14:paraId="2A463D15" w14:textId="71F455EE" w:rsidR="00BA1BB1" w:rsidRDefault="00BA1BB1" w:rsidP="000D0D8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sum, these multivariate analyses have helped to clarify or suggest patterns in a dataset that’s complicated in several dimensions, including some experimental imbalances, geographic differences in replicate units, and large number of partially related response variables.  </w:t>
      </w:r>
      <w:r w:rsidR="002D6D1C">
        <w:rPr>
          <w:rFonts w:ascii="Times New Roman" w:hAnsi="Times New Roman" w:cs="Times New Roman"/>
          <w:sz w:val="24"/>
          <w:szCs w:val="24"/>
        </w:rPr>
        <w:t xml:space="preserve">These results will be complimentary to hypothesis testing analyses moving forward, and the NMDS will likely prove an integral piece of my Mission Creek dissertation chapter and manuscript. </w:t>
      </w:r>
    </w:p>
    <w:p w14:paraId="45918EA9" w14:textId="7C1AC554" w:rsidR="00726C16" w:rsidRDefault="00726C16" w:rsidP="000D0D8B">
      <w:pPr>
        <w:spacing w:after="0" w:line="480" w:lineRule="auto"/>
        <w:rPr>
          <w:rFonts w:ascii="Times New Roman" w:hAnsi="Times New Roman" w:cs="Times New Roman"/>
          <w:sz w:val="24"/>
          <w:szCs w:val="24"/>
        </w:rPr>
      </w:pPr>
    </w:p>
    <w:p w14:paraId="36BEF8CC" w14:textId="77777777" w:rsidR="00726C16" w:rsidRDefault="00726C16" w:rsidP="000D0D8B">
      <w:pPr>
        <w:spacing w:after="0" w:line="480" w:lineRule="auto"/>
        <w:rPr>
          <w:rFonts w:ascii="Times New Roman" w:hAnsi="Times New Roman" w:cs="Times New Roman"/>
          <w:b/>
          <w:bCs/>
          <w:sz w:val="24"/>
          <w:szCs w:val="24"/>
        </w:rPr>
      </w:pPr>
    </w:p>
    <w:p w14:paraId="6A2192A2" w14:textId="77777777" w:rsidR="00726C16" w:rsidRDefault="00726C16" w:rsidP="000D0D8B">
      <w:pPr>
        <w:spacing w:after="0" w:line="480" w:lineRule="auto"/>
        <w:rPr>
          <w:rFonts w:ascii="Times New Roman" w:hAnsi="Times New Roman" w:cs="Times New Roman"/>
          <w:b/>
          <w:bCs/>
          <w:sz w:val="24"/>
          <w:szCs w:val="24"/>
        </w:rPr>
      </w:pPr>
    </w:p>
    <w:p w14:paraId="074CE5AC" w14:textId="77777777" w:rsidR="00726C16" w:rsidRDefault="00726C16" w:rsidP="000D0D8B">
      <w:pPr>
        <w:spacing w:after="0" w:line="480" w:lineRule="auto"/>
        <w:rPr>
          <w:rFonts w:ascii="Times New Roman" w:hAnsi="Times New Roman" w:cs="Times New Roman"/>
          <w:b/>
          <w:bCs/>
          <w:sz w:val="24"/>
          <w:szCs w:val="24"/>
        </w:rPr>
      </w:pPr>
    </w:p>
    <w:p w14:paraId="0A4788E5" w14:textId="77777777" w:rsidR="00726C16" w:rsidRDefault="00726C16" w:rsidP="000D0D8B">
      <w:pPr>
        <w:spacing w:after="0" w:line="480" w:lineRule="auto"/>
        <w:rPr>
          <w:rFonts w:ascii="Times New Roman" w:hAnsi="Times New Roman" w:cs="Times New Roman"/>
          <w:b/>
          <w:bCs/>
          <w:sz w:val="24"/>
          <w:szCs w:val="24"/>
        </w:rPr>
      </w:pPr>
    </w:p>
    <w:p w14:paraId="50A97F2E" w14:textId="77777777" w:rsidR="00726C16" w:rsidRDefault="00726C16" w:rsidP="000D0D8B">
      <w:pPr>
        <w:spacing w:after="0" w:line="480" w:lineRule="auto"/>
        <w:rPr>
          <w:rFonts w:ascii="Times New Roman" w:hAnsi="Times New Roman" w:cs="Times New Roman"/>
          <w:b/>
          <w:bCs/>
          <w:sz w:val="24"/>
          <w:szCs w:val="24"/>
        </w:rPr>
      </w:pPr>
    </w:p>
    <w:p w14:paraId="177F39BA" w14:textId="77777777" w:rsidR="00726C16" w:rsidRDefault="00726C16" w:rsidP="000D0D8B">
      <w:pPr>
        <w:spacing w:after="0" w:line="480" w:lineRule="auto"/>
        <w:rPr>
          <w:rFonts w:ascii="Times New Roman" w:hAnsi="Times New Roman" w:cs="Times New Roman"/>
          <w:b/>
          <w:bCs/>
          <w:sz w:val="24"/>
          <w:szCs w:val="24"/>
        </w:rPr>
      </w:pPr>
    </w:p>
    <w:p w14:paraId="6676FBF1" w14:textId="77777777" w:rsidR="00726C16" w:rsidRDefault="00726C16" w:rsidP="000D0D8B">
      <w:pPr>
        <w:spacing w:after="0" w:line="480" w:lineRule="auto"/>
        <w:rPr>
          <w:rFonts w:ascii="Times New Roman" w:hAnsi="Times New Roman" w:cs="Times New Roman"/>
          <w:b/>
          <w:bCs/>
          <w:sz w:val="24"/>
          <w:szCs w:val="24"/>
        </w:rPr>
      </w:pPr>
    </w:p>
    <w:p w14:paraId="53CA73A6" w14:textId="77777777" w:rsidR="00726C16" w:rsidRDefault="00726C16" w:rsidP="000D0D8B">
      <w:pPr>
        <w:spacing w:after="0" w:line="480" w:lineRule="auto"/>
        <w:rPr>
          <w:rFonts w:ascii="Times New Roman" w:hAnsi="Times New Roman" w:cs="Times New Roman"/>
          <w:b/>
          <w:bCs/>
          <w:sz w:val="24"/>
          <w:szCs w:val="24"/>
        </w:rPr>
      </w:pPr>
    </w:p>
    <w:p w14:paraId="21FB9A8F" w14:textId="77777777" w:rsidR="00726C16" w:rsidRDefault="00726C16" w:rsidP="000D0D8B">
      <w:pPr>
        <w:spacing w:after="0" w:line="480" w:lineRule="auto"/>
        <w:rPr>
          <w:rFonts w:ascii="Times New Roman" w:hAnsi="Times New Roman" w:cs="Times New Roman"/>
          <w:b/>
          <w:bCs/>
          <w:sz w:val="24"/>
          <w:szCs w:val="24"/>
        </w:rPr>
      </w:pPr>
    </w:p>
    <w:p w14:paraId="611F1ACC" w14:textId="77777777" w:rsidR="00726C16" w:rsidRDefault="00726C16" w:rsidP="000D0D8B">
      <w:pPr>
        <w:spacing w:after="0" w:line="480" w:lineRule="auto"/>
        <w:rPr>
          <w:rFonts w:ascii="Times New Roman" w:hAnsi="Times New Roman" w:cs="Times New Roman"/>
          <w:b/>
          <w:bCs/>
          <w:sz w:val="24"/>
          <w:szCs w:val="24"/>
        </w:rPr>
      </w:pPr>
    </w:p>
    <w:p w14:paraId="0ACF756F" w14:textId="77777777" w:rsidR="00726C16" w:rsidRDefault="00726C16" w:rsidP="000D0D8B">
      <w:pPr>
        <w:spacing w:after="0" w:line="480" w:lineRule="auto"/>
        <w:rPr>
          <w:rFonts w:ascii="Times New Roman" w:hAnsi="Times New Roman" w:cs="Times New Roman"/>
          <w:b/>
          <w:bCs/>
          <w:sz w:val="24"/>
          <w:szCs w:val="24"/>
        </w:rPr>
      </w:pPr>
    </w:p>
    <w:p w14:paraId="41450D2E" w14:textId="77777777" w:rsidR="00726C16" w:rsidRDefault="00726C16" w:rsidP="000D0D8B">
      <w:pPr>
        <w:spacing w:after="0" w:line="480" w:lineRule="auto"/>
        <w:rPr>
          <w:rFonts w:ascii="Times New Roman" w:hAnsi="Times New Roman" w:cs="Times New Roman"/>
          <w:b/>
          <w:bCs/>
          <w:sz w:val="24"/>
          <w:szCs w:val="24"/>
        </w:rPr>
      </w:pPr>
    </w:p>
    <w:p w14:paraId="4C4F4E06" w14:textId="77777777" w:rsidR="00726C16" w:rsidRDefault="00726C16" w:rsidP="000D0D8B">
      <w:pPr>
        <w:spacing w:after="0" w:line="480" w:lineRule="auto"/>
        <w:rPr>
          <w:rFonts w:ascii="Times New Roman" w:hAnsi="Times New Roman" w:cs="Times New Roman"/>
          <w:b/>
          <w:bCs/>
          <w:sz w:val="24"/>
          <w:szCs w:val="24"/>
        </w:rPr>
      </w:pPr>
    </w:p>
    <w:p w14:paraId="0F34B1EC" w14:textId="77777777" w:rsidR="00726C16" w:rsidRDefault="00726C16" w:rsidP="000D0D8B">
      <w:pPr>
        <w:spacing w:after="0" w:line="480" w:lineRule="auto"/>
        <w:rPr>
          <w:rFonts w:ascii="Times New Roman" w:hAnsi="Times New Roman" w:cs="Times New Roman"/>
          <w:b/>
          <w:bCs/>
          <w:sz w:val="24"/>
          <w:szCs w:val="24"/>
        </w:rPr>
      </w:pPr>
    </w:p>
    <w:p w14:paraId="2A1122D9" w14:textId="656C84EF" w:rsidR="00726C16" w:rsidRPr="00726C16" w:rsidRDefault="00726C16" w:rsidP="000D0D8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Appendix One: Metadata</w:t>
      </w:r>
    </w:p>
    <w:p w14:paraId="476D5F06" w14:textId="77777777" w:rsidR="00726C16" w:rsidRDefault="00726C16" w:rsidP="00726C16">
      <w:pPr>
        <w:spacing w:after="0"/>
        <w:rPr>
          <w:rFonts w:ascii="Times New Roman" w:hAnsi="Times New Roman" w:cs="Times New Roman"/>
          <w:b/>
          <w:bCs/>
          <w:sz w:val="28"/>
          <w:szCs w:val="28"/>
        </w:rPr>
      </w:pPr>
      <w:r w:rsidRPr="00726C16">
        <w:rPr>
          <w:rFonts w:ascii="Times New Roman" w:hAnsi="Times New Roman" w:cs="Times New Roman"/>
          <w:b/>
          <w:bCs/>
          <w:sz w:val="24"/>
          <w:szCs w:val="24"/>
        </w:rPr>
        <w:t>Mission Creek Fuel Data Description and Metadata</w:t>
      </w:r>
    </w:p>
    <w:p w14:paraId="49E353BA" w14:textId="77777777" w:rsidR="00726C16" w:rsidRDefault="00726C16" w:rsidP="00726C16">
      <w:pPr>
        <w:spacing w:after="0"/>
        <w:rPr>
          <w:rFonts w:ascii="Times New Roman" w:hAnsi="Times New Roman" w:cs="Times New Roman"/>
          <w:b/>
          <w:bCs/>
          <w:sz w:val="28"/>
          <w:szCs w:val="28"/>
        </w:rPr>
      </w:pPr>
    </w:p>
    <w:p w14:paraId="310FEBA6" w14:textId="77777777" w:rsidR="00726C16" w:rsidRPr="005A6503" w:rsidRDefault="00726C16" w:rsidP="00726C16">
      <w:pPr>
        <w:spacing w:after="0"/>
        <w:rPr>
          <w:rFonts w:ascii="Times New Roman" w:hAnsi="Times New Roman" w:cs="Times New Roman"/>
          <w:sz w:val="24"/>
          <w:szCs w:val="24"/>
        </w:rPr>
      </w:pPr>
      <w:r w:rsidRPr="005A6503">
        <w:rPr>
          <w:rFonts w:ascii="Times New Roman" w:hAnsi="Times New Roman" w:cs="Times New Roman"/>
          <w:sz w:val="24"/>
          <w:szCs w:val="24"/>
        </w:rPr>
        <w:t>Don Radcliffe, PhD Candidate</w:t>
      </w:r>
    </w:p>
    <w:p w14:paraId="4AD01A6B" w14:textId="77777777" w:rsidR="00726C16" w:rsidRPr="005A6503" w:rsidRDefault="00726C16" w:rsidP="00726C16">
      <w:pPr>
        <w:spacing w:after="0"/>
        <w:rPr>
          <w:rFonts w:ascii="Times New Roman" w:hAnsi="Times New Roman" w:cs="Times New Roman"/>
          <w:sz w:val="24"/>
          <w:szCs w:val="24"/>
        </w:rPr>
      </w:pPr>
      <w:r w:rsidRPr="005A6503">
        <w:rPr>
          <w:rFonts w:ascii="Times New Roman" w:hAnsi="Times New Roman" w:cs="Times New Roman"/>
          <w:sz w:val="24"/>
          <w:szCs w:val="24"/>
        </w:rPr>
        <w:t>University of Washington School of Environmental and Forest Sciences</w:t>
      </w:r>
    </w:p>
    <w:p w14:paraId="2C924FEB" w14:textId="77777777" w:rsidR="00726C16" w:rsidRPr="005A6503" w:rsidRDefault="00726C16" w:rsidP="00726C16">
      <w:pPr>
        <w:spacing w:after="0"/>
        <w:rPr>
          <w:rFonts w:ascii="Times New Roman" w:hAnsi="Times New Roman" w:cs="Times New Roman"/>
          <w:sz w:val="24"/>
          <w:szCs w:val="24"/>
        </w:rPr>
      </w:pPr>
      <w:r w:rsidRPr="005A6503">
        <w:rPr>
          <w:rFonts w:ascii="Times New Roman" w:hAnsi="Times New Roman" w:cs="Times New Roman"/>
          <w:sz w:val="24"/>
          <w:szCs w:val="24"/>
        </w:rPr>
        <w:t>dradclif@uw.edu</w:t>
      </w:r>
    </w:p>
    <w:p w14:paraId="0410A412" w14:textId="77777777" w:rsidR="00726C16" w:rsidRPr="005A6503" w:rsidRDefault="00726C16" w:rsidP="00726C16">
      <w:pPr>
        <w:spacing w:after="0"/>
        <w:rPr>
          <w:rFonts w:ascii="Times New Roman" w:hAnsi="Times New Roman" w:cs="Times New Roman"/>
          <w:sz w:val="24"/>
          <w:szCs w:val="24"/>
        </w:rPr>
      </w:pPr>
      <w:r w:rsidRPr="005A6503">
        <w:rPr>
          <w:rFonts w:ascii="Times New Roman" w:hAnsi="Times New Roman" w:cs="Times New Roman"/>
          <w:sz w:val="24"/>
          <w:szCs w:val="24"/>
        </w:rPr>
        <w:t>donaldradcliffe91@gmail.com</w:t>
      </w:r>
    </w:p>
    <w:p w14:paraId="0D72F4C6" w14:textId="77777777" w:rsidR="00726C16" w:rsidRPr="005A6503" w:rsidRDefault="00726C16" w:rsidP="00726C16">
      <w:pPr>
        <w:spacing w:after="0"/>
        <w:rPr>
          <w:rFonts w:ascii="Times New Roman" w:hAnsi="Times New Roman" w:cs="Times New Roman"/>
          <w:sz w:val="24"/>
          <w:szCs w:val="24"/>
        </w:rPr>
      </w:pPr>
      <w:r w:rsidRPr="005A6503">
        <w:rPr>
          <w:rFonts w:ascii="Times New Roman" w:hAnsi="Times New Roman" w:cs="Times New Roman"/>
          <w:sz w:val="24"/>
          <w:szCs w:val="24"/>
        </w:rPr>
        <w:t>(608) 333-2253</w:t>
      </w:r>
    </w:p>
    <w:p w14:paraId="0E25062E" w14:textId="77777777" w:rsidR="00726C16" w:rsidRDefault="00726C16" w:rsidP="00726C16">
      <w:pPr>
        <w:spacing w:after="0"/>
        <w:rPr>
          <w:rFonts w:ascii="Times New Roman" w:hAnsi="Times New Roman" w:cs="Times New Roman"/>
          <w:sz w:val="24"/>
          <w:szCs w:val="24"/>
        </w:rPr>
      </w:pPr>
      <w:proofErr w:type="spellStart"/>
      <w:r w:rsidRPr="005A6503">
        <w:rPr>
          <w:rFonts w:ascii="Times New Roman" w:hAnsi="Times New Roman" w:cs="Times New Roman"/>
          <w:sz w:val="24"/>
          <w:szCs w:val="24"/>
        </w:rPr>
        <w:t>Github</w:t>
      </w:r>
      <w:proofErr w:type="spellEnd"/>
      <w:r w:rsidRPr="005A6503">
        <w:rPr>
          <w:rFonts w:ascii="Times New Roman" w:hAnsi="Times New Roman" w:cs="Times New Roman"/>
          <w:sz w:val="24"/>
          <w:szCs w:val="24"/>
        </w:rPr>
        <w:t>: don-</w:t>
      </w:r>
      <w:proofErr w:type="spellStart"/>
      <w:r w:rsidRPr="005A6503">
        <w:rPr>
          <w:rFonts w:ascii="Times New Roman" w:hAnsi="Times New Roman" w:cs="Times New Roman"/>
          <w:sz w:val="24"/>
          <w:szCs w:val="24"/>
        </w:rPr>
        <w:t>radcliffe</w:t>
      </w:r>
      <w:proofErr w:type="spellEnd"/>
    </w:p>
    <w:p w14:paraId="3D6AD9AB" w14:textId="77777777" w:rsidR="00726C16" w:rsidRPr="005A6503"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March 10</w:t>
      </w:r>
      <w:r w:rsidRPr="005A6503">
        <w:rPr>
          <w:rFonts w:ascii="Times New Roman" w:hAnsi="Times New Roman" w:cs="Times New Roman"/>
          <w:sz w:val="24"/>
          <w:szCs w:val="24"/>
          <w:vertAlign w:val="superscript"/>
        </w:rPr>
        <w:t>th</w:t>
      </w:r>
      <w:r>
        <w:rPr>
          <w:rFonts w:ascii="Times New Roman" w:hAnsi="Times New Roman" w:cs="Times New Roman"/>
          <w:sz w:val="24"/>
          <w:szCs w:val="24"/>
        </w:rPr>
        <w:t>, 2022</w:t>
      </w:r>
    </w:p>
    <w:p w14:paraId="472D4F7C" w14:textId="77777777" w:rsidR="00726C16" w:rsidRPr="00A85A43" w:rsidRDefault="00726C16" w:rsidP="00726C16">
      <w:pPr>
        <w:spacing w:after="0"/>
        <w:rPr>
          <w:rFonts w:ascii="Times New Roman" w:hAnsi="Times New Roman" w:cs="Times New Roman"/>
          <w:b/>
          <w:bCs/>
          <w:sz w:val="28"/>
          <w:szCs w:val="28"/>
        </w:rPr>
      </w:pPr>
    </w:p>
    <w:p w14:paraId="304F2423"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The following report describes fuel data from the Mission Creek site of the Fire and Fire Surrogates Study (FFS).  The data described are contained in the ‘mission_master_widest.csv’ file.  Additional sample protocols are listed in the ‘protocol_mission_creek_2020.doc’ file.</w:t>
      </w:r>
    </w:p>
    <w:p w14:paraId="672A0F41" w14:textId="77777777" w:rsidR="00726C16" w:rsidRDefault="00726C16" w:rsidP="00726C16">
      <w:pPr>
        <w:spacing w:after="0"/>
        <w:rPr>
          <w:rFonts w:ascii="Times New Roman" w:hAnsi="Times New Roman" w:cs="Times New Roman"/>
          <w:sz w:val="24"/>
          <w:szCs w:val="24"/>
        </w:rPr>
      </w:pPr>
    </w:p>
    <w:p w14:paraId="539827D3"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 xml:space="preserve">The Mission Creek site was one of original 13 sites of the FFS, a nationwide coordinated distributed experiment designed to study the effects of the following forestry treatments: control, thin, burn, and thin plus burn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{"citationItems":[{"id":"ITEM-1","itemData":{"DOI":"10.1093/forestscience/56.1.4","ISSN":"0015749X","abstract":"The National Fire and Fire Surrogate (FFS) study is described, from its conceptual stage in early 1996 to the completion of its short-term phase in May 2006. Comprising 12 sites, the FFS study is a comprehensive multidisciplinary experiment designed to evaluate the economics and ecological consequences of alternative fuel reduction treatments in seasonally dry forests of the United States. The FFS study uses a common experimental design across the 12-site network, with each site consisting of a fully replicated experiment that compares four treatments: an unmanipulated control, prescribed fire, mechanical treatments, and mechanical fire. We measured operational costs and variables within several components of the ecosystem, including vegetation, the fuel bed, soils, bark beetles, tree diseases, and wildlife in the same 10-ha experimental units. This design allowed us to assemble a fairly complete picture of ecosystem response to treatment at the site scale, and to compare treatment response across sites representing a wide variety of conditions. We offer the FFS study as a model for conducting a complex multidisciplinary management experiment focused on natural resource issues. We then discuss why we believe it was successful and how it could be improved. We discuss seven key features that we believe must be considered to conduct a successful multidisciplinary experiment: funding, design, partnerships, organization, standardization, data management, and outreach. Although experiments such as the FFS study are difficult to execute, they may be our best hope for answering some of our more pressing questions in the field of natural resource management. © 2010 by the Society of American Foresters.","author":[{"dropping-particle":"","family":"McIver","given":"James Duncan","non-dropping-particle":"","parse-names":false,"suffix":""},{"dropping-particle":"","family":"Weatherspoon","given":"Charles Phillip","non-dropping-particle":"","parse-names":false,"suffix":""}],"container-title":"Forest Science","id":"ITEM-1","issue":"1","issued":{"date-parts":[["2010","2"]]},"note":"Seven key features to conduct a successful multidisciplinary experiment\nfunding\ndesign\npartnerships\norganization\nstandardization\ndata management\noutreach\n\n~\n\nA 'southern rocky mountains' site was dropped early due to wildfires\n\nsouthern sierra site the only one that was never logged\n\ncentral sierra site masticated\n\nMore than 200 scientific and technical pubs\nand many other outreaches \n\nJFSP funding period ended 2006\n\nBy then most eastern sites had done 2 or 3 rx burns\n\nsupport from JFSP covered 92% of hard funding\n\nFuels could have been better studied in smaller treatments with more replicates, but that didn't accomadate the other vars\nscale issues common in interdisciplinary work\n\nOne of the benefits of FFS was the learning across disciplines\n\nProject was managed with a three tiered organization\ntechnical committee, oversight committee, network manager\n\ntechnical committee members recruited via established networks, likely reduced potential talent pool\n\nLevel of detail in protocol insufficient to prevent minor differences\n\nOne of the biggest challenges was construction of a reliable, efficient, and easy-to-use national database\n\nManagers interested in cost tradeoffs\noutreach other than publications\n\nFFS treatments generally agreed with manager assessement\n- an exception was surprise at low tree mort in rx burn treatments\n\nManager identified limitations\n- cost data at stand and not operational stand\n- limited social acceptability data\n- no comparison of effects reletive to wildfire\n- limited extrapolation to landscape scale\n\n$70,000 per publication\n\n","page":"4-17","title":"On conducting a multisite, multidisciplinary forestry research project: Lessons from the national fire and fire surrogate study","type":"article-journal","volume":"56"},"uris":["http://www.mendeley.com/documents/?uuid=081f6606-2ba8-36d4-aab1-1079eba5e509"]}],"mendeley":{"formattedCitation":"(McIver and Weatherspoon 2010)","plainTextFormattedCitation":"(McIver and Weatherspoon 2010)","previouslyFormattedCitation":"(McIver and Weatherspoon 2010)"},"properties":{"noteIndex":0},"schema":"https://github.com/citation-style-language/schema/raw/master/csl-citation.json"}</w:instrText>
      </w:r>
      <w:r>
        <w:rPr>
          <w:rFonts w:ascii="Times New Roman" w:hAnsi="Times New Roman" w:cs="Times New Roman"/>
          <w:sz w:val="24"/>
          <w:szCs w:val="24"/>
        </w:rPr>
        <w:fldChar w:fldCharType="separate"/>
      </w:r>
      <w:r w:rsidRPr="00556528">
        <w:rPr>
          <w:rFonts w:ascii="Times New Roman" w:hAnsi="Times New Roman" w:cs="Times New Roman"/>
          <w:noProof/>
          <w:sz w:val="24"/>
          <w:szCs w:val="24"/>
        </w:rPr>
        <w:t>(McIver and Weatherspoon 2010)</w:t>
      </w:r>
      <w:r>
        <w:rPr>
          <w:rFonts w:ascii="Times New Roman" w:hAnsi="Times New Roman" w:cs="Times New Roman"/>
          <w:sz w:val="24"/>
          <w:szCs w:val="24"/>
        </w:rPr>
        <w:fldChar w:fldCharType="end"/>
      </w:r>
      <w:r>
        <w:rPr>
          <w:rFonts w:ascii="Times New Roman" w:hAnsi="Times New Roman" w:cs="Times New Roman"/>
          <w:sz w:val="24"/>
          <w:szCs w:val="24"/>
        </w:rPr>
        <w:t xml:space="preserve">.  The four treatments were implemented in 2001-2006 at the Mission Creek site, over three replicate units of roughly ten hectares each for each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617B3">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In 2012, a low severity wildfire burned through four of the replicate units: two control, one thin, and one burn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B.","non-dropping-particle":"","parse-names":false,"suffix":""}],"container-title":"Forests","id":"ITEM-1","issue":"8","issued":{"date-parts":[["2020","8","1"]]},"note":"tb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Washington","type":"article-journal","volume":"11"},"uris":["http://www.mendeley.com/documents/?uuid=b4b7f84f-1bdb-3adb-aff7-6014e3b8cd2e"]}],"mendeley":{"formattedCitation":"(Rossman et al. 2020)","plainTextFormattedCitation":"(Rossman et al. 2020)","previouslyFormattedCitation":"(Rossman et al. 2020)"},"properties":{"noteIndex":0},"schema":"https://github.com/citation-style-language/schema/raw/master/csl-citation.json"}</w:instrText>
      </w:r>
      <w:r>
        <w:rPr>
          <w:rFonts w:ascii="Times New Roman" w:hAnsi="Times New Roman" w:cs="Times New Roman"/>
          <w:sz w:val="24"/>
          <w:szCs w:val="24"/>
        </w:rPr>
        <w:fldChar w:fldCharType="separate"/>
      </w:r>
      <w:r w:rsidRPr="008617B3">
        <w:rPr>
          <w:rFonts w:ascii="Times New Roman" w:hAnsi="Times New Roman" w:cs="Times New Roman"/>
          <w:noProof/>
          <w:sz w:val="24"/>
          <w:szCs w:val="24"/>
        </w:rPr>
        <w:t>(Rossman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See protocol document for more details. </w:t>
      </w:r>
    </w:p>
    <w:p w14:paraId="0F3CA31F" w14:textId="77777777" w:rsidR="00726C16" w:rsidRDefault="00726C16" w:rsidP="00726C16">
      <w:pPr>
        <w:spacing w:after="0"/>
        <w:rPr>
          <w:rFonts w:ascii="Times New Roman" w:hAnsi="Times New Roman" w:cs="Times New Roman"/>
          <w:sz w:val="24"/>
          <w:szCs w:val="24"/>
        </w:rPr>
      </w:pPr>
    </w:p>
    <w:p w14:paraId="244A8B18"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The fuel data used in analysis includes two sample periods, called here ‘pretreatment’ and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Pretreatment data were collected in 2000, and collection was led by James Agee of the University of Washington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617B3">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data were collected in 2019 and 2020, and collection was led by Don Radcliffe and Brian Harvey of the University of Washington.  Immediate post treatment response data were also collected, and results are documented 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2006)","manualFormatting":"Agee and Lolley (2006)","plainTextFormattedCitation":"(Agee and Lolley 2006)","previouslyFormattedCitation":"(Agee and Lolley 2006)"},"properties":{"noteIndex":0},"schema":"https://github.com/citation-style-language/schema/raw/master/csl-citation.json"}</w:instrText>
      </w:r>
      <w:r>
        <w:rPr>
          <w:rFonts w:ascii="Times New Roman" w:hAnsi="Times New Roman" w:cs="Times New Roman"/>
          <w:sz w:val="24"/>
          <w:szCs w:val="24"/>
        </w:rPr>
        <w:fldChar w:fldCharType="separate"/>
      </w:r>
      <w:r w:rsidRPr="00F97EC6">
        <w:rPr>
          <w:rFonts w:ascii="Times New Roman" w:hAnsi="Times New Roman" w:cs="Times New Roman"/>
          <w:noProof/>
          <w:sz w:val="24"/>
          <w:szCs w:val="24"/>
        </w:rPr>
        <w:t xml:space="preserve">Agee and Lolley </w:t>
      </w:r>
      <w:r>
        <w:rPr>
          <w:rFonts w:ascii="Times New Roman" w:hAnsi="Times New Roman" w:cs="Times New Roman"/>
          <w:noProof/>
          <w:sz w:val="24"/>
          <w:szCs w:val="24"/>
        </w:rPr>
        <w:t>(</w:t>
      </w:r>
      <w:r w:rsidRPr="00F97EC6">
        <w:rPr>
          <w:rFonts w:ascii="Times New Roman" w:hAnsi="Times New Roman" w:cs="Times New Roman"/>
          <w:noProof/>
          <w:sz w:val="24"/>
          <w:szCs w:val="24"/>
        </w:rPr>
        <w:t>2006)</w:t>
      </w:r>
      <w:r>
        <w:rPr>
          <w:rFonts w:ascii="Times New Roman" w:hAnsi="Times New Roman" w:cs="Times New Roman"/>
          <w:sz w:val="24"/>
          <w:szCs w:val="24"/>
        </w:rPr>
        <w:fldChar w:fldCharType="end"/>
      </w:r>
      <w:r>
        <w:rPr>
          <w:rFonts w:ascii="Times New Roman" w:hAnsi="Times New Roman" w:cs="Times New Roman"/>
          <w:sz w:val="24"/>
          <w:szCs w:val="24"/>
        </w:rPr>
        <w:t xml:space="preserve">, but at the time of writing this report these data have not been relocated in raw form.  </w:t>
      </w:r>
    </w:p>
    <w:p w14:paraId="5AC6DF59" w14:textId="77777777" w:rsidR="00726C16" w:rsidRDefault="00726C16" w:rsidP="00726C16">
      <w:pPr>
        <w:spacing w:after="0"/>
        <w:rPr>
          <w:rFonts w:ascii="Times New Roman" w:hAnsi="Times New Roman" w:cs="Times New Roman"/>
          <w:sz w:val="24"/>
          <w:szCs w:val="24"/>
        </w:rPr>
      </w:pPr>
    </w:p>
    <w:p w14:paraId="1A734C0D"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 xml:space="preserve">The goal of the current analyses is to analyze whether treatments affected fuel loading in the long term (greater than one decade following treatment, in our dataset 13-18 years following final treatment), and whether pretreatment differences in replicate units affected the long-term response.  The fuel components that will be analyzed are detailed in the text below.  Surface fuel data were collected and summarized using Brown’s transects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{"citationItems":[{"id":"ITEM-1","itemData":{"DOI":"10.1093/FORESTSCIENCE/17.1.96","ISSN":"0015-749X","abstract":"The method requires a tally of intersections between sampling planes and vegetative particles categorized by size and shape classes. These planes may be of any size and positioned at any orientation with respect to the ground. The method applies to both randomly and nonrandomly oriented particles that approximate either circles or rectangles in cross section. Estimates that accounted for all angles of particle intersection were more accurate than estimates that assumed perpendicular angles of intersection in a cheatgrass field test. Forest Sci. 17:96-102.","author":[{"dropping-particle":"","family":"Brown","given":"James K.","non-dropping-particle":"","parse-names":false,"suffix":""}],"container-title":"Forest Science","id":"ITEM-1","issue":"1","issued":{"date-parts":[["1971","3","1"]]},"page":"96-102","publisher":"Oxford Academic","title":"A Planar Intersect Method for Sampling Fuel Volume and Surface Area","type":"article-journal","volume":"17"},"uris":["http://www.mendeley.com/documents/?uuid=b6a77ac9-0868-3293-a7a8-5dd54ad9ddb2"]}],"mendeley":{"formattedCitation":"(Brown 1971)","plainTextFormattedCitation":"(Brown 1971)","previouslyFormattedCitation":"(Brown 1971)"},"properties":{"noteIndex":0},"schema":"https://github.com/citation-style-language/schema/raw/master/csl-citation.json"}</w:instrText>
      </w:r>
      <w:r>
        <w:rPr>
          <w:rFonts w:ascii="Times New Roman" w:hAnsi="Times New Roman" w:cs="Times New Roman"/>
          <w:sz w:val="24"/>
          <w:szCs w:val="24"/>
        </w:rPr>
        <w:fldChar w:fldCharType="separate"/>
      </w:r>
      <w:r w:rsidRPr="009F60E8">
        <w:rPr>
          <w:rFonts w:ascii="Times New Roman" w:hAnsi="Times New Roman" w:cs="Times New Roman"/>
          <w:noProof/>
          <w:sz w:val="24"/>
          <w:szCs w:val="24"/>
        </w:rPr>
        <w:t>(Brown 1971)</w:t>
      </w:r>
      <w:r>
        <w:rPr>
          <w:rFonts w:ascii="Times New Roman" w:hAnsi="Times New Roman" w:cs="Times New Roman"/>
          <w:sz w:val="24"/>
          <w:szCs w:val="24"/>
        </w:rPr>
        <w:fldChar w:fldCharType="end"/>
      </w:r>
      <w:r>
        <w:rPr>
          <w:rFonts w:ascii="Times New Roman" w:hAnsi="Times New Roman" w:cs="Times New Roman"/>
          <w:sz w:val="24"/>
          <w:szCs w:val="24"/>
        </w:rPr>
        <w:t xml:space="preserve">, with two transects per plot.  More details of the Mission Creek Brown’s transects are outlined 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2006)","manualFormatting":"Agee and Lolley (2006)","plainTextFormattedCitation":"(Agee and Lolley 2006)","previouslyFormattedCitation":"(Agee and Lolley 2006)"},"properties":{"noteIndex":0},"schema":"https://github.com/citation-style-language/schema/raw/master/csl-citation.json"}</w:instrText>
      </w:r>
      <w:r>
        <w:rPr>
          <w:rFonts w:ascii="Times New Roman" w:hAnsi="Times New Roman" w:cs="Times New Roman"/>
          <w:sz w:val="24"/>
          <w:szCs w:val="24"/>
        </w:rPr>
        <w:fldChar w:fldCharType="separate"/>
      </w:r>
      <w:r w:rsidRPr="009F60E8">
        <w:rPr>
          <w:rFonts w:ascii="Times New Roman" w:hAnsi="Times New Roman" w:cs="Times New Roman"/>
          <w:noProof/>
          <w:sz w:val="24"/>
          <w:szCs w:val="24"/>
        </w:rPr>
        <w:t xml:space="preserve">Agee and Lolley </w:t>
      </w:r>
      <w:r>
        <w:rPr>
          <w:rFonts w:ascii="Times New Roman" w:hAnsi="Times New Roman" w:cs="Times New Roman"/>
          <w:noProof/>
          <w:sz w:val="24"/>
          <w:szCs w:val="24"/>
        </w:rPr>
        <w:t>(</w:t>
      </w:r>
      <w:r w:rsidRPr="009F60E8">
        <w:rPr>
          <w:rFonts w:ascii="Times New Roman" w:hAnsi="Times New Roman" w:cs="Times New Roman"/>
          <w:noProof/>
          <w:sz w:val="24"/>
          <w:szCs w:val="24"/>
        </w:rPr>
        <w:t>2006)</w:t>
      </w:r>
      <w:r>
        <w:rPr>
          <w:rFonts w:ascii="Times New Roman" w:hAnsi="Times New Roman" w:cs="Times New Roman"/>
          <w:sz w:val="24"/>
          <w:szCs w:val="24"/>
        </w:rPr>
        <w:fldChar w:fldCharType="end"/>
      </w:r>
      <w:r>
        <w:rPr>
          <w:rFonts w:ascii="Times New Roman" w:hAnsi="Times New Roman" w:cs="Times New Roman"/>
          <w:sz w:val="24"/>
          <w:szCs w:val="24"/>
        </w:rPr>
        <w:t xml:space="preserve"> and the attached protocol document.  Tree attributes were collected and summarized from fixed area radius plots, the details of which are described in the attached protocol document. </w:t>
      </w:r>
    </w:p>
    <w:p w14:paraId="543945B8" w14:textId="77777777" w:rsidR="00726C16" w:rsidRDefault="00726C16" w:rsidP="00726C16">
      <w:pPr>
        <w:spacing w:after="0"/>
        <w:rPr>
          <w:rFonts w:ascii="Times New Roman" w:hAnsi="Times New Roman" w:cs="Times New Roman"/>
          <w:sz w:val="24"/>
          <w:szCs w:val="24"/>
        </w:rPr>
      </w:pPr>
    </w:p>
    <w:p w14:paraId="34348A1F"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 xml:space="preserve">All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data were double-checked after entry, and each column was graphed to check for outliers.  Additional data files/scripts are available upon request.  All data, metadata, and </w:t>
      </w:r>
      <w:r>
        <w:rPr>
          <w:rFonts w:ascii="Times New Roman" w:hAnsi="Times New Roman" w:cs="Times New Roman"/>
          <w:sz w:val="24"/>
          <w:szCs w:val="24"/>
        </w:rPr>
        <w:lastRenderedPageBreak/>
        <w:t xml:space="preserve">analyses are </w:t>
      </w:r>
      <w:proofErr w:type="gramStart"/>
      <w:r>
        <w:rPr>
          <w:rFonts w:ascii="Times New Roman" w:hAnsi="Times New Roman" w:cs="Times New Roman"/>
          <w:sz w:val="24"/>
          <w:szCs w:val="24"/>
        </w:rPr>
        <w:t>saved</w:t>
      </w:r>
      <w:proofErr w:type="gramEnd"/>
      <w:r>
        <w:rPr>
          <w:rFonts w:ascii="Times New Roman" w:hAnsi="Times New Roman" w:cs="Times New Roman"/>
          <w:sz w:val="24"/>
          <w:szCs w:val="24"/>
        </w:rPr>
        <w:t xml:space="preserve"> and version controlled on Don’s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page (</w:t>
      </w:r>
      <w:r w:rsidRPr="00F91926">
        <w:rPr>
          <w:rFonts w:ascii="Times New Roman" w:hAnsi="Times New Roman" w:cs="Times New Roman"/>
          <w:sz w:val="24"/>
          <w:szCs w:val="24"/>
        </w:rPr>
        <w:t>don-</w:t>
      </w:r>
      <w:proofErr w:type="spellStart"/>
      <w:r w:rsidRPr="00F91926">
        <w:rPr>
          <w:rFonts w:ascii="Times New Roman" w:hAnsi="Times New Roman" w:cs="Times New Roman"/>
          <w:sz w:val="24"/>
          <w:szCs w:val="24"/>
        </w:rPr>
        <w:t>radcliffe</w:t>
      </w:r>
      <w:proofErr w:type="spellEnd"/>
      <w:r>
        <w:rPr>
          <w:rFonts w:ascii="Times New Roman" w:hAnsi="Times New Roman" w:cs="Times New Roman"/>
          <w:sz w:val="24"/>
          <w:szCs w:val="24"/>
        </w:rPr>
        <w:t xml:space="preserve">).  The repository is currently </w:t>
      </w:r>
      <w:proofErr w:type="gramStart"/>
      <w:r>
        <w:rPr>
          <w:rFonts w:ascii="Times New Roman" w:hAnsi="Times New Roman" w:cs="Times New Roman"/>
          <w:sz w:val="24"/>
          <w:szCs w:val="24"/>
        </w:rPr>
        <w:t>private, but</w:t>
      </w:r>
      <w:proofErr w:type="gramEnd"/>
      <w:r>
        <w:rPr>
          <w:rFonts w:ascii="Times New Roman" w:hAnsi="Times New Roman" w:cs="Times New Roman"/>
          <w:sz w:val="24"/>
          <w:szCs w:val="24"/>
        </w:rPr>
        <w:t xml:space="preserve"> will be made public once a publication is produced from the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Mission Creek data. </w:t>
      </w:r>
    </w:p>
    <w:p w14:paraId="5EA39EC7" w14:textId="77777777" w:rsidR="00726C16" w:rsidRDefault="00726C16" w:rsidP="00726C16">
      <w:pPr>
        <w:spacing w:after="0"/>
        <w:rPr>
          <w:rFonts w:ascii="Times New Roman" w:hAnsi="Times New Roman" w:cs="Times New Roman"/>
          <w:sz w:val="24"/>
          <w:szCs w:val="24"/>
        </w:rPr>
      </w:pPr>
    </w:p>
    <w:p w14:paraId="460F1820"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The following table lists metadata for response variables used in the SEFS 502 final report.  Note that for fire modelling variables, I’ve presented the ‘moderate’ fire weather and fuel conditions, which were determined from 80</w:t>
      </w:r>
      <w:r w:rsidRPr="006D20F8">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conditions using procedures described briefly below and in more detail in the report.  In the ‘</w:t>
      </w:r>
      <w:proofErr w:type="spellStart"/>
      <w:r>
        <w:rPr>
          <w:rFonts w:ascii="Times New Roman" w:hAnsi="Times New Roman" w:cs="Times New Roman"/>
          <w:sz w:val="24"/>
          <w:szCs w:val="24"/>
        </w:rPr>
        <w:t>mission_master_wide</w:t>
      </w:r>
      <w:proofErr w:type="spellEnd"/>
      <w:r>
        <w:rPr>
          <w:rFonts w:ascii="Times New Roman" w:hAnsi="Times New Roman" w:cs="Times New Roman"/>
          <w:sz w:val="24"/>
          <w:szCs w:val="24"/>
        </w:rPr>
        <w:t>’ .csv, these variables are also available using ‘mild’, 60</w:t>
      </w:r>
      <w:r w:rsidRPr="006D20F8">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and ‘severe’, 97</w:t>
      </w:r>
      <w:r w:rsidRPr="006D20F8">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conditions.  Additionally, basal area and density mortality variables are available with a ‘null’ model, in which a </w:t>
      </w:r>
      <w:proofErr w:type="gramStart"/>
      <w:r>
        <w:rPr>
          <w:rFonts w:ascii="Times New Roman" w:hAnsi="Times New Roman" w:cs="Times New Roman"/>
          <w:sz w:val="24"/>
          <w:szCs w:val="24"/>
        </w:rPr>
        <w:t>four foot</w:t>
      </w:r>
      <w:proofErr w:type="gramEnd"/>
      <w:r>
        <w:rPr>
          <w:rFonts w:ascii="Times New Roman" w:hAnsi="Times New Roman" w:cs="Times New Roman"/>
          <w:sz w:val="24"/>
          <w:szCs w:val="24"/>
        </w:rPr>
        <w:t xml:space="preserve"> surface flame-length was applied to every plot in the dataset. </w:t>
      </w:r>
    </w:p>
    <w:p w14:paraId="4C1D69AD" w14:textId="77777777" w:rsidR="00726C16" w:rsidRPr="008400A7" w:rsidRDefault="00726C16" w:rsidP="00726C16">
      <w:pPr>
        <w:spacing w:after="0"/>
        <w:rPr>
          <w:rFonts w:ascii="Times New Roman" w:hAnsi="Times New Roman" w:cs="Times New Roman"/>
          <w:sz w:val="24"/>
          <w:szCs w:val="24"/>
        </w:rPr>
      </w:pPr>
    </w:p>
    <w:p w14:paraId="1F6BFAD3" w14:textId="77777777" w:rsidR="00726C16" w:rsidRPr="00A743B8" w:rsidRDefault="00726C16" w:rsidP="00726C16">
      <w:pPr>
        <w:spacing w:after="0"/>
        <w:rPr>
          <w:rFonts w:ascii="Times New Roman" w:hAnsi="Times New Roman" w:cs="Times New Roman"/>
          <w:i/>
          <w:iCs/>
          <w:sz w:val="24"/>
          <w:szCs w:val="24"/>
        </w:rPr>
      </w:pPr>
      <w:r w:rsidRPr="00A743B8">
        <w:rPr>
          <w:rFonts w:ascii="Times New Roman" w:hAnsi="Times New Roman" w:cs="Times New Roman"/>
          <w:i/>
          <w:iCs/>
          <w:sz w:val="24"/>
          <w:szCs w:val="24"/>
        </w:rPr>
        <w:t>Response Variable Metadata</w:t>
      </w:r>
    </w:p>
    <w:p w14:paraId="0C82367D" w14:textId="77777777" w:rsidR="00726C16" w:rsidRPr="00A743B8" w:rsidRDefault="00726C16" w:rsidP="00726C16">
      <w:pPr>
        <w:spacing w:after="0"/>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71"/>
        <w:gridCol w:w="2614"/>
        <w:gridCol w:w="4765"/>
      </w:tblGrid>
      <w:tr w:rsidR="00726C16" w:rsidRPr="005C4BA7" w14:paraId="37B0F1C9" w14:textId="77777777" w:rsidTr="00AF35BB">
        <w:trPr>
          <w:trHeight w:val="288"/>
        </w:trPr>
        <w:tc>
          <w:tcPr>
            <w:tcW w:w="1971" w:type="dxa"/>
            <w:noWrap/>
            <w:hideMark/>
          </w:tcPr>
          <w:p w14:paraId="7A7117F9" w14:textId="77777777" w:rsidR="00726C16" w:rsidRPr="009A5A73" w:rsidRDefault="00726C16" w:rsidP="00AF35BB">
            <w:pPr>
              <w:rPr>
                <w:rFonts w:ascii="Times New Roman" w:hAnsi="Times New Roman" w:cs="Times New Roman"/>
                <w:b/>
                <w:bCs/>
                <w:sz w:val="20"/>
                <w:szCs w:val="20"/>
              </w:rPr>
            </w:pPr>
            <w:r>
              <w:rPr>
                <w:rFonts w:ascii="Times New Roman" w:hAnsi="Times New Roman" w:cs="Times New Roman"/>
                <w:b/>
                <w:bCs/>
                <w:sz w:val="20"/>
                <w:szCs w:val="20"/>
              </w:rPr>
              <w:t>variable</w:t>
            </w:r>
          </w:p>
        </w:tc>
        <w:tc>
          <w:tcPr>
            <w:tcW w:w="2614" w:type="dxa"/>
            <w:noWrap/>
            <w:hideMark/>
          </w:tcPr>
          <w:p w14:paraId="5FB19EFF" w14:textId="77777777" w:rsidR="00726C16" w:rsidRPr="009A5A73" w:rsidRDefault="00726C16" w:rsidP="00AF35BB">
            <w:pPr>
              <w:rPr>
                <w:rFonts w:ascii="Times New Roman" w:hAnsi="Times New Roman" w:cs="Times New Roman"/>
                <w:b/>
                <w:bCs/>
                <w:sz w:val="20"/>
                <w:szCs w:val="20"/>
              </w:rPr>
            </w:pPr>
            <w:r w:rsidRPr="009A5A73">
              <w:rPr>
                <w:rFonts w:ascii="Times New Roman" w:hAnsi="Times New Roman" w:cs="Times New Roman"/>
                <w:b/>
                <w:bCs/>
                <w:sz w:val="20"/>
                <w:szCs w:val="20"/>
              </w:rPr>
              <w:t>units</w:t>
            </w:r>
          </w:p>
        </w:tc>
        <w:tc>
          <w:tcPr>
            <w:tcW w:w="4765" w:type="dxa"/>
            <w:noWrap/>
            <w:hideMark/>
          </w:tcPr>
          <w:p w14:paraId="3C2D7A13" w14:textId="77777777" w:rsidR="00726C16" w:rsidRPr="009A5A73" w:rsidRDefault="00726C16" w:rsidP="00AF35BB">
            <w:pPr>
              <w:rPr>
                <w:rFonts w:ascii="Times New Roman" w:hAnsi="Times New Roman" w:cs="Times New Roman"/>
                <w:b/>
                <w:bCs/>
                <w:sz w:val="20"/>
                <w:szCs w:val="20"/>
              </w:rPr>
            </w:pPr>
            <w:r w:rsidRPr="009A5A73">
              <w:rPr>
                <w:rFonts w:ascii="Times New Roman" w:hAnsi="Times New Roman" w:cs="Times New Roman"/>
                <w:b/>
                <w:bCs/>
                <w:sz w:val="20"/>
                <w:szCs w:val="20"/>
              </w:rPr>
              <w:t>explanation</w:t>
            </w:r>
          </w:p>
        </w:tc>
      </w:tr>
      <w:tr w:rsidR="00726C16" w:rsidRPr="005C4BA7" w14:paraId="0A8CC776" w14:textId="77777777" w:rsidTr="00AF35BB">
        <w:trPr>
          <w:trHeight w:val="288"/>
        </w:trPr>
        <w:tc>
          <w:tcPr>
            <w:tcW w:w="1971" w:type="dxa"/>
            <w:noWrap/>
            <w:hideMark/>
          </w:tcPr>
          <w:p w14:paraId="1A387F6B"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plot</w:t>
            </w:r>
          </w:p>
        </w:tc>
        <w:tc>
          <w:tcPr>
            <w:tcW w:w="2614" w:type="dxa"/>
            <w:noWrap/>
            <w:hideMark/>
          </w:tcPr>
          <w:p w14:paraId="047CE5B8"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categorical</w:t>
            </w:r>
          </w:p>
        </w:tc>
        <w:tc>
          <w:tcPr>
            <w:tcW w:w="4765" w:type="dxa"/>
            <w:noWrap/>
            <w:hideMark/>
          </w:tcPr>
          <w:p w14:paraId="46858003"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S</w:t>
            </w:r>
            <w:r w:rsidRPr="005C4BA7">
              <w:rPr>
                <w:rFonts w:ascii="Times New Roman" w:hAnsi="Times New Roman" w:cs="Times New Roman"/>
                <w:sz w:val="20"/>
                <w:szCs w:val="20"/>
              </w:rPr>
              <w:t xml:space="preserve">ample plot the raw data were collected from, combined into the </w:t>
            </w:r>
            <w:proofErr w:type="spellStart"/>
            <w:r w:rsidRPr="005C4BA7">
              <w:rPr>
                <w:rFonts w:ascii="Times New Roman" w:hAnsi="Times New Roman" w:cs="Times New Roman"/>
                <w:sz w:val="20"/>
                <w:szCs w:val="20"/>
              </w:rPr>
              <w:t>unit</w:t>
            </w:r>
            <w:r>
              <w:rPr>
                <w:rFonts w:ascii="Times New Roman" w:hAnsi="Times New Roman" w:cs="Times New Roman"/>
                <w:sz w:val="20"/>
                <w:szCs w:val="20"/>
              </w:rPr>
              <w:t>name</w:t>
            </w:r>
            <w:r w:rsidRPr="005C4BA7">
              <w:rPr>
                <w:rFonts w:ascii="Times New Roman" w:hAnsi="Times New Roman" w:cs="Times New Roman"/>
                <w:sz w:val="20"/>
                <w:szCs w:val="20"/>
              </w:rPr>
              <w:t>_</w:t>
            </w:r>
            <w:r>
              <w:rPr>
                <w:rFonts w:ascii="Times New Roman" w:hAnsi="Times New Roman" w:cs="Times New Roman"/>
                <w:sz w:val="20"/>
                <w:szCs w:val="20"/>
              </w:rPr>
              <w:t>plot</w:t>
            </w:r>
            <w:r w:rsidRPr="005C4BA7">
              <w:rPr>
                <w:rFonts w:ascii="Times New Roman" w:hAnsi="Times New Roman" w:cs="Times New Roman"/>
                <w:sz w:val="20"/>
                <w:szCs w:val="20"/>
              </w:rPr>
              <w:t>number</w:t>
            </w:r>
            <w:proofErr w:type="spellEnd"/>
            <w:r w:rsidRPr="005C4BA7">
              <w:rPr>
                <w:rFonts w:ascii="Times New Roman" w:hAnsi="Times New Roman" w:cs="Times New Roman"/>
                <w:sz w:val="20"/>
                <w:szCs w:val="20"/>
              </w:rPr>
              <w:t xml:space="preserve"> format because plot n</w:t>
            </w:r>
            <w:r>
              <w:rPr>
                <w:rFonts w:ascii="Times New Roman" w:hAnsi="Times New Roman" w:cs="Times New Roman"/>
                <w:sz w:val="20"/>
                <w:szCs w:val="20"/>
              </w:rPr>
              <w:t>umbers</w:t>
            </w:r>
            <w:r w:rsidRPr="005C4BA7">
              <w:rPr>
                <w:rFonts w:ascii="Times New Roman" w:hAnsi="Times New Roman" w:cs="Times New Roman"/>
                <w:sz w:val="20"/>
                <w:szCs w:val="20"/>
              </w:rPr>
              <w:t xml:space="preserve"> duplicated across different replicate units</w:t>
            </w:r>
            <w:r>
              <w:rPr>
                <w:rFonts w:ascii="Times New Roman" w:hAnsi="Times New Roman" w:cs="Times New Roman"/>
                <w:sz w:val="20"/>
                <w:szCs w:val="20"/>
              </w:rPr>
              <w:t>.</w:t>
            </w:r>
          </w:p>
        </w:tc>
      </w:tr>
      <w:tr w:rsidR="00726C16" w:rsidRPr="005C4BA7" w14:paraId="649DF510" w14:textId="77777777" w:rsidTr="00AF35BB">
        <w:trPr>
          <w:trHeight w:val="288"/>
        </w:trPr>
        <w:tc>
          <w:tcPr>
            <w:tcW w:w="1971" w:type="dxa"/>
            <w:noWrap/>
            <w:hideMark/>
          </w:tcPr>
          <w:p w14:paraId="55CCC193"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period</w:t>
            </w:r>
          </w:p>
        </w:tc>
        <w:tc>
          <w:tcPr>
            <w:tcW w:w="2614" w:type="dxa"/>
            <w:noWrap/>
            <w:hideMark/>
          </w:tcPr>
          <w:p w14:paraId="2B2AF7B9"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categorical</w:t>
            </w:r>
          </w:p>
        </w:tc>
        <w:tc>
          <w:tcPr>
            <w:tcW w:w="4765" w:type="dxa"/>
            <w:noWrap/>
            <w:hideMark/>
          </w:tcPr>
          <w:p w14:paraId="2A6E4D73"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S</w:t>
            </w:r>
            <w:r w:rsidRPr="005C4BA7">
              <w:rPr>
                <w:rFonts w:ascii="Times New Roman" w:hAnsi="Times New Roman" w:cs="Times New Roman"/>
                <w:sz w:val="20"/>
                <w:szCs w:val="20"/>
              </w:rPr>
              <w:t>ample period.  'pretreatment' was collected 1-6 years before treatment, in the year 2000.  '</w:t>
            </w:r>
            <w:proofErr w:type="spellStart"/>
            <w:r w:rsidRPr="005C4BA7">
              <w:rPr>
                <w:rFonts w:ascii="Times New Roman" w:hAnsi="Times New Roman" w:cs="Times New Roman"/>
                <w:sz w:val="20"/>
                <w:szCs w:val="20"/>
              </w:rPr>
              <w:t>longterm</w:t>
            </w:r>
            <w:proofErr w:type="spellEnd"/>
            <w:r w:rsidRPr="005C4BA7">
              <w:rPr>
                <w:rFonts w:ascii="Times New Roman" w:hAnsi="Times New Roman" w:cs="Times New Roman"/>
                <w:sz w:val="20"/>
                <w:szCs w:val="20"/>
              </w:rPr>
              <w:t xml:space="preserve">' was collected 14-19 years after treatment, in 2019 &amp; 2020. </w:t>
            </w:r>
          </w:p>
        </w:tc>
      </w:tr>
      <w:tr w:rsidR="00726C16" w:rsidRPr="005C4BA7" w14:paraId="7BC0EEDC" w14:textId="77777777" w:rsidTr="00AF35BB">
        <w:trPr>
          <w:trHeight w:val="288"/>
        </w:trPr>
        <w:tc>
          <w:tcPr>
            <w:tcW w:w="1971" w:type="dxa"/>
            <w:noWrap/>
            <w:hideMark/>
          </w:tcPr>
          <w:p w14:paraId="1ACF612C"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basal_area</w:t>
            </w:r>
            <w:proofErr w:type="spellEnd"/>
          </w:p>
        </w:tc>
        <w:tc>
          <w:tcPr>
            <w:tcW w:w="2614" w:type="dxa"/>
            <w:noWrap/>
            <w:hideMark/>
          </w:tcPr>
          <w:p w14:paraId="20CFA037"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meters_squared_per_hectare</w:t>
            </w:r>
            <w:proofErr w:type="spellEnd"/>
          </w:p>
        </w:tc>
        <w:tc>
          <w:tcPr>
            <w:tcW w:w="4765" w:type="dxa"/>
            <w:noWrap/>
            <w:hideMark/>
          </w:tcPr>
          <w:p w14:paraId="58421F8B"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B</w:t>
            </w:r>
            <w:r w:rsidRPr="005C4BA7">
              <w:rPr>
                <w:rFonts w:ascii="Times New Roman" w:hAnsi="Times New Roman" w:cs="Times New Roman"/>
                <w:sz w:val="20"/>
                <w:szCs w:val="20"/>
              </w:rPr>
              <w:t>asal area calculated from raw plot data (tree diameters)</w:t>
            </w:r>
            <w:r>
              <w:rPr>
                <w:rFonts w:ascii="Times New Roman" w:hAnsi="Times New Roman" w:cs="Times New Roman"/>
                <w:sz w:val="20"/>
                <w:szCs w:val="20"/>
              </w:rPr>
              <w:t>.  Potential range 0-infinity.</w:t>
            </w:r>
          </w:p>
        </w:tc>
      </w:tr>
      <w:tr w:rsidR="00726C16" w:rsidRPr="005C4BA7" w14:paraId="433D969F" w14:textId="77777777" w:rsidTr="00AF35BB">
        <w:trPr>
          <w:trHeight w:val="288"/>
        </w:trPr>
        <w:tc>
          <w:tcPr>
            <w:tcW w:w="1971" w:type="dxa"/>
            <w:noWrap/>
            <w:hideMark/>
          </w:tcPr>
          <w:p w14:paraId="3398662F"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density</w:t>
            </w:r>
          </w:p>
        </w:tc>
        <w:tc>
          <w:tcPr>
            <w:tcW w:w="2614" w:type="dxa"/>
            <w:noWrap/>
            <w:hideMark/>
          </w:tcPr>
          <w:p w14:paraId="7894E114"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trees_per_hecatare</w:t>
            </w:r>
            <w:proofErr w:type="spellEnd"/>
          </w:p>
        </w:tc>
        <w:tc>
          <w:tcPr>
            <w:tcW w:w="4765" w:type="dxa"/>
            <w:noWrap/>
            <w:hideMark/>
          </w:tcPr>
          <w:p w14:paraId="028BAB77"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T</w:t>
            </w:r>
            <w:r w:rsidRPr="005C4BA7">
              <w:rPr>
                <w:rFonts w:ascii="Times New Roman" w:hAnsi="Times New Roman" w:cs="Times New Roman"/>
                <w:sz w:val="20"/>
                <w:szCs w:val="20"/>
              </w:rPr>
              <w:t>ree density calculated from raw plot data</w:t>
            </w:r>
            <w:r>
              <w:rPr>
                <w:rFonts w:ascii="Times New Roman" w:hAnsi="Times New Roman" w:cs="Times New Roman"/>
                <w:sz w:val="20"/>
                <w:szCs w:val="20"/>
              </w:rPr>
              <w:t>. Potential range 0-infinity.</w:t>
            </w:r>
          </w:p>
        </w:tc>
      </w:tr>
      <w:tr w:rsidR="00726C16" w:rsidRPr="005C4BA7" w14:paraId="747538C4" w14:textId="77777777" w:rsidTr="00AF35BB">
        <w:trPr>
          <w:trHeight w:val="288"/>
        </w:trPr>
        <w:tc>
          <w:tcPr>
            <w:tcW w:w="1971" w:type="dxa"/>
            <w:noWrap/>
            <w:hideMark/>
          </w:tcPr>
          <w:p w14:paraId="2CC839EA"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qmd</w:t>
            </w:r>
            <w:proofErr w:type="spellEnd"/>
          </w:p>
        </w:tc>
        <w:tc>
          <w:tcPr>
            <w:tcW w:w="2614" w:type="dxa"/>
            <w:noWrap/>
            <w:hideMark/>
          </w:tcPr>
          <w:p w14:paraId="1862A2EC"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centimeters</w:t>
            </w:r>
          </w:p>
        </w:tc>
        <w:tc>
          <w:tcPr>
            <w:tcW w:w="4765" w:type="dxa"/>
            <w:noWrap/>
            <w:hideMark/>
          </w:tcPr>
          <w:p w14:paraId="1B10F434"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Q</w:t>
            </w:r>
            <w:r w:rsidRPr="005C4BA7">
              <w:rPr>
                <w:rFonts w:ascii="Times New Roman" w:hAnsi="Times New Roman" w:cs="Times New Roman"/>
                <w:sz w:val="20"/>
                <w:szCs w:val="20"/>
              </w:rPr>
              <w:t>uadratic mean diameter of trees on a plot</w:t>
            </w:r>
            <w:r>
              <w:rPr>
                <w:rFonts w:ascii="Times New Roman" w:hAnsi="Times New Roman" w:cs="Times New Roman"/>
                <w:sz w:val="20"/>
                <w:szCs w:val="20"/>
              </w:rPr>
              <w:t>. Potential range 0-infinity.</w:t>
            </w:r>
          </w:p>
        </w:tc>
      </w:tr>
      <w:tr w:rsidR="00726C16" w:rsidRPr="005C4BA7" w14:paraId="4BAB24A9" w14:textId="77777777" w:rsidTr="00AF35BB">
        <w:trPr>
          <w:trHeight w:val="288"/>
        </w:trPr>
        <w:tc>
          <w:tcPr>
            <w:tcW w:w="1971" w:type="dxa"/>
            <w:noWrap/>
            <w:hideMark/>
          </w:tcPr>
          <w:p w14:paraId="500FBB27"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one_hour</w:t>
            </w:r>
            <w:proofErr w:type="spellEnd"/>
          </w:p>
        </w:tc>
        <w:tc>
          <w:tcPr>
            <w:tcW w:w="2614" w:type="dxa"/>
            <w:noWrap/>
            <w:hideMark/>
          </w:tcPr>
          <w:p w14:paraId="068B9C11"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34EEE3EF"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O</w:t>
            </w:r>
            <w:r w:rsidRPr="005C4BA7">
              <w:rPr>
                <w:rFonts w:ascii="Times New Roman" w:hAnsi="Times New Roman" w:cs="Times New Roman"/>
                <w:sz w:val="20"/>
                <w:szCs w:val="20"/>
              </w:rPr>
              <w:t>ne hour</w:t>
            </w:r>
            <w:proofErr w:type="gramEnd"/>
            <w:r w:rsidRPr="005C4BA7">
              <w:rPr>
                <w:rFonts w:ascii="Times New Roman" w:hAnsi="Times New Roman" w:cs="Times New Roman"/>
                <w:sz w:val="20"/>
                <w:szCs w:val="20"/>
              </w:rPr>
              <w:t xml:space="preserve"> fuels; surface woody fuels between 0 and 0.64 centimeters in diameter</w:t>
            </w:r>
            <w:r>
              <w:rPr>
                <w:rFonts w:ascii="Times New Roman" w:hAnsi="Times New Roman" w:cs="Times New Roman"/>
                <w:sz w:val="20"/>
                <w:szCs w:val="20"/>
              </w:rPr>
              <w:t>.  Potential range 0-infinity.</w:t>
            </w:r>
          </w:p>
        </w:tc>
      </w:tr>
      <w:tr w:rsidR="00726C16" w:rsidRPr="005C4BA7" w14:paraId="44FAB71E" w14:textId="77777777" w:rsidTr="00AF35BB">
        <w:trPr>
          <w:trHeight w:val="288"/>
        </w:trPr>
        <w:tc>
          <w:tcPr>
            <w:tcW w:w="1971" w:type="dxa"/>
            <w:noWrap/>
            <w:hideMark/>
          </w:tcPr>
          <w:p w14:paraId="7FAA4341"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ten_hour</w:t>
            </w:r>
            <w:proofErr w:type="spellEnd"/>
          </w:p>
        </w:tc>
        <w:tc>
          <w:tcPr>
            <w:tcW w:w="2614" w:type="dxa"/>
            <w:noWrap/>
            <w:hideMark/>
          </w:tcPr>
          <w:p w14:paraId="41E308FA"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3DDC3C1B"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T</w:t>
            </w:r>
            <w:r w:rsidRPr="005C4BA7">
              <w:rPr>
                <w:rFonts w:ascii="Times New Roman" w:hAnsi="Times New Roman" w:cs="Times New Roman"/>
                <w:sz w:val="20"/>
                <w:szCs w:val="20"/>
              </w:rPr>
              <w:t>en hour</w:t>
            </w:r>
            <w:proofErr w:type="gramEnd"/>
            <w:r w:rsidRPr="005C4BA7">
              <w:rPr>
                <w:rFonts w:ascii="Times New Roman" w:hAnsi="Times New Roman" w:cs="Times New Roman"/>
                <w:sz w:val="20"/>
                <w:szCs w:val="20"/>
              </w:rPr>
              <w:t xml:space="preserve"> fuels, surface woody fuels between 0.64 and 2.5 centimeters in diameter</w:t>
            </w:r>
            <w:r>
              <w:rPr>
                <w:rFonts w:ascii="Times New Roman" w:hAnsi="Times New Roman" w:cs="Times New Roman"/>
                <w:sz w:val="20"/>
                <w:szCs w:val="20"/>
              </w:rPr>
              <w:t>. Potential range 0-infinity.</w:t>
            </w:r>
          </w:p>
        </w:tc>
      </w:tr>
      <w:tr w:rsidR="00726C16" w:rsidRPr="005C4BA7" w14:paraId="4A168B28" w14:textId="77777777" w:rsidTr="00AF35BB">
        <w:trPr>
          <w:trHeight w:val="288"/>
        </w:trPr>
        <w:tc>
          <w:tcPr>
            <w:tcW w:w="1971" w:type="dxa"/>
            <w:noWrap/>
            <w:hideMark/>
          </w:tcPr>
          <w:p w14:paraId="614FD589"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hundred_hour</w:t>
            </w:r>
            <w:proofErr w:type="spellEnd"/>
          </w:p>
        </w:tc>
        <w:tc>
          <w:tcPr>
            <w:tcW w:w="2614" w:type="dxa"/>
            <w:noWrap/>
            <w:hideMark/>
          </w:tcPr>
          <w:p w14:paraId="4EBFC83A"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2E7142A5"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H</w:t>
            </w:r>
            <w:r w:rsidRPr="005C4BA7">
              <w:rPr>
                <w:rFonts w:ascii="Times New Roman" w:hAnsi="Times New Roman" w:cs="Times New Roman"/>
                <w:sz w:val="20"/>
                <w:szCs w:val="20"/>
              </w:rPr>
              <w:t>undred hour</w:t>
            </w:r>
            <w:proofErr w:type="gramEnd"/>
            <w:r w:rsidRPr="005C4BA7">
              <w:rPr>
                <w:rFonts w:ascii="Times New Roman" w:hAnsi="Times New Roman" w:cs="Times New Roman"/>
                <w:sz w:val="20"/>
                <w:szCs w:val="20"/>
              </w:rPr>
              <w:t xml:space="preserve"> fuels, surface woody fuels between 2.5 and 7.6 centimeters in diameter</w:t>
            </w:r>
            <w:r>
              <w:rPr>
                <w:rFonts w:ascii="Times New Roman" w:hAnsi="Times New Roman" w:cs="Times New Roman"/>
                <w:sz w:val="20"/>
                <w:szCs w:val="20"/>
              </w:rPr>
              <w:t>. Potential range 0-infinity.</w:t>
            </w:r>
          </w:p>
        </w:tc>
      </w:tr>
      <w:tr w:rsidR="00726C16" w:rsidRPr="005C4BA7" w14:paraId="24CC1511" w14:textId="77777777" w:rsidTr="00AF35BB">
        <w:trPr>
          <w:trHeight w:val="288"/>
        </w:trPr>
        <w:tc>
          <w:tcPr>
            <w:tcW w:w="1971" w:type="dxa"/>
            <w:noWrap/>
            <w:hideMark/>
          </w:tcPr>
          <w:p w14:paraId="5DE567DA"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thousand_sound</w:t>
            </w:r>
            <w:proofErr w:type="spellEnd"/>
          </w:p>
        </w:tc>
        <w:tc>
          <w:tcPr>
            <w:tcW w:w="2614" w:type="dxa"/>
            <w:noWrap/>
            <w:hideMark/>
          </w:tcPr>
          <w:p w14:paraId="44CE0CBB"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2FCB4969"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T</w:t>
            </w:r>
            <w:r w:rsidRPr="005C4BA7">
              <w:rPr>
                <w:rFonts w:ascii="Times New Roman" w:hAnsi="Times New Roman" w:cs="Times New Roman"/>
                <w:sz w:val="20"/>
                <w:szCs w:val="20"/>
              </w:rPr>
              <w:t>housand hour</w:t>
            </w:r>
            <w:proofErr w:type="gramEnd"/>
            <w:r w:rsidRPr="005C4BA7">
              <w:rPr>
                <w:rFonts w:ascii="Times New Roman" w:hAnsi="Times New Roman" w:cs="Times New Roman"/>
                <w:sz w:val="20"/>
                <w:szCs w:val="20"/>
              </w:rPr>
              <w:t xml:space="preserve"> fuels in decay classes 1-3, surface woody fuels greater than 7.6 centimeters in </w:t>
            </w:r>
            <w:r>
              <w:rPr>
                <w:rFonts w:ascii="Times New Roman" w:hAnsi="Times New Roman" w:cs="Times New Roman"/>
                <w:sz w:val="20"/>
                <w:szCs w:val="20"/>
              </w:rPr>
              <w:t xml:space="preserve">diameter.  </w:t>
            </w:r>
            <w:proofErr w:type="spellStart"/>
            <w:r>
              <w:rPr>
                <w:rFonts w:ascii="Times New Roman" w:hAnsi="Times New Roman" w:cs="Times New Roman"/>
                <w:sz w:val="20"/>
                <w:szCs w:val="20"/>
              </w:rPr>
              <w:t>Potential_range</w:t>
            </w:r>
            <w:proofErr w:type="spellEnd"/>
            <w:r>
              <w:rPr>
                <w:rFonts w:ascii="Times New Roman" w:hAnsi="Times New Roman" w:cs="Times New Roman"/>
                <w:sz w:val="20"/>
                <w:szCs w:val="20"/>
              </w:rPr>
              <w:t xml:space="preserve"> 0-infinity.</w:t>
            </w:r>
          </w:p>
        </w:tc>
      </w:tr>
      <w:tr w:rsidR="00726C16" w:rsidRPr="005C4BA7" w14:paraId="3BAF445B" w14:textId="77777777" w:rsidTr="00AF35BB">
        <w:trPr>
          <w:trHeight w:val="288"/>
        </w:trPr>
        <w:tc>
          <w:tcPr>
            <w:tcW w:w="1971" w:type="dxa"/>
            <w:noWrap/>
            <w:hideMark/>
          </w:tcPr>
          <w:p w14:paraId="4450F16F"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thousand_rotten</w:t>
            </w:r>
            <w:proofErr w:type="spellEnd"/>
          </w:p>
        </w:tc>
        <w:tc>
          <w:tcPr>
            <w:tcW w:w="2614" w:type="dxa"/>
            <w:noWrap/>
            <w:hideMark/>
          </w:tcPr>
          <w:p w14:paraId="704B1B5E"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0C65E282"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T</w:t>
            </w:r>
            <w:r w:rsidRPr="005C4BA7">
              <w:rPr>
                <w:rFonts w:ascii="Times New Roman" w:hAnsi="Times New Roman" w:cs="Times New Roman"/>
                <w:sz w:val="20"/>
                <w:szCs w:val="20"/>
              </w:rPr>
              <w:t>housand hour</w:t>
            </w:r>
            <w:proofErr w:type="gramEnd"/>
            <w:r w:rsidRPr="005C4BA7">
              <w:rPr>
                <w:rFonts w:ascii="Times New Roman" w:hAnsi="Times New Roman" w:cs="Times New Roman"/>
                <w:sz w:val="20"/>
                <w:szCs w:val="20"/>
              </w:rPr>
              <w:t xml:space="preserve"> fuels in decay classes 4-5, surface woody fuels greater than 7.6 centimeters in diameter</w:t>
            </w:r>
            <w:r>
              <w:rPr>
                <w:rFonts w:ascii="Times New Roman" w:hAnsi="Times New Roman" w:cs="Times New Roman"/>
                <w:sz w:val="20"/>
                <w:szCs w:val="20"/>
              </w:rPr>
              <w:t>. Potential range 0-infinity.</w:t>
            </w:r>
          </w:p>
        </w:tc>
      </w:tr>
      <w:tr w:rsidR="00726C16" w:rsidRPr="005C4BA7" w14:paraId="30BE4A40" w14:textId="77777777" w:rsidTr="00AF35BB">
        <w:trPr>
          <w:trHeight w:val="288"/>
        </w:trPr>
        <w:tc>
          <w:tcPr>
            <w:tcW w:w="1971" w:type="dxa"/>
            <w:noWrap/>
            <w:hideMark/>
          </w:tcPr>
          <w:p w14:paraId="4DDE3A90" w14:textId="77777777" w:rsidR="00726C16" w:rsidRPr="005C4BA7"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fuel_</w:t>
            </w:r>
            <w:r w:rsidRPr="005C4BA7">
              <w:rPr>
                <w:rFonts w:ascii="Times New Roman" w:hAnsi="Times New Roman" w:cs="Times New Roman"/>
                <w:sz w:val="20"/>
                <w:szCs w:val="20"/>
              </w:rPr>
              <w:t>height</w:t>
            </w:r>
            <w:proofErr w:type="spellEnd"/>
          </w:p>
        </w:tc>
        <w:tc>
          <w:tcPr>
            <w:tcW w:w="2614" w:type="dxa"/>
            <w:noWrap/>
            <w:hideMark/>
          </w:tcPr>
          <w:p w14:paraId="6179888B"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centimeters</w:t>
            </w:r>
          </w:p>
        </w:tc>
        <w:tc>
          <w:tcPr>
            <w:tcW w:w="4765" w:type="dxa"/>
            <w:noWrap/>
            <w:hideMark/>
          </w:tcPr>
          <w:p w14:paraId="0E781B5C"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M</w:t>
            </w:r>
            <w:r w:rsidRPr="005C4BA7">
              <w:rPr>
                <w:rFonts w:ascii="Times New Roman" w:hAnsi="Times New Roman" w:cs="Times New Roman"/>
                <w:sz w:val="20"/>
                <w:szCs w:val="20"/>
              </w:rPr>
              <w:t>aximum height of dead woody fuel,</w:t>
            </w:r>
            <w:proofErr w:type="gramEnd"/>
            <w:r w:rsidRPr="005C4BA7">
              <w:rPr>
                <w:rFonts w:ascii="Times New Roman" w:hAnsi="Times New Roman" w:cs="Times New Roman"/>
                <w:sz w:val="20"/>
                <w:szCs w:val="20"/>
              </w:rPr>
              <w:t xml:space="preserve"> averaged over multiple sample locations in plot</w:t>
            </w:r>
            <w:r>
              <w:rPr>
                <w:rFonts w:ascii="Times New Roman" w:hAnsi="Times New Roman" w:cs="Times New Roman"/>
                <w:sz w:val="20"/>
                <w:szCs w:val="20"/>
              </w:rPr>
              <w:t>. Potential range 0-200.</w:t>
            </w:r>
          </w:p>
        </w:tc>
      </w:tr>
      <w:tr w:rsidR="00726C16" w:rsidRPr="005C4BA7" w14:paraId="6A274D5A" w14:textId="77777777" w:rsidTr="00AF35BB">
        <w:trPr>
          <w:trHeight w:val="288"/>
        </w:trPr>
        <w:tc>
          <w:tcPr>
            <w:tcW w:w="1971" w:type="dxa"/>
            <w:noWrap/>
            <w:hideMark/>
          </w:tcPr>
          <w:p w14:paraId="0F334B13"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litter</w:t>
            </w:r>
          </w:p>
        </w:tc>
        <w:tc>
          <w:tcPr>
            <w:tcW w:w="2614" w:type="dxa"/>
            <w:noWrap/>
            <w:hideMark/>
          </w:tcPr>
          <w:p w14:paraId="3DD3D8DE"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033382A3" w14:textId="77777777" w:rsidR="00726C16" w:rsidRPr="005C4BA7" w:rsidRDefault="00726C16" w:rsidP="00AF35BB">
            <w:pPr>
              <w:rPr>
                <w:rFonts w:ascii="Times New Roman" w:hAnsi="Times New Roman" w:cs="Times New Roman"/>
                <w:sz w:val="20"/>
                <w:szCs w:val="20"/>
              </w:rPr>
            </w:pPr>
            <w:proofErr w:type="gramStart"/>
            <w:r>
              <w:rPr>
                <w:rFonts w:ascii="Times New Roman" w:hAnsi="Times New Roman" w:cs="Times New Roman"/>
                <w:sz w:val="20"/>
                <w:szCs w:val="20"/>
              </w:rPr>
              <w:t>B</w:t>
            </w:r>
            <w:r w:rsidRPr="005C4BA7">
              <w:rPr>
                <w:rFonts w:ascii="Times New Roman" w:hAnsi="Times New Roman" w:cs="Times New Roman"/>
                <w:sz w:val="20"/>
                <w:szCs w:val="20"/>
              </w:rPr>
              <w:t>iomass of forest litter layer,</w:t>
            </w:r>
            <w:proofErr w:type="gramEnd"/>
            <w:r w:rsidRPr="005C4BA7">
              <w:rPr>
                <w:rFonts w:ascii="Times New Roman" w:hAnsi="Times New Roman" w:cs="Times New Roman"/>
                <w:sz w:val="20"/>
                <w:szCs w:val="20"/>
              </w:rPr>
              <w:t xml:space="preserve"> measured and summarized using the protocol of Brown, J.K. 1974.</w:t>
            </w:r>
            <w:r>
              <w:rPr>
                <w:rFonts w:ascii="Times New Roman" w:hAnsi="Times New Roman" w:cs="Times New Roman"/>
                <w:sz w:val="20"/>
                <w:szCs w:val="20"/>
              </w:rPr>
              <w:t xml:space="preserve">  Potential range 0-infinity.</w:t>
            </w:r>
          </w:p>
        </w:tc>
      </w:tr>
      <w:tr w:rsidR="00726C16" w:rsidRPr="005C4BA7" w14:paraId="092DD876" w14:textId="77777777" w:rsidTr="00AF35BB">
        <w:trPr>
          <w:trHeight w:val="288"/>
        </w:trPr>
        <w:tc>
          <w:tcPr>
            <w:tcW w:w="1971" w:type="dxa"/>
            <w:noWrap/>
            <w:hideMark/>
          </w:tcPr>
          <w:p w14:paraId="00CF6100"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duff</w:t>
            </w:r>
          </w:p>
        </w:tc>
        <w:tc>
          <w:tcPr>
            <w:tcW w:w="2614" w:type="dxa"/>
            <w:noWrap/>
            <w:hideMark/>
          </w:tcPr>
          <w:p w14:paraId="2EC8E550"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6C11FD43"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B</w:t>
            </w:r>
            <w:r w:rsidRPr="005C4BA7">
              <w:rPr>
                <w:rFonts w:ascii="Times New Roman" w:hAnsi="Times New Roman" w:cs="Times New Roman"/>
                <w:sz w:val="20"/>
                <w:szCs w:val="20"/>
              </w:rPr>
              <w:t>iomass of duff layer (partially decomposed organic material of which parent source is unrecognizable)</w:t>
            </w:r>
            <w:r>
              <w:rPr>
                <w:rFonts w:ascii="Times New Roman" w:hAnsi="Times New Roman" w:cs="Times New Roman"/>
                <w:sz w:val="20"/>
                <w:szCs w:val="20"/>
              </w:rPr>
              <w:t>.  Potential range 0-infinity.</w:t>
            </w:r>
          </w:p>
        </w:tc>
      </w:tr>
      <w:tr w:rsidR="00726C16" w:rsidRPr="005C4BA7" w14:paraId="403B1863" w14:textId="77777777" w:rsidTr="00AF35BB">
        <w:trPr>
          <w:trHeight w:val="288"/>
        </w:trPr>
        <w:tc>
          <w:tcPr>
            <w:tcW w:w="1971" w:type="dxa"/>
            <w:noWrap/>
            <w:hideMark/>
          </w:tcPr>
          <w:p w14:paraId="3ED5CBF5"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shrub</w:t>
            </w:r>
          </w:p>
        </w:tc>
        <w:tc>
          <w:tcPr>
            <w:tcW w:w="2614" w:type="dxa"/>
            <w:noWrap/>
            <w:hideMark/>
          </w:tcPr>
          <w:p w14:paraId="2AFE4C79"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78C888F5"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B</w:t>
            </w:r>
            <w:r w:rsidRPr="005C4BA7">
              <w:rPr>
                <w:rFonts w:ascii="Times New Roman" w:hAnsi="Times New Roman" w:cs="Times New Roman"/>
                <w:sz w:val="20"/>
                <w:szCs w:val="20"/>
              </w:rPr>
              <w:t xml:space="preserve">iomass of shrub layer, sampled and summarized using the protocol of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{"citationItems":[{"id":"ITEM-1","itemData":{"DOI":"10.2737/INT-GTR-167","author":[{"dropping-particle":"","family":"Burgan","given":"Robert E.","non-dropping-particle":"","parse-names":false,"suffix":""},{"dropping-particle":"","family":"Rothermel","given":"Richard C.","non-dropping-particle":"","parse-names":false,"suffix":""}],"container-title":"General Technical Report INT-167. Ogden, UT: U. S. Department of Agriculture, Forest Service, Intermountain Forest and Range Experiment Station. 126 p.","id":"ITEM-1","issued":{"date-parts":[["1984"]]},"publisher-place":"Ogden, UT","title":"BEHAVE: fire behavior prediction and fuel modeling system--FUEL subsystem","type":"report","volume":"167"},"uris":["http://www.mendeley.com/documents/?uuid=5a2e654c-4a71-3e91-bcce-6e23c284eceb"]}],"mendeley":{"formattedCitation":"(Burgan and Rothermel 1984)","plainTextFormattedCitation":"(Burgan and Rothermel 1984)","previouslyFormattedCitation":"(Burgan and Rothermel 1984)"},"properties":{"noteIndex":0},"schema":"https://github.com/citation-style-language/schema/raw/master/csl-citation.json"}</w:instrText>
            </w:r>
            <w:r>
              <w:rPr>
                <w:rFonts w:ascii="Times New Roman" w:hAnsi="Times New Roman" w:cs="Times New Roman"/>
                <w:sz w:val="20"/>
                <w:szCs w:val="20"/>
              </w:rPr>
              <w:fldChar w:fldCharType="separate"/>
            </w:r>
            <w:r w:rsidRPr="009E3961">
              <w:rPr>
                <w:rFonts w:ascii="Times New Roman" w:hAnsi="Times New Roman" w:cs="Times New Roman"/>
                <w:noProof/>
                <w:sz w:val="20"/>
                <w:szCs w:val="20"/>
              </w:rPr>
              <w:t>(Burgan and Rothermel 1984)</w:t>
            </w:r>
            <w:r>
              <w:rPr>
                <w:rFonts w:ascii="Times New Roman" w:hAnsi="Times New Roman" w:cs="Times New Roman"/>
                <w:sz w:val="20"/>
                <w:szCs w:val="20"/>
              </w:rPr>
              <w:fldChar w:fldCharType="end"/>
            </w:r>
            <w:r>
              <w:rPr>
                <w:rFonts w:ascii="Times New Roman" w:hAnsi="Times New Roman" w:cs="Times New Roman"/>
                <w:sz w:val="20"/>
                <w:szCs w:val="20"/>
              </w:rPr>
              <w:t>.  Potential range 0-infinity.</w:t>
            </w:r>
          </w:p>
        </w:tc>
      </w:tr>
      <w:tr w:rsidR="00726C16" w:rsidRPr="005C4BA7" w14:paraId="781A8D63" w14:textId="77777777" w:rsidTr="00AF35BB">
        <w:trPr>
          <w:trHeight w:val="288"/>
        </w:trPr>
        <w:tc>
          <w:tcPr>
            <w:tcW w:w="1971" w:type="dxa"/>
            <w:noWrap/>
            <w:hideMark/>
          </w:tcPr>
          <w:p w14:paraId="362371B2"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lastRenderedPageBreak/>
              <w:t>herb</w:t>
            </w:r>
          </w:p>
        </w:tc>
        <w:tc>
          <w:tcPr>
            <w:tcW w:w="2614" w:type="dxa"/>
            <w:noWrap/>
            <w:hideMark/>
          </w:tcPr>
          <w:p w14:paraId="08CD8A71"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5044BD2F"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B</w:t>
            </w:r>
            <w:r w:rsidRPr="005C4BA7">
              <w:rPr>
                <w:rFonts w:ascii="Times New Roman" w:hAnsi="Times New Roman" w:cs="Times New Roman"/>
                <w:sz w:val="20"/>
                <w:szCs w:val="20"/>
              </w:rPr>
              <w:t>iomass of herb layer, sampled and summarized using the protocol of</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{"citationItems":[{"id":"ITEM-1","itemData":{"DOI":"10.2737/INT-GTR-167","author":[{"dropping-particle":"","family":"Burgan","given":"Robert E.","non-dropping-particle":"","parse-names":false,"suffix":""},{"dropping-particle":"","family":"Rothermel","given":"Richard C.","non-dropping-particle":"","parse-names":false,"suffix":""}],"container-title":"General Technical Report INT-167. Ogden, UT: U. S. Department of Agriculture, Forest Service, Intermountain Forest and Range Experiment Station. 126 p.","id":"ITEM-1","issued":{"date-parts":[["1984"]]},"publisher-place":"Ogden, UT","title":"BEHAVE: fire behavior prediction and fuel modeling system--FUEL subsystem","type":"report","volume":"167"},"uris":["http://www.mendeley.com/documents/?uuid=5a2e654c-4a71-3e91-bcce-6e23c284eceb"]}],"mendeley":{"formattedCitation":"(Burgan and Rothermel 1984)","plainTextFormattedCitation":"(Burgan and Rothermel 1984)","previouslyFormattedCitation":"(Burgan and Rothermel 1984)"},"properties":{"noteIndex":0},"schema":"https://github.com/citation-style-language/schema/raw/master/csl-citation.json"}</w:instrText>
            </w:r>
            <w:r>
              <w:rPr>
                <w:rFonts w:ascii="Times New Roman" w:hAnsi="Times New Roman" w:cs="Times New Roman"/>
                <w:sz w:val="20"/>
                <w:szCs w:val="20"/>
              </w:rPr>
              <w:fldChar w:fldCharType="separate"/>
            </w:r>
            <w:r w:rsidRPr="00B1208D">
              <w:rPr>
                <w:rFonts w:ascii="Times New Roman" w:hAnsi="Times New Roman" w:cs="Times New Roman"/>
                <w:noProof/>
                <w:sz w:val="20"/>
                <w:szCs w:val="20"/>
              </w:rPr>
              <w:t>(Burgan and Rothermel 1984)</w:t>
            </w:r>
            <w:r>
              <w:rPr>
                <w:rFonts w:ascii="Times New Roman" w:hAnsi="Times New Roman" w:cs="Times New Roman"/>
                <w:sz w:val="20"/>
                <w:szCs w:val="20"/>
              </w:rPr>
              <w:fldChar w:fldCharType="end"/>
            </w:r>
            <w:r>
              <w:rPr>
                <w:rFonts w:ascii="Times New Roman" w:hAnsi="Times New Roman" w:cs="Times New Roman"/>
                <w:sz w:val="20"/>
                <w:szCs w:val="20"/>
              </w:rPr>
              <w:t>.  Potential range 0-infinity.</w:t>
            </w:r>
          </w:p>
        </w:tc>
      </w:tr>
      <w:tr w:rsidR="00726C16" w:rsidRPr="005C4BA7" w14:paraId="3F3BD70C" w14:textId="77777777" w:rsidTr="00AF35BB">
        <w:trPr>
          <w:trHeight w:val="288"/>
        </w:trPr>
        <w:tc>
          <w:tcPr>
            <w:tcW w:w="1971" w:type="dxa"/>
            <w:noWrap/>
            <w:hideMark/>
          </w:tcPr>
          <w:p w14:paraId="2DAEFC96"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canopy_base_height</w:t>
            </w:r>
            <w:proofErr w:type="spellEnd"/>
          </w:p>
        </w:tc>
        <w:tc>
          <w:tcPr>
            <w:tcW w:w="2614" w:type="dxa"/>
            <w:noWrap/>
            <w:hideMark/>
          </w:tcPr>
          <w:p w14:paraId="2D1CD671" w14:textId="77777777" w:rsidR="00726C16" w:rsidRPr="005C4BA7" w:rsidRDefault="00726C16" w:rsidP="00AF35BB">
            <w:pPr>
              <w:rPr>
                <w:rFonts w:ascii="Times New Roman" w:hAnsi="Times New Roman" w:cs="Times New Roman"/>
                <w:sz w:val="20"/>
                <w:szCs w:val="20"/>
              </w:rPr>
            </w:pPr>
            <w:r w:rsidRPr="005C4BA7">
              <w:rPr>
                <w:rFonts w:ascii="Times New Roman" w:hAnsi="Times New Roman" w:cs="Times New Roman"/>
                <w:sz w:val="20"/>
                <w:szCs w:val="20"/>
              </w:rPr>
              <w:t>meters</w:t>
            </w:r>
          </w:p>
        </w:tc>
        <w:tc>
          <w:tcPr>
            <w:tcW w:w="4765" w:type="dxa"/>
            <w:noWrap/>
            <w:hideMark/>
          </w:tcPr>
          <w:p w14:paraId="465B7F9F"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C</w:t>
            </w:r>
            <w:r w:rsidRPr="005C4BA7">
              <w:rPr>
                <w:rFonts w:ascii="Times New Roman" w:hAnsi="Times New Roman" w:cs="Times New Roman"/>
                <w:sz w:val="20"/>
                <w:szCs w:val="20"/>
              </w:rPr>
              <w:t xml:space="preserve">anopy base height, estimated </w:t>
            </w:r>
            <w:r>
              <w:rPr>
                <w:rFonts w:ascii="Times New Roman" w:hAnsi="Times New Roman" w:cs="Times New Roman"/>
                <w:sz w:val="20"/>
                <w:szCs w:val="20"/>
              </w:rPr>
              <w:t xml:space="preserve">from stand structural data </w:t>
            </w:r>
            <w:r w:rsidRPr="005C4BA7">
              <w:rPr>
                <w:rFonts w:ascii="Times New Roman" w:hAnsi="Times New Roman" w:cs="Times New Roman"/>
                <w:sz w:val="20"/>
                <w:szCs w:val="20"/>
              </w:rPr>
              <w:t xml:space="preserve">using FVS-FFE program </w:t>
            </w:r>
            <w:r>
              <w:rPr>
                <w:rFonts w:ascii="Times New Roman" w:hAnsi="Times New Roman" w:cs="Times New Roman"/>
                <w:sz w:val="20"/>
                <w:szCs w:val="20"/>
              </w:rPr>
              <w:t>version</w:t>
            </w:r>
            <w:r w:rsidRPr="005C4BA7">
              <w:rPr>
                <w:rFonts w:ascii="Times New Roman" w:hAnsi="Times New Roman" w:cs="Times New Roman"/>
                <w:sz w:val="20"/>
                <w:szCs w:val="20"/>
              </w:rPr>
              <w:t xml:space="preserve"> 3431</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{"citationItems":[{"id":"ITEM-1","itemData":{"DOI":"10.2737/RMRS-GTR-116","author":[{"dropping-particle":"","family":"Reinhardt","given":"Elizabeth","non-dropping-particle":"","parse-names":false,"suffix":""},{"dropping-particle":"","family":"Crookston","given":"Nicholas L.","non-dropping-particle":"","parse-names":false,"suffix":""}],"container-title":"Gen. Tech. Rep. RMRS-GTR-116. Ogden, UT: U.S. Department of Agriculture, Forest Service, Rocky Mountain Research Station. 209 p.","id":"ITEM-1","issued":{"date-parts":[["2003"]]},"title":"The Fire and Fuels Extension to the Forest Vegetation Simulator","type":"article-journal","volume":"116"},"uris":["http://www.mendeley.com/documents/?uuid=d5e171dc-645f-38dd-a9fb-4454f1820e98"]}],"mendeley":{"formattedCitation":"(Reinhardt and Crookston 2003)","plainTextFormattedCitation":"(Reinhardt and Crookston 2003)","previouslyFormattedCitation":"(Reinhardt and Crookston 2003)"},"properties":{"noteIndex":0},"schema":"https://github.com/citation-style-language/schema/raw/master/csl-citation.json"}</w:instrText>
            </w:r>
            <w:r>
              <w:rPr>
                <w:rFonts w:ascii="Times New Roman" w:hAnsi="Times New Roman" w:cs="Times New Roman"/>
                <w:sz w:val="20"/>
                <w:szCs w:val="20"/>
              </w:rPr>
              <w:fldChar w:fldCharType="separate"/>
            </w:r>
            <w:r w:rsidRPr="00B1208D">
              <w:rPr>
                <w:rFonts w:ascii="Times New Roman" w:hAnsi="Times New Roman" w:cs="Times New Roman"/>
                <w:noProof/>
                <w:sz w:val="20"/>
                <w:szCs w:val="20"/>
              </w:rPr>
              <w:t>(Reinhardt and Crookston 2003)</w:t>
            </w:r>
            <w:r>
              <w:rPr>
                <w:rFonts w:ascii="Times New Roman" w:hAnsi="Times New Roman" w:cs="Times New Roman"/>
                <w:sz w:val="20"/>
                <w:szCs w:val="20"/>
              </w:rPr>
              <w:fldChar w:fldCharType="end"/>
            </w:r>
            <w:r>
              <w:rPr>
                <w:rFonts w:ascii="Times New Roman" w:hAnsi="Times New Roman" w:cs="Times New Roman"/>
                <w:sz w:val="20"/>
                <w:szCs w:val="20"/>
              </w:rPr>
              <w:t xml:space="preserve">.  Potential range 0-infinity. </w:t>
            </w:r>
          </w:p>
        </w:tc>
      </w:tr>
      <w:tr w:rsidR="00726C16" w:rsidRPr="005C4BA7" w14:paraId="5B62CC07" w14:textId="77777777" w:rsidTr="00AF35BB">
        <w:trPr>
          <w:trHeight w:val="288"/>
        </w:trPr>
        <w:tc>
          <w:tcPr>
            <w:tcW w:w="1971" w:type="dxa"/>
            <w:noWrap/>
            <w:hideMark/>
          </w:tcPr>
          <w:p w14:paraId="75B5AA7E"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canopy_bulk_density</w:t>
            </w:r>
            <w:proofErr w:type="spellEnd"/>
          </w:p>
        </w:tc>
        <w:tc>
          <w:tcPr>
            <w:tcW w:w="2614" w:type="dxa"/>
            <w:noWrap/>
            <w:hideMark/>
          </w:tcPr>
          <w:p w14:paraId="555A9A62" w14:textId="77777777" w:rsidR="00726C16" w:rsidRPr="005C4BA7" w:rsidRDefault="00726C16" w:rsidP="00AF35BB">
            <w:pPr>
              <w:rPr>
                <w:rFonts w:ascii="Times New Roman" w:hAnsi="Times New Roman" w:cs="Times New Roman"/>
                <w:sz w:val="20"/>
                <w:szCs w:val="20"/>
              </w:rPr>
            </w:pPr>
            <w:proofErr w:type="spellStart"/>
            <w:r w:rsidRPr="005C4BA7">
              <w:rPr>
                <w:rFonts w:ascii="Times New Roman" w:hAnsi="Times New Roman" w:cs="Times New Roman"/>
                <w:sz w:val="20"/>
                <w:szCs w:val="20"/>
              </w:rPr>
              <w:t>megagrams_per_hectare</w:t>
            </w:r>
            <w:proofErr w:type="spellEnd"/>
          </w:p>
        </w:tc>
        <w:tc>
          <w:tcPr>
            <w:tcW w:w="4765" w:type="dxa"/>
            <w:noWrap/>
            <w:hideMark/>
          </w:tcPr>
          <w:p w14:paraId="0FE19020"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C</w:t>
            </w:r>
            <w:r w:rsidRPr="005C4BA7">
              <w:rPr>
                <w:rFonts w:ascii="Times New Roman" w:hAnsi="Times New Roman" w:cs="Times New Roman"/>
                <w:sz w:val="20"/>
                <w:szCs w:val="20"/>
              </w:rPr>
              <w:t xml:space="preserve">anopy bulk density, estimated </w:t>
            </w:r>
            <w:r>
              <w:rPr>
                <w:rFonts w:ascii="Times New Roman" w:hAnsi="Times New Roman" w:cs="Times New Roman"/>
                <w:sz w:val="20"/>
                <w:szCs w:val="20"/>
              </w:rPr>
              <w:t xml:space="preserve">from stand structural data </w:t>
            </w:r>
            <w:r w:rsidRPr="005C4BA7">
              <w:rPr>
                <w:rFonts w:ascii="Times New Roman" w:hAnsi="Times New Roman" w:cs="Times New Roman"/>
                <w:sz w:val="20"/>
                <w:szCs w:val="20"/>
              </w:rPr>
              <w:t xml:space="preserve">using FVS-FFE program </w:t>
            </w:r>
            <w:r>
              <w:rPr>
                <w:rFonts w:ascii="Times New Roman" w:hAnsi="Times New Roman" w:cs="Times New Roman"/>
                <w:sz w:val="20"/>
                <w:szCs w:val="20"/>
              </w:rPr>
              <w:t>version</w:t>
            </w:r>
            <w:r w:rsidRPr="005C4BA7">
              <w:rPr>
                <w:rFonts w:ascii="Times New Roman" w:hAnsi="Times New Roman" w:cs="Times New Roman"/>
                <w:sz w:val="20"/>
                <w:szCs w:val="20"/>
              </w:rPr>
              <w:t xml:space="preserve"> 343</w:t>
            </w:r>
            <w:r>
              <w:rPr>
                <w:rFonts w:ascii="Times New Roman" w:hAnsi="Times New Roman" w:cs="Times New Roman"/>
                <w:sz w:val="20"/>
                <w:szCs w:val="20"/>
              </w:rPr>
              <w:t xml:space="preserve">1. Potential range 0-infinity. </w:t>
            </w:r>
          </w:p>
        </w:tc>
      </w:tr>
      <w:tr w:rsidR="00726C16" w:rsidRPr="005C4BA7" w14:paraId="4DD05ACC" w14:textId="77777777" w:rsidTr="00AF35BB">
        <w:trPr>
          <w:trHeight w:val="288"/>
        </w:trPr>
        <w:tc>
          <w:tcPr>
            <w:tcW w:w="1971" w:type="dxa"/>
            <w:noWrap/>
          </w:tcPr>
          <w:p w14:paraId="783A0F6B" w14:textId="77777777" w:rsidR="00726C16" w:rsidRPr="005C4BA7"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surface_flame</w:t>
            </w:r>
            <w:proofErr w:type="spellEnd"/>
          </w:p>
        </w:tc>
        <w:tc>
          <w:tcPr>
            <w:tcW w:w="2614" w:type="dxa"/>
            <w:noWrap/>
          </w:tcPr>
          <w:p w14:paraId="666E64C5" w14:textId="77777777" w:rsidR="00726C16" w:rsidRPr="005C4BA7" w:rsidRDefault="00726C16" w:rsidP="00AF35BB">
            <w:pPr>
              <w:rPr>
                <w:rFonts w:ascii="Times New Roman" w:hAnsi="Times New Roman" w:cs="Times New Roman"/>
                <w:sz w:val="20"/>
                <w:szCs w:val="20"/>
              </w:rPr>
            </w:pPr>
            <w:r>
              <w:rPr>
                <w:rFonts w:ascii="Times New Roman" w:hAnsi="Times New Roman" w:cs="Times New Roman"/>
                <w:sz w:val="20"/>
                <w:szCs w:val="20"/>
              </w:rPr>
              <w:t>meters</w:t>
            </w:r>
          </w:p>
        </w:tc>
        <w:tc>
          <w:tcPr>
            <w:tcW w:w="4765" w:type="dxa"/>
            <w:noWrap/>
          </w:tcPr>
          <w:p w14:paraId="341CBECC"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Surface flame height, estimated from fuel data using FVS-FFE program version 3431, with 80% percentile weather and fuel moisture parameters for June 15 – September 15 of 2002-2017, determined from Fire Family Plus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RMRS-GTR-67","author":[{"dropping-particle":"","family":"Bradshaw","given":"Larry","non-dropping-particle":"","parse-names":false,"suffix":""},{"dropping-particle":"","family":"McCormick","given":"Erin","non-dropping-particle":"","parse-names":false,"suffix":""}],"container-title":"Gen. Tech. Rep. RMRS-GTR-67. Ogden, UT: U.S. Department of Agriculture, Forest Service, Rocky Mountain Research Station.","id":"ITEM-1","issued":{"date-parts":[["2000"]]},"title":"FireFamily Plus user's guide, Version 2.0","type":"article-journal","volume":"67"},"uris":["http://www.mendeley.com/documents/?uuid=f37099cd-0d33-3ada-8c51-3d8e66d17952"]}],"mendeley":{"formattedCitation":"(Bradshaw and McCormick 2000)","plainTextFormattedCitation":"(Bradshaw and McCormick 2000)","previouslyFormattedCitation":"(Bradshaw and McCormick 2000)"},"properties":{"noteIndex":0},"schema":"https://github.com/citation-style-language/schema/raw/master/csl-citation.json"}</w:instrText>
            </w:r>
            <w:r>
              <w:rPr>
                <w:rFonts w:ascii="Times New Roman" w:hAnsi="Times New Roman" w:cs="Times New Roman"/>
                <w:sz w:val="20"/>
                <w:szCs w:val="20"/>
              </w:rPr>
              <w:fldChar w:fldCharType="separate"/>
            </w:r>
            <w:r w:rsidRPr="00A5359E">
              <w:rPr>
                <w:rFonts w:ascii="Times New Roman" w:hAnsi="Times New Roman" w:cs="Times New Roman"/>
                <w:noProof/>
                <w:sz w:val="20"/>
                <w:szCs w:val="20"/>
              </w:rPr>
              <w:t>(Bradshaw and McCormick 2000)</w:t>
            </w:r>
            <w:r>
              <w:rPr>
                <w:rFonts w:ascii="Times New Roman" w:hAnsi="Times New Roman" w:cs="Times New Roman"/>
                <w:sz w:val="20"/>
                <w:szCs w:val="20"/>
              </w:rPr>
              <w:fldChar w:fldCharType="end"/>
            </w:r>
            <w:r>
              <w:rPr>
                <w:rFonts w:ascii="Times New Roman" w:hAnsi="Times New Roman" w:cs="Times New Roman"/>
                <w:sz w:val="20"/>
                <w:szCs w:val="20"/>
              </w:rPr>
              <w:t>.  Potential range 0-infinity.</w:t>
            </w:r>
          </w:p>
        </w:tc>
      </w:tr>
      <w:tr w:rsidR="00726C16" w:rsidRPr="005C4BA7" w14:paraId="05162625" w14:textId="77777777" w:rsidTr="00AF35BB">
        <w:trPr>
          <w:trHeight w:val="288"/>
        </w:trPr>
        <w:tc>
          <w:tcPr>
            <w:tcW w:w="1971" w:type="dxa"/>
            <w:noWrap/>
          </w:tcPr>
          <w:p w14:paraId="4D3810E9"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total_flame</w:t>
            </w:r>
            <w:proofErr w:type="spellEnd"/>
          </w:p>
        </w:tc>
        <w:tc>
          <w:tcPr>
            <w:tcW w:w="2614" w:type="dxa"/>
            <w:noWrap/>
          </w:tcPr>
          <w:p w14:paraId="7AED9B73"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meters</w:t>
            </w:r>
          </w:p>
        </w:tc>
        <w:tc>
          <w:tcPr>
            <w:tcW w:w="4765" w:type="dxa"/>
            <w:noWrap/>
          </w:tcPr>
          <w:p w14:paraId="08717EB2"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Total flame height including surface and crown fire, estimated from fuel data using FVS-FFE program version 3431, with 80% percentile weather and fuel moisture parameters for June 15 – September 15 of 2002-2017, determined from Fire Family Plus. Potential range 0-infinity.</w:t>
            </w:r>
          </w:p>
        </w:tc>
      </w:tr>
      <w:tr w:rsidR="00726C16" w:rsidRPr="005C4BA7" w14:paraId="6741EE16" w14:textId="77777777" w:rsidTr="00AF35BB">
        <w:trPr>
          <w:trHeight w:val="288"/>
        </w:trPr>
        <w:tc>
          <w:tcPr>
            <w:tcW w:w="1971" w:type="dxa"/>
            <w:noWrap/>
          </w:tcPr>
          <w:p w14:paraId="3DC204C0"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torching_index</w:t>
            </w:r>
            <w:proofErr w:type="spellEnd"/>
          </w:p>
        </w:tc>
        <w:tc>
          <w:tcPr>
            <w:tcW w:w="2614" w:type="dxa"/>
            <w:noWrap/>
          </w:tcPr>
          <w:p w14:paraId="573D1323"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kilometers_per_hour</w:t>
            </w:r>
            <w:proofErr w:type="spellEnd"/>
          </w:p>
        </w:tc>
        <w:tc>
          <w:tcPr>
            <w:tcW w:w="4765" w:type="dxa"/>
            <w:noWrap/>
          </w:tcPr>
          <w:p w14:paraId="5D141A4D"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20 foot windspeed that is expected to ignite the crown layer, estimated from fuel  and stand structure data using FVS-FFE program version 3431, with 80% percentile weather and fuel moisture parameters for June 15 – September 15 of 2002-2017, determined from Fire Family Plus. Potential range 0-infinity.</w:t>
            </w:r>
          </w:p>
        </w:tc>
      </w:tr>
      <w:tr w:rsidR="00726C16" w:rsidRPr="005C4BA7" w14:paraId="6FAB2110" w14:textId="77777777" w:rsidTr="00AF35BB">
        <w:trPr>
          <w:trHeight w:val="288"/>
        </w:trPr>
        <w:tc>
          <w:tcPr>
            <w:tcW w:w="1971" w:type="dxa"/>
            <w:noWrap/>
          </w:tcPr>
          <w:p w14:paraId="6757B455"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torching_probability</w:t>
            </w:r>
            <w:proofErr w:type="spellEnd"/>
          </w:p>
        </w:tc>
        <w:tc>
          <w:tcPr>
            <w:tcW w:w="2614" w:type="dxa"/>
            <w:noWrap/>
          </w:tcPr>
          <w:p w14:paraId="2AAE01C3"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percent</w:t>
            </w:r>
          </w:p>
        </w:tc>
        <w:tc>
          <w:tcPr>
            <w:tcW w:w="4765" w:type="dxa"/>
            <w:noWrap/>
          </w:tcPr>
          <w:p w14:paraId="70866A5B"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Probability of ‘finding a small area’ that will torch under the fire weather and fuel moisture conditions given.  , estimated from fuel  and stand structure data using FVS-FFE program version 3431, with 80% percentile weather and fuel moisture parameters for June 15 – September 15 of 2002-2017, determined from Fire Family Plus.  Potential range 0-100.</w:t>
            </w:r>
          </w:p>
        </w:tc>
      </w:tr>
      <w:tr w:rsidR="00726C16" w:rsidRPr="005C4BA7" w14:paraId="374F4CD4" w14:textId="77777777" w:rsidTr="00AF35BB">
        <w:trPr>
          <w:trHeight w:val="288"/>
        </w:trPr>
        <w:tc>
          <w:tcPr>
            <w:tcW w:w="1971" w:type="dxa"/>
            <w:noWrap/>
          </w:tcPr>
          <w:p w14:paraId="13205455"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crowning_index</w:t>
            </w:r>
            <w:proofErr w:type="spellEnd"/>
          </w:p>
        </w:tc>
        <w:tc>
          <w:tcPr>
            <w:tcW w:w="2614" w:type="dxa"/>
            <w:noWrap/>
          </w:tcPr>
          <w:p w14:paraId="5A4FFB8C"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kilometers_per_hour</w:t>
            </w:r>
            <w:proofErr w:type="spellEnd"/>
          </w:p>
        </w:tc>
        <w:tc>
          <w:tcPr>
            <w:tcW w:w="4765" w:type="dxa"/>
            <w:noWrap/>
          </w:tcPr>
          <w:p w14:paraId="49720C51"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20 foot windspeed that is expected to maintain an active crown fire, estimated from </w:t>
            </w:r>
            <w:proofErr w:type="gramStart"/>
            <w:r>
              <w:rPr>
                <w:rFonts w:ascii="Times New Roman" w:hAnsi="Times New Roman" w:cs="Times New Roman"/>
                <w:sz w:val="20"/>
                <w:szCs w:val="20"/>
              </w:rPr>
              <w:t>fuel</w:t>
            </w:r>
            <w:proofErr w:type="gramEnd"/>
            <w:r>
              <w:rPr>
                <w:rFonts w:ascii="Times New Roman" w:hAnsi="Times New Roman" w:cs="Times New Roman"/>
                <w:sz w:val="20"/>
                <w:szCs w:val="20"/>
              </w:rPr>
              <w:t xml:space="preserve"> and stand structure data using FVS-FFE program version 3431, with 80% percentile weather and fuel moisture parameters for June 15 – September 15 of 2002-2017, determined from Fire Family Plus.  Potential range 0-infinity.</w:t>
            </w:r>
          </w:p>
        </w:tc>
      </w:tr>
      <w:tr w:rsidR="00726C16" w:rsidRPr="005C4BA7" w14:paraId="133DC3D5" w14:textId="77777777" w:rsidTr="00AF35BB">
        <w:trPr>
          <w:trHeight w:val="288"/>
        </w:trPr>
        <w:tc>
          <w:tcPr>
            <w:tcW w:w="1971" w:type="dxa"/>
            <w:noWrap/>
          </w:tcPr>
          <w:p w14:paraId="78432CD7"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density_mortality</w:t>
            </w:r>
            <w:proofErr w:type="spellEnd"/>
          </w:p>
        </w:tc>
        <w:tc>
          <w:tcPr>
            <w:tcW w:w="2614" w:type="dxa"/>
            <w:noWrap/>
          </w:tcPr>
          <w:p w14:paraId="441C2D6A"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Percent</w:t>
            </w:r>
          </w:p>
        </w:tc>
        <w:tc>
          <w:tcPr>
            <w:tcW w:w="4765" w:type="dxa"/>
            <w:noWrap/>
          </w:tcPr>
          <w:p w14:paraId="08071859"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Percentage of tree stems that would die in a simulated wildfire, estimated using FOFEM version 6.7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{"citationItems":[{"id":"ITEM-1","itemData":{"DOI":"10.2737/INT-GTR-344","abstract":"AEirst Qrder Eire Effects Model (FOFEM) was developed to predict the direct consequences of prescribed fire and wildfire. FOFEM was designed for application to most areas of the United States. First order fire effects are the immediate or direct results of a fire. FOFEM computes duff and woody fuel consumption, mineral soil exposure, fire-caused tree mortality, and smoke production for many forest and rangeland ecosystems. Quantitative results from many fire effects studies were summarized for inclusion into the model. FOFEM contains a fire effects calculator to predict the effects of a fire from the burning conditions, and a prescribed fire planner to compute the burn conditions necessary to achieve a desired effect. Default input values are derived from fuel models provided for natural and activity fuels by many forest cover types. The model is implemented in a computer program available for use on a PC or Data General computer. The use of trade or firm names in this publication is for reader information and does not imply endorsement by the US. Department of Agriculture of any product or service. To obtain a current version of the FOFEM software, contact the authors at the lntermountain Fire Sciences Lab, (406) 329-4800, or P.O. Box 8089, Missoula, MT 59807. You may order additional copies of this publication by sending your mailing information in label form through one of the following media. Please specify the publication title and General Technical Report number. Telephone (801) 625-5437 DG message Pubs:S22A FAX (801) 625-5129, Attn: Publications","author":[{"dropping-particle":"","family":"Reinhardt","given":"Elizabeth D.","non-dropping-particle":"","parse-names":false,"suffix":""},{"dropping-particle":"","family":"Keane","given":"Robert E.","non-dropping-particle":"","parse-names":false,"suffix":""},{"dropping-particle":"","family":"Brown","given":"James K.","non-dropping-particle":"","parse-names":false,"suffix":""}],"container-title":"Gen. Tech. Rep. INT-GTR-344. Ogden, UT: U.S. Department of Agriculture, Forest Service, Intermountain Research Station. 65 p.","id":"ITEM-1","issued":{"date-parts":[["1997"]]},"title":"First Order Fire Effects Model: FOFEM 4.0, user's guide","type":"article-journal","volume":"344"},"uris":["http://www.mendeley.com/documents/?uuid=2df6302f-f6c9-322d-9079-2d3eafb74eef"]}],"mendeley":{"formattedCitation":"(Reinhardt et al. 1997)","plainTextFormattedCitation":"(Reinhardt et al. 1997)","previouslyFormattedCitation":"(Reinhardt et al. 1997)"},"properties":{"noteIndex":0},"schema":"https://github.com/citation-style-language/schema/raw/master/csl-citation.json"}</w:instrText>
            </w:r>
            <w:r>
              <w:rPr>
                <w:rFonts w:ascii="Times New Roman" w:hAnsi="Times New Roman" w:cs="Times New Roman"/>
                <w:sz w:val="20"/>
                <w:szCs w:val="20"/>
              </w:rPr>
              <w:fldChar w:fldCharType="separate"/>
            </w:r>
            <w:r w:rsidRPr="009A553A">
              <w:rPr>
                <w:rFonts w:ascii="Times New Roman" w:hAnsi="Times New Roman" w:cs="Times New Roman"/>
                <w:noProof/>
                <w:sz w:val="20"/>
                <w:szCs w:val="20"/>
              </w:rPr>
              <w:t>(Reinhardt et al. 1997)</w:t>
            </w:r>
            <w:r>
              <w:rPr>
                <w:rFonts w:ascii="Times New Roman" w:hAnsi="Times New Roman" w:cs="Times New Roman"/>
                <w:sz w:val="20"/>
                <w:szCs w:val="20"/>
              </w:rPr>
              <w:fldChar w:fldCharType="end"/>
            </w:r>
            <w:r>
              <w:rPr>
                <w:rFonts w:ascii="Times New Roman" w:hAnsi="Times New Roman" w:cs="Times New Roman"/>
                <w:sz w:val="20"/>
                <w:szCs w:val="20"/>
              </w:rPr>
              <w:t xml:space="preserve"> with stand structural data and FVS-FFE 3431 modelled surface flame.  Potential range 0-100.</w:t>
            </w:r>
          </w:p>
        </w:tc>
      </w:tr>
      <w:tr w:rsidR="00726C16" w:rsidRPr="005C4BA7" w14:paraId="6B1088A8" w14:textId="77777777" w:rsidTr="00AF35BB">
        <w:trPr>
          <w:trHeight w:val="288"/>
        </w:trPr>
        <w:tc>
          <w:tcPr>
            <w:tcW w:w="1971" w:type="dxa"/>
            <w:noWrap/>
          </w:tcPr>
          <w:p w14:paraId="438E9061"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basal_area_mortality</w:t>
            </w:r>
            <w:proofErr w:type="spellEnd"/>
          </w:p>
        </w:tc>
        <w:tc>
          <w:tcPr>
            <w:tcW w:w="2614" w:type="dxa"/>
            <w:noWrap/>
          </w:tcPr>
          <w:p w14:paraId="4F45B673"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Percent</w:t>
            </w:r>
          </w:p>
        </w:tc>
        <w:tc>
          <w:tcPr>
            <w:tcW w:w="4765" w:type="dxa"/>
            <w:noWrap/>
          </w:tcPr>
          <w:p w14:paraId="4075321E"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Percentage of basal area that would die in a simulated wildfire, estimated using FOFEM version 6.7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{"citationItems":[{"id":"ITEM-1","itemData":{"DOI":"10.2737/INT-GTR-344","abstract":"AEirst Qrder Eire Effects Model (FOFEM) was developed to predict the direct consequences of prescribed fire and wildfire. FOFEM was designed for application to most areas of the United States. First order fire effects are the immediate or direct results of a fire. FOFEM computes duff and woody fuel consumption, mineral soil exposure, fire-caused tree mortality, and smoke production for many forest and rangeland ecosystems. Quantitative results from many fire effects studies were summarized for inclusion into the model. FOFEM contains a fire effects calculator to predict the effects of a fire from the burning conditions, and a prescribed fire planner to compute the burn conditions necessary to achieve a desired effect. Default input values are derived from fuel models provided for natural and activity fuels by many forest cover types. The model is implemented in a computer program available for use on a PC or Data General computer. The use of trade or firm names in this publication is for reader information and does not imply endorsement by the US. Department of Agriculture of any product or service. To obtain a current version of the FOFEM software, contact the authors at the lntermountain Fire Sciences Lab, (406) 329-4800, or P.O. Box 8089, Missoula, MT 59807. You may order additional copies of this publication by sending your mailing information in label form through one of the following media. Please specify the publication title and General Technical Report number. Telephone (801) 625-5437 DG message Pubs:S22A FAX (801) 625-5129, Attn: Publications","author":[{"dropping-particle":"","family":"Reinhardt","given":"Elizabeth D.","non-dropping-particle":"","parse-names":false,"suffix":""},{"dropping-particle":"","family":"Keane","given":"Robert E.","non-dropping-particle":"","parse-names":false,"suffix":""},{"dropping-particle":"","family":"Brown","given":"James K.","non-dropping-particle":"","parse-names":false,"suffix":""}],"container-title":"Gen. Tech. Rep. INT-GTR-344. Ogden, UT: U.S. Department of Agriculture, Forest Service, Intermountain Research Station. 65 p.","id":"ITEM-1","issued":{"date-parts":[["1997"]]},"title":"First Order Fire Effects Model: FOFEM 4.0, user's guide","type":"article-journal","volume":"344"},"uris":["http://www.mendeley.com/documents/?uuid=2df6302f-f6c9-322d-9079-2d3eafb74eef"]}],"mendeley":{"formattedCitation":"(Reinhardt et al. 1997)","plainTextFormattedCitation":"(Reinhardt et al. 1997)","previouslyFormattedCitation":"(Reinhardt et al. 1997)"},"properties":{"noteIndex":0},"schema":"https://github.com/citation-style-language/schema/raw/master/csl-citation.json"}</w:instrText>
            </w:r>
            <w:r>
              <w:rPr>
                <w:rFonts w:ascii="Times New Roman" w:hAnsi="Times New Roman" w:cs="Times New Roman"/>
                <w:sz w:val="20"/>
                <w:szCs w:val="20"/>
              </w:rPr>
              <w:fldChar w:fldCharType="separate"/>
            </w:r>
            <w:r w:rsidRPr="009A553A">
              <w:rPr>
                <w:rFonts w:ascii="Times New Roman" w:hAnsi="Times New Roman" w:cs="Times New Roman"/>
                <w:noProof/>
                <w:sz w:val="20"/>
                <w:szCs w:val="20"/>
              </w:rPr>
              <w:t>(Reinhardt et al. 1997)</w:t>
            </w:r>
            <w:r>
              <w:rPr>
                <w:rFonts w:ascii="Times New Roman" w:hAnsi="Times New Roman" w:cs="Times New Roman"/>
                <w:sz w:val="20"/>
                <w:szCs w:val="20"/>
              </w:rPr>
              <w:fldChar w:fldCharType="end"/>
            </w:r>
            <w:r>
              <w:rPr>
                <w:rFonts w:ascii="Times New Roman" w:hAnsi="Times New Roman" w:cs="Times New Roman"/>
                <w:sz w:val="20"/>
                <w:szCs w:val="20"/>
              </w:rPr>
              <w:t xml:space="preserve"> with stand structural data and FVS-FFE 3431 modelled surface flame.  Potential range 0-100.</w:t>
            </w:r>
          </w:p>
        </w:tc>
      </w:tr>
    </w:tbl>
    <w:p w14:paraId="7457741D" w14:textId="77777777" w:rsidR="00726C16" w:rsidRDefault="00726C16" w:rsidP="00726C16">
      <w:pPr>
        <w:spacing w:after="0"/>
        <w:rPr>
          <w:rFonts w:ascii="Times New Roman" w:hAnsi="Times New Roman" w:cs="Times New Roman"/>
          <w:sz w:val="24"/>
          <w:szCs w:val="24"/>
        </w:rPr>
      </w:pPr>
    </w:p>
    <w:p w14:paraId="5A0E69B4"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sz w:val="24"/>
          <w:szCs w:val="24"/>
        </w:rPr>
        <w:t xml:space="preserve">The following predictor variables were not used in 502 analyses, but I’ve included metadata on them here, because they are contained within the mission_master_widest.csv data. </w:t>
      </w:r>
    </w:p>
    <w:p w14:paraId="75FA1141" w14:textId="77777777" w:rsidR="00726C16" w:rsidRDefault="00726C16" w:rsidP="00726C16">
      <w:pPr>
        <w:spacing w:after="0"/>
        <w:rPr>
          <w:rFonts w:ascii="Times New Roman" w:hAnsi="Times New Roman" w:cs="Times New Roman"/>
          <w:sz w:val="24"/>
          <w:szCs w:val="24"/>
        </w:rPr>
      </w:pPr>
    </w:p>
    <w:p w14:paraId="1574D5EA" w14:textId="77777777" w:rsidR="00726C16" w:rsidRDefault="00726C16" w:rsidP="00726C16">
      <w:pPr>
        <w:spacing w:after="0"/>
        <w:rPr>
          <w:rFonts w:ascii="Times New Roman" w:hAnsi="Times New Roman" w:cs="Times New Roman"/>
          <w:i/>
          <w:iCs/>
          <w:sz w:val="24"/>
          <w:szCs w:val="24"/>
        </w:rPr>
      </w:pPr>
    </w:p>
    <w:p w14:paraId="0CE6E8C8" w14:textId="77777777" w:rsidR="00726C16" w:rsidRDefault="00726C16" w:rsidP="00726C16">
      <w:pPr>
        <w:spacing w:after="0"/>
        <w:rPr>
          <w:rFonts w:ascii="Times New Roman" w:hAnsi="Times New Roman" w:cs="Times New Roman"/>
          <w:i/>
          <w:iCs/>
          <w:sz w:val="24"/>
          <w:szCs w:val="24"/>
        </w:rPr>
      </w:pPr>
    </w:p>
    <w:p w14:paraId="182ED07B" w14:textId="632B3D98" w:rsidR="00726C16" w:rsidRPr="008D1392" w:rsidRDefault="00726C16" w:rsidP="00726C16">
      <w:pPr>
        <w:spacing w:after="0"/>
        <w:rPr>
          <w:rFonts w:ascii="Times New Roman" w:hAnsi="Times New Roman" w:cs="Times New Roman"/>
          <w:i/>
          <w:iCs/>
          <w:sz w:val="24"/>
          <w:szCs w:val="24"/>
        </w:rPr>
      </w:pPr>
      <w:r>
        <w:rPr>
          <w:rFonts w:ascii="Times New Roman" w:hAnsi="Times New Roman" w:cs="Times New Roman"/>
          <w:i/>
          <w:iCs/>
          <w:sz w:val="24"/>
          <w:szCs w:val="24"/>
        </w:rPr>
        <w:lastRenderedPageBreak/>
        <w:t>Predictor variable metadata</w:t>
      </w:r>
    </w:p>
    <w:p w14:paraId="5700B11C" w14:textId="77777777" w:rsidR="00726C16" w:rsidRDefault="00726C16" w:rsidP="00726C16">
      <w:pPr>
        <w:spacing w:after="0"/>
        <w:rPr>
          <w:rFonts w:ascii="Times New Roman" w:hAnsi="Times New Roman" w:cs="Times New Roman"/>
          <w:sz w:val="24"/>
          <w:szCs w:val="24"/>
        </w:rPr>
      </w:pPr>
    </w:p>
    <w:tbl>
      <w:tblPr>
        <w:tblStyle w:val="TableGrid"/>
        <w:tblW w:w="954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68"/>
        <w:gridCol w:w="2073"/>
        <w:gridCol w:w="5635"/>
      </w:tblGrid>
      <w:tr w:rsidR="00726C16" w14:paraId="44687A01" w14:textId="77777777" w:rsidTr="00AF35BB">
        <w:trPr>
          <w:trHeight w:val="288"/>
        </w:trPr>
        <w:tc>
          <w:tcPr>
            <w:tcW w:w="1906" w:type="dxa"/>
            <w:tcBorders>
              <w:top w:val="nil"/>
              <w:left w:val="nil"/>
              <w:bottom w:val="single" w:sz="4" w:space="0" w:color="auto"/>
              <w:right w:val="nil"/>
            </w:tcBorders>
            <w:noWrap/>
            <w:hideMark/>
          </w:tcPr>
          <w:p w14:paraId="50976260" w14:textId="77777777" w:rsidR="00726C16" w:rsidRDefault="00726C16" w:rsidP="00AF35BB">
            <w:pPr>
              <w:rPr>
                <w:rFonts w:ascii="Times New Roman" w:hAnsi="Times New Roman" w:cs="Times New Roman"/>
                <w:b/>
                <w:bCs/>
                <w:sz w:val="20"/>
                <w:szCs w:val="20"/>
              </w:rPr>
            </w:pPr>
            <w:r>
              <w:rPr>
                <w:rFonts w:ascii="Times New Roman" w:hAnsi="Times New Roman" w:cs="Times New Roman"/>
                <w:b/>
                <w:bCs/>
                <w:sz w:val="20"/>
                <w:szCs w:val="20"/>
              </w:rPr>
              <w:t>column</w:t>
            </w:r>
          </w:p>
        </w:tc>
        <w:tc>
          <w:tcPr>
            <w:tcW w:w="1874" w:type="dxa"/>
            <w:tcBorders>
              <w:top w:val="nil"/>
              <w:left w:val="nil"/>
              <w:bottom w:val="single" w:sz="4" w:space="0" w:color="auto"/>
              <w:right w:val="nil"/>
            </w:tcBorders>
            <w:noWrap/>
            <w:hideMark/>
          </w:tcPr>
          <w:p w14:paraId="5AA5E998" w14:textId="77777777" w:rsidR="00726C16" w:rsidRDefault="00726C16" w:rsidP="00AF35BB">
            <w:pPr>
              <w:rPr>
                <w:rFonts w:ascii="Times New Roman" w:hAnsi="Times New Roman" w:cs="Times New Roman"/>
                <w:b/>
                <w:bCs/>
                <w:sz w:val="20"/>
                <w:szCs w:val="20"/>
              </w:rPr>
            </w:pPr>
            <w:r>
              <w:rPr>
                <w:rFonts w:ascii="Times New Roman" w:hAnsi="Times New Roman" w:cs="Times New Roman"/>
                <w:b/>
                <w:bCs/>
                <w:sz w:val="20"/>
                <w:szCs w:val="20"/>
              </w:rPr>
              <w:t>units</w:t>
            </w:r>
          </w:p>
        </w:tc>
        <w:tc>
          <w:tcPr>
            <w:tcW w:w="5760" w:type="dxa"/>
            <w:tcBorders>
              <w:top w:val="nil"/>
              <w:left w:val="nil"/>
              <w:bottom w:val="single" w:sz="4" w:space="0" w:color="auto"/>
              <w:right w:val="nil"/>
            </w:tcBorders>
            <w:noWrap/>
            <w:hideMark/>
          </w:tcPr>
          <w:p w14:paraId="29FF5B90" w14:textId="77777777" w:rsidR="00726C16" w:rsidRDefault="00726C16" w:rsidP="00AF35BB">
            <w:pPr>
              <w:rPr>
                <w:rFonts w:ascii="Times New Roman" w:hAnsi="Times New Roman" w:cs="Times New Roman"/>
                <w:b/>
                <w:bCs/>
                <w:sz w:val="20"/>
                <w:szCs w:val="20"/>
              </w:rPr>
            </w:pPr>
            <w:r>
              <w:rPr>
                <w:rFonts w:ascii="Times New Roman" w:hAnsi="Times New Roman" w:cs="Times New Roman"/>
                <w:b/>
                <w:bCs/>
                <w:sz w:val="20"/>
                <w:szCs w:val="20"/>
              </w:rPr>
              <w:t>explanation</w:t>
            </w:r>
          </w:p>
        </w:tc>
      </w:tr>
      <w:tr w:rsidR="00726C16" w14:paraId="4DFCB6E9" w14:textId="77777777" w:rsidTr="00AF35BB">
        <w:trPr>
          <w:trHeight w:val="288"/>
        </w:trPr>
        <w:tc>
          <w:tcPr>
            <w:tcW w:w="1906" w:type="dxa"/>
            <w:tcBorders>
              <w:top w:val="single" w:sz="4" w:space="0" w:color="auto"/>
              <w:left w:val="nil"/>
              <w:bottom w:val="single" w:sz="4" w:space="0" w:color="auto"/>
              <w:right w:val="nil"/>
            </w:tcBorders>
            <w:noWrap/>
            <w:hideMark/>
          </w:tcPr>
          <w:p w14:paraId="771D5845"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plot</w:t>
            </w:r>
          </w:p>
        </w:tc>
        <w:tc>
          <w:tcPr>
            <w:tcW w:w="1874" w:type="dxa"/>
            <w:tcBorders>
              <w:top w:val="single" w:sz="4" w:space="0" w:color="auto"/>
              <w:left w:val="nil"/>
              <w:bottom w:val="single" w:sz="4" w:space="0" w:color="auto"/>
              <w:right w:val="nil"/>
            </w:tcBorders>
            <w:noWrap/>
            <w:hideMark/>
          </w:tcPr>
          <w:p w14:paraId="3BD03C16"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categorical</w:t>
            </w:r>
          </w:p>
        </w:tc>
        <w:tc>
          <w:tcPr>
            <w:tcW w:w="5760" w:type="dxa"/>
            <w:tcBorders>
              <w:top w:val="single" w:sz="4" w:space="0" w:color="auto"/>
              <w:left w:val="nil"/>
              <w:bottom w:val="single" w:sz="4" w:space="0" w:color="auto"/>
              <w:right w:val="nil"/>
            </w:tcBorders>
            <w:noWrap/>
            <w:hideMark/>
          </w:tcPr>
          <w:p w14:paraId="3E9DFCEC"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S</w:t>
            </w:r>
            <w:r w:rsidRPr="005C4BA7">
              <w:rPr>
                <w:rFonts w:ascii="Times New Roman" w:hAnsi="Times New Roman" w:cs="Times New Roman"/>
                <w:sz w:val="20"/>
                <w:szCs w:val="20"/>
              </w:rPr>
              <w:t xml:space="preserve">ample plot the raw data were collected from, combined into the </w:t>
            </w:r>
            <w:proofErr w:type="spellStart"/>
            <w:r w:rsidRPr="005C4BA7">
              <w:rPr>
                <w:rFonts w:ascii="Times New Roman" w:hAnsi="Times New Roman" w:cs="Times New Roman"/>
                <w:sz w:val="20"/>
                <w:szCs w:val="20"/>
              </w:rPr>
              <w:t>unit</w:t>
            </w:r>
            <w:r>
              <w:rPr>
                <w:rFonts w:ascii="Times New Roman" w:hAnsi="Times New Roman" w:cs="Times New Roman"/>
                <w:sz w:val="20"/>
                <w:szCs w:val="20"/>
              </w:rPr>
              <w:t>name</w:t>
            </w:r>
            <w:r w:rsidRPr="005C4BA7">
              <w:rPr>
                <w:rFonts w:ascii="Times New Roman" w:hAnsi="Times New Roman" w:cs="Times New Roman"/>
                <w:sz w:val="20"/>
                <w:szCs w:val="20"/>
              </w:rPr>
              <w:t>_</w:t>
            </w:r>
            <w:r>
              <w:rPr>
                <w:rFonts w:ascii="Times New Roman" w:hAnsi="Times New Roman" w:cs="Times New Roman"/>
                <w:sz w:val="20"/>
                <w:szCs w:val="20"/>
              </w:rPr>
              <w:t>plot</w:t>
            </w:r>
            <w:r w:rsidRPr="005C4BA7">
              <w:rPr>
                <w:rFonts w:ascii="Times New Roman" w:hAnsi="Times New Roman" w:cs="Times New Roman"/>
                <w:sz w:val="20"/>
                <w:szCs w:val="20"/>
              </w:rPr>
              <w:t>number</w:t>
            </w:r>
            <w:proofErr w:type="spellEnd"/>
            <w:r w:rsidRPr="005C4BA7">
              <w:rPr>
                <w:rFonts w:ascii="Times New Roman" w:hAnsi="Times New Roman" w:cs="Times New Roman"/>
                <w:sz w:val="20"/>
                <w:szCs w:val="20"/>
              </w:rPr>
              <w:t xml:space="preserve"> format because plot n</w:t>
            </w:r>
            <w:r>
              <w:rPr>
                <w:rFonts w:ascii="Times New Roman" w:hAnsi="Times New Roman" w:cs="Times New Roman"/>
                <w:sz w:val="20"/>
                <w:szCs w:val="20"/>
              </w:rPr>
              <w:t>umbers</w:t>
            </w:r>
            <w:r w:rsidRPr="005C4BA7">
              <w:rPr>
                <w:rFonts w:ascii="Times New Roman" w:hAnsi="Times New Roman" w:cs="Times New Roman"/>
                <w:sz w:val="20"/>
                <w:szCs w:val="20"/>
              </w:rPr>
              <w:t xml:space="preserve"> duplicated across different replicate units</w:t>
            </w:r>
            <w:r>
              <w:rPr>
                <w:rFonts w:ascii="Times New Roman" w:hAnsi="Times New Roman" w:cs="Times New Roman"/>
                <w:sz w:val="20"/>
                <w:szCs w:val="20"/>
              </w:rPr>
              <w:t>.</w:t>
            </w:r>
          </w:p>
        </w:tc>
      </w:tr>
      <w:tr w:rsidR="00726C16" w14:paraId="2211F15A" w14:textId="77777777" w:rsidTr="00AF35BB">
        <w:trPr>
          <w:trHeight w:val="288"/>
        </w:trPr>
        <w:tc>
          <w:tcPr>
            <w:tcW w:w="1906" w:type="dxa"/>
            <w:tcBorders>
              <w:top w:val="single" w:sz="4" w:space="0" w:color="auto"/>
              <w:left w:val="nil"/>
              <w:bottom w:val="single" w:sz="4" w:space="0" w:color="auto"/>
              <w:right w:val="nil"/>
            </w:tcBorders>
            <w:noWrap/>
            <w:hideMark/>
          </w:tcPr>
          <w:p w14:paraId="7301E5ED"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elevation</w:t>
            </w:r>
          </w:p>
        </w:tc>
        <w:tc>
          <w:tcPr>
            <w:tcW w:w="1874" w:type="dxa"/>
            <w:tcBorders>
              <w:top w:val="single" w:sz="4" w:space="0" w:color="auto"/>
              <w:left w:val="nil"/>
              <w:bottom w:val="single" w:sz="4" w:space="0" w:color="auto"/>
              <w:right w:val="nil"/>
            </w:tcBorders>
            <w:noWrap/>
            <w:hideMark/>
          </w:tcPr>
          <w:p w14:paraId="2ADEBAC5"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meters</w:t>
            </w:r>
          </w:p>
        </w:tc>
        <w:tc>
          <w:tcPr>
            <w:tcW w:w="5760" w:type="dxa"/>
            <w:tcBorders>
              <w:top w:val="single" w:sz="4" w:space="0" w:color="auto"/>
              <w:left w:val="nil"/>
              <w:bottom w:val="single" w:sz="4" w:space="0" w:color="auto"/>
              <w:right w:val="nil"/>
            </w:tcBorders>
            <w:noWrap/>
            <w:hideMark/>
          </w:tcPr>
          <w:p w14:paraId="3DAFF334"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Elevation derived from a 10m resolution Digital Elevation Model.  Potential range 0-infinity.</w:t>
            </w:r>
          </w:p>
        </w:tc>
      </w:tr>
      <w:tr w:rsidR="00726C16" w14:paraId="74CD180A" w14:textId="77777777" w:rsidTr="00AF35BB">
        <w:trPr>
          <w:trHeight w:val="288"/>
        </w:trPr>
        <w:tc>
          <w:tcPr>
            <w:tcW w:w="1906" w:type="dxa"/>
            <w:tcBorders>
              <w:top w:val="single" w:sz="4" w:space="0" w:color="auto"/>
              <w:left w:val="nil"/>
              <w:bottom w:val="single" w:sz="4" w:space="0" w:color="auto"/>
              <w:right w:val="nil"/>
            </w:tcBorders>
            <w:noWrap/>
            <w:hideMark/>
          </w:tcPr>
          <w:p w14:paraId="2564CCE8"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slope_percent</w:t>
            </w:r>
            <w:proofErr w:type="spellEnd"/>
          </w:p>
        </w:tc>
        <w:tc>
          <w:tcPr>
            <w:tcW w:w="1874" w:type="dxa"/>
            <w:tcBorders>
              <w:top w:val="single" w:sz="4" w:space="0" w:color="auto"/>
              <w:left w:val="nil"/>
              <w:bottom w:val="single" w:sz="4" w:space="0" w:color="auto"/>
              <w:right w:val="nil"/>
            </w:tcBorders>
            <w:noWrap/>
            <w:hideMark/>
          </w:tcPr>
          <w:p w14:paraId="2715B780"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percent</w:t>
            </w:r>
          </w:p>
        </w:tc>
        <w:tc>
          <w:tcPr>
            <w:tcW w:w="5760" w:type="dxa"/>
            <w:tcBorders>
              <w:top w:val="single" w:sz="4" w:space="0" w:color="auto"/>
              <w:left w:val="nil"/>
              <w:bottom w:val="single" w:sz="4" w:space="0" w:color="auto"/>
              <w:right w:val="nil"/>
            </w:tcBorders>
            <w:noWrap/>
            <w:hideMark/>
          </w:tcPr>
          <w:p w14:paraId="072D6D77"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Slope angle derived from a 10m resolution Digital Elevation Model.  Potential range 0-infinity.</w:t>
            </w:r>
          </w:p>
        </w:tc>
      </w:tr>
      <w:tr w:rsidR="00726C16" w14:paraId="24B969A1" w14:textId="77777777" w:rsidTr="00AF35BB">
        <w:trPr>
          <w:trHeight w:val="288"/>
        </w:trPr>
        <w:tc>
          <w:tcPr>
            <w:tcW w:w="1906" w:type="dxa"/>
            <w:tcBorders>
              <w:top w:val="single" w:sz="4" w:space="0" w:color="auto"/>
              <w:left w:val="nil"/>
              <w:bottom w:val="single" w:sz="4" w:space="0" w:color="auto"/>
              <w:right w:val="nil"/>
            </w:tcBorders>
            <w:noWrap/>
            <w:hideMark/>
          </w:tcPr>
          <w:p w14:paraId="7B201F1B"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transformed_aspect</w:t>
            </w:r>
            <w:proofErr w:type="spellEnd"/>
          </w:p>
        </w:tc>
        <w:tc>
          <w:tcPr>
            <w:tcW w:w="1874" w:type="dxa"/>
            <w:tcBorders>
              <w:top w:val="single" w:sz="4" w:space="0" w:color="auto"/>
              <w:left w:val="nil"/>
              <w:bottom w:val="single" w:sz="4" w:space="0" w:color="auto"/>
              <w:right w:val="nil"/>
            </w:tcBorders>
            <w:noWrap/>
            <w:hideMark/>
          </w:tcPr>
          <w:p w14:paraId="1A56492B"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cosine</w:t>
            </w:r>
          </w:p>
        </w:tc>
        <w:tc>
          <w:tcPr>
            <w:tcW w:w="5760" w:type="dxa"/>
            <w:tcBorders>
              <w:top w:val="single" w:sz="4" w:space="0" w:color="auto"/>
              <w:left w:val="nil"/>
              <w:bottom w:val="single" w:sz="4" w:space="0" w:color="auto"/>
              <w:right w:val="nil"/>
            </w:tcBorders>
            <w:hideMark/>
          </w:tcPr>
          <w:p w14:paraId="7B41C1EC"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Aspect transformed using the equation (cos(45°– aspect) + 1)).  Equation from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{"citationItems":[{"id":"ITEM-1","itemData":{"DOI":"10.1093/jof/64.10.691","author":[{"dropping-particle":"","family":"Beers","given":"Thomas W.","non-dropping-particle":"","parse-names":false,"suffix":""},{"dropping-particle":"","family":"Dress","given":"Peter E.","non-dropping-particle":"","parse-names":false,"suffix":""},{"dropping-particle":"","family":"Wensel","given":"Lee C.","non-dropping-particle":"","parse-names":false,"suffix":""}],"container-title":"Journal of Forestry","id":"ITEM-1","issue":"10","issued":{"date-parts":[["1966","10","1"]]},"page":"691-692","publisher":"Oxford University Press","title":"Notes and Observations: Aspect Transformation in Site Productivity Research","type":"article-journal","volume":"64"},"uris":["http://www.mendeley.com/documents/?uuid=821f4259-5649-37a1-b767-fdac5b136727"]}],"mendeley":{"formattedCitation":"(Beers et al. 1966)","plainTextFormattedCitation":"(Beers et al. 1966)","previouslyFormattedCitation":"(Beers et al. 1966)"},"properties":{"noteIndex":0},"schema":"https://github.com/citation-style-language/schema/raw/master/csl-citation.json"}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(Beers et al. 1966)</w:t>
            </w:r>
            <w:r>
              <w:rPr>
                <w:rFonts w:ascii="Times New Roman" w:hAnsi="Times New Roman" w:cs="Times New Roman"/>
                <w:sz w:val="20"/>
                <w:szCs w:val="20"/>
              </w:rPr>
              <w:fldChar w:fldCharType="end"/>
            </w:r>
            <w:r>
              <w:rPr>
                <w:rFonts w:ascii="Times New Roman" w:hAnsi="Times New Roman" w:cs="Times New Roman"/>
                <w:sz w:val="20"/>
                <w:szCs w:val="20"/>
              </w:rPr>
              <w:t>.  Potential range 0-2.</w:t>
            </w:r>
          </w:p>
        </w:tc>
      </w:tr>
      <w:tr w:rsidR="00726C16" w14:paraId="171BA625" w14:textId="77777777" w:rsidTr="00AF35BB">
        <w:trPr>
          <w:trHeight w:val="288"/>
        </w:trPr>
        <w:tc>
          <w:tcPr>
            <w:tcW w:w="1906" w:type="dxa"/>
            <w:tcBorders>
              <w:top w:val="single" w:sz="4" w:space="0" w:color="auto"/>
              <w:left w:val="nil"/>
              <w:bottom w:val="single" w:sz="4" w:space="0" w:color="auto"/>
              <w:right w:val="nil"/>
            </w:tcBorders>
            <w:noWrap/>
            <w:hideMark/>
          </w:tcPr>
          <w:p w14:paraId="781618BB"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treatment</w:t>
            </w:r>
          </w:p>
        </w:tc>
        <w:tc>
          <w:tcPr>
            <w:tcW w:w="1874" w:type="dxa"/>
            <w:tcBorders>
              <w:top w:val="single" w:sz="4" w:space="0" w:color="auto"/>
              <w:left w:val="nil"/>
              <w:bottom w:val="single" w:sz="4" w:space="0" w:color="auto"/>
              <w:right w:val="nil"/>
            </w:tcBorders>
            <w:noWrap/>
            <w:hideMark/>
          </w:tcPr>
          <w:p w14:paraId="02BFB692"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experimental_treatment</w:t>
            </w:r>
            <w:proofErr w:type="spellEnd"/>
          </w:p>
        </w:tc>
        <w:tc>
          <w:tcPr>
            <w:tcW w:w="5760" w:type="dxa"/>
            <w:tcBorders>
              <w:top w:val="single" w:sz="4" w:space="0" w:color="auto"/>
              <w:left w:val="nil"/>
              <w:bottom w:val="single" w:sz="4" w:space="0" w:color="auto"/>
              <w:right w:val="nil"/>
            </w:tcBorders>
            <w:noWrap/>
            <w:hideMark/>
          </w:tcPr>
          <w:p w14:paraId="0FCBC39A"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One of four experimental treatments: control, burn, thin, or thin plus burn.  Also 'wildfire' for control units hit by a subsequent low severity wildfire.  See protocol for more detail. </w:t>
            </w:r>
          </w:p>
        </w:tc>
      </w:tr>
      <w:tr w:rsidR="00726C16" w14:paraId="5D58EE20" w14:textId="77777777" w:rsidTr="00AF35BB">
        <w:trPr>
          <w:trHeight w:val="288"/>
        </w:trPr>
        <w:tc>
          <w:tcPr>
            <w:tcW w:w="1906" w:type="dxa"/>
            <w:tcBorders>
              <w:top w:val="single" w:sz="4" w:space="0" w:color="auto"/>
              <w:left w:val="nil"/>
              <w:bottom w:val="single" w:sz="4" w:space="0" w:color="auto"/>
              <w:right w:val="nil"/>
            </w:tcBorders>
            <w:noWrap/>
            <w:hideMark/>
          </w:tcPr>
          <w:p w14:paraId="1AC19097"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unit</w:t>
            </w:r>
          </w:p>
        </w:tc>
        <w:tc>
          <w:tcPr>
            <w:tcW w:w="1874" w:type="dxa"/>
            <w:tcBorders>
              <w:top w:val="single" w:sz="4" w:space="0" w:color="auto"/>
              <w:left w:val="nil"/>
              <w:bottom w:val="single" w:sz="4" w:space="0" w:color="auto"/>
              <w:right w:val="nil"/>
            </w:tcBorders>
            <w:noWrap/>
            <w:hideMark/>
          </w:tcPr>
          <w:p w14:paraId="0ED4BEB6"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replicate_unit</w:t>
            </w:r>
            <w:proofErr w:type="spellEnd"/>
          </w:p>
        </w:tc>
        <w:tc>
          <w:tcPr>
            <w:tcW w:w="5760" w:type="dxa"/>
            <w:tcBorders>
              <w:top w:val="single" w:sz="4" w:space="0" w:color="auto"/>
              <w:left w:val="nil"/>
              <w:bottom w:val="single" w:sz="4" w:space="0" w:color="auto"/>
              <w:right w:val="nil"/>
            </w:tcBorders>
            <w:noWrap/>
            <w:hideMark/>
          </w:tcPr>
          <w:p w14:paraId="12A4F508"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One of 8 individual replicate units, each approximately 10 hectares in size, each with an experimental treatment applied.  See protocol for more detail. </w:t>
            </w:r>
          </w:p>
        </w:tc>
      </w:tr>
      <w:tr w:rsidR="00726C16" w14:paraId="3CCD5AEA" w14:textId="77777777" w:rsidTr="00AF35BB">
        <w:trPr>
          <w:trHeight w:val="288"/>
        </w:trPr>
        <w:tc>
          <w:tcPr>
            <w:tcW w:w="1906" w:type="dxa"/>
            <w:tcBorders>
              <w:top w:val="single" w:sz="4" w:space="0" w:color="auto"/>
              <w:left w:val="nil"/>
              <w:bottom w:val="single" w:sz="4" w:space="0" w:color="auto"/>
              <w:right w:val="nil"/>
            </w:tcBorders>
            <w:noWrap/>
            <w:hideMark/>
          </w:tcPr>
          <w:p w14:paraId="37B420A3"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topographic_wetness</w:t>
            </w:r>
            <w:proofErr w:type="spellEnd"/>
            <w:r>
              <w:rPr>
                <w:rFonts w:ascii="Times New Roman" w:hAnsi="Times New Roman" w:cs="Times New Roman"/>
                <w:sz w:val="20"/>
                <w:szCs w:val="20"/>
              </w:rPr>
              <w:t xml:space="preserve"> index</w:t>
            </w:r>
          </w:p>
        </w:tc>
        <w:tc>
          <w:tcPr>
            <w:tcW w:w="1874" w:type="dxa"/>
            <w:tcBorders>
              <w:top w:val="single" w:sz="4" w:space="0" w:color="auto"/>
              <w:left w:val="nil"/>
              <w:bottom w:val="single" w:sz="4" w:space="0" w:color="auto"/>
              <w:right w:val="nil"/>
            </w:tcBorders>
            <w:noWrap/>
            <w:hideMark/>
          </w:tcPr>
          <w:p w14:paraId="1454CCFB"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index</w:t>
            </w:r>
          </w:p>
        </w:tc>
        <w:tc>
          <w:tcPr>
            <w:tcW w:w="5760" w:type="dxa"/>
            <w:tcBorders>
              <w:top w:val="single" w:sz="4" w:space="0" w:color="auto"/>
              <w:left w:val="nil"/>
              <w:bottom w:val="single" w:sz="4" w:space="0" w:color="auto"/>
              <w:right w:val="nil"/>
            </w:tcBorders>
            <w:noWrap/>
            <w:hideMark/>
          </w:tcPr>
          <w:p w14:paraId="144882C4"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Topographic wetness index calculated from a </w:t>
            </w:r>
            <w:proofErr w:type="gramStart"/>
            <w:r>
              <w:rPr>
                <w:rFonts w:ascii="Times New Roman" w:hAnsi="Times New Roman" w:cs="Times New Roman"/>
                <w:sz w:val="20"/>
                <w:szCs w:val="20"/>
              </w:rPr>
              <w:t>10 meter</w:t>
            </w:r>
            <w:proofErr w:type="gramEnd"/>
            <w:r>
              <w:rPr>
                <w:rFonts w:ascii="Times New Roman" w:hAnsi="Times New Roman" w:cs="Times New Roman"/>
                <w:sz w:val="20"/>
                <w:szCs w:val="20"/>
              </w:rPr>
              <w:t xml:space="preserve"> digital elevation model using the RSAGA package in R.  Potential range 0-10.</w:t>
            </w:r>
          </w:p>
        </w:tc>
      </w:tr>
      <w:tr w:rsidR="00726C16" w14:paraId="05E9C2DE" w14:textId="77777777" w:rsidTr="00AF35BB">
        <w:trPr>
          <w:trHeight w:val="288"/>
        </w:trPr>
        <w:tc>
          <w:tcPr>
            <w:tcW w:w="1906" w:type="dxa"/>
            <w:tcBorders>
              <w:top w:val="single" w:sz="4" w:space="0" w:color="auto"/>
              <w:left w:val="nil"/>
              <w:bottom w:val="single" w:sz="4" w:space="0" w:color="auto"/>
              <w:right w:val="nil"/>
            </w:tcBorders>
            <w:noWrap/>
          </w:tcPr>
          <w:p w14:paraId="2D25A850"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heat load index</w:t>
            </w:r>
          </w:p>
        </w:tc>
        <w:tc>
          <w:tcPr>
            <w:tcW w:w="1874" w:type="dxa"/>
            <w:tcBorders>
              <w:top w:val="single" w:sz="4" w:space="0" w:color="auto"/>
              <w:left w:val="nil"/>
              <w:bottom w:val="single" w:sz="4" w:space="0" w:color="auto"/>
              <w:right w:val="nil"/>
            </w:tcBorders>
            <w:noWrap/>
          </w:tcPr>
          <w:p w14:paraId="18B6CEB8"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index</w:t>
            </w:r>
          </w:p>
        </w:tc>
        <w:tc>
          <w:tcPr>
            <w:tcW w:w="5760" w:type="dxa"/>
            <w:tcBorders>
              <w:top w:val="single" w:sz="4" w:space="0" w:color="auto"/>
              <w:left w:val="nil"/>
              <w:bottom w:val="single" w:sz="4" w:space="0" w:color="auto"/>
              <w:right w:val="nil"/>
            </w:tcBorders>
            <w:noWrap/>
          </w:tcPr>
          <w:p w14:paraId="38253186"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Heat load index calculated from 10-meter digital elevation model using the </w:t>
            </w:r>
            <w:proofErr w:type="spellStart"/>
            <w:r>
              <w:rPr>
                <w:rFonts w:ascii="Times New Roman" w:hAnsi="Times New Roman" w:cs="Times New Roman"/>
                <w:sz w:val="20"/>
                <w:szCs w:val="20"/>
              </w:rPr>
              <w:t>spatialEco</w:t>
            </w:r>
            <w:proofErr w:type="spellEnd"/>
            <w:r>
              <w:rPr>
                <w:rFonts w:ascii="Times New Roman" w:hAnsi="Times New Roman" w:cs="Times New Roman"/>
                <w:sz w:val="20"/>
                <w:szCs w:val="20"/>
              </w:rPr>
              <w:t xml:space="preserve"> package in R.  Potential range 0-1. </w:t>
            </w:r>
          </w:p>
        </w:tc>
      </w:tr>
      <w:tr w:rsidR="00726C16" w14:paraId="334E3B50" w14:textId="77777777" w:rsidTr="00AF35BB">
        <w:trPr>
          <w:trHeight w:val="288"/>
        </w:trPr>
        <w:tc>
          <w:tcPr>
            <w:tcW w:w="1906" w:type="dxa"/>
            <w:tcBorders>
              <w:top w:val="single" w:sz="4" w:space="0" w:color="auto"/>
              <w:left w:val="nil"/>
              <w:bottom w:val="single" w:sz="4" w:space="0" w:color="auto"/>
              <w:right w:val="nil"/>
            </w:tcBorders>
            <w:noWrap/>
            <w:hideMark/>
          </w:tcPr>
          <w:p w14:paraId="73E56250"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rdnbr</w:t>
            </w:r>
            <w:proofErr w:type="spellEnd"/>
          </w:p>
        </w:tc>
        <w:tc>
          <w:tcPr>
            <w:tcW w:w="1874" w:type="dxa"/>
            <w:tcBorders>
              <w:top w:val="single" w:sz="4" w:space="0" w:color="auto"/>
              <w:left w:val="nil"/>
              <w:bottom w:val="single" w:sz="4" w:space="0" w:color="auto"/>
              <w:right w:val="nil"/>
            </w:tcBorders>
            <w:noWrap/>
            <w:hideMark/>
          </w:tcPr>
          <w:p w14:paraId="41F98296"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index</w:t>
            </w:r>
          </w:p>
        </w:tc>
        <w:tc>
          <w:tcPr>
            <w:tcW w:w="5760" w:type="dxa"/>
            <w:tcBorders>
              <w:top w:val="single" w:sz="4" w:space="0" w:color="auto"/>
              <w:left w:val="nil"/>
              <w:bottom w:val="single" w:sz="4" w:space="0" w:color="auto"/>
              <w:right w:val="nil"/>
            </w:tcBorders>
            <w:noWrap/>
            <w:hideMark/>
          </w:tcPr>
          <w:p w14:paraId="1C138125"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Relativized normalized burn index, calculated without offsets using growing season image composites analysis in Google Earth Engine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{"citationItems":[{"id":"ITEM-1","itemData":{"DOI":"10.1016/J.RSE.2017.06.031","ISSN":"0034-4257","abstract":"Google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dropping-particle":"","family":"Gorelick","given":"Noel","non-dropping-particle":"","parse-names":false,"suffix":""},{"dropping-particle":"","family":"Hancher","given":"Matt","non-dropping-particle":"","parse-names":false,"suffix":""},{"dropping-particle":"","family":"Dixon","given":"Mike","non-dropping-particle":"","parse-names":false,"suffix":""},{"dropping-particle":"","family":"Ilyushchenko","given":"Simon","non-dropping-particle":"","parse-names":false,"suffix":""},{"dropping-particle":"","family":"Thau","given":"David","non-dropping-particle":"","parse-names":false,"suffix":""},{"dropping-particle":"","family":"Moore","given":"Rebecca","non-dropping-particle":"","parse-names":false,"suffix":""}],"container-title":"Remote Sensing of Environment","id":"ITEM-1","issued":{"date-parts":[["2017","12","1"]]},"page":"18-27","publisher":"Elsevier","title":"Google Earth Engine: Planetary-scale geospatial analysis for everyone","type":"article-journal","volume":"202"},"uris":["http://www.mendeley.com/documents/?uuid=6a3eeb12-a260-3a00-99ee-4fdc8cb8a82d"]}],"mendeley":{"formattedCitation":"(Gorelick et al. 2017)","plainTextFormattedCitation":"(Gorelick et al. 2017)","previouslyFormattedCitation":"(Gorelick et al. 2017)"},"properties":{"noteIndex":0},"schema":"https://github.com/citation-style-language/schema/raw/master/csl-citation.json"}</w:instrText>
            </w:r>
            <w:r>
              <w:rPr>
                <w:rFonts w:ascii="Times New Roman" w:hAnsi="Times New Roman" w:cs="Times New Roman"/>
                <w:sz w:val="20"/>
                <w:szCs w:val="20"/>
              </w:rPr>
              <w:fldChar w:fldCharType="separate"/>
            </w:r>
            <w:r w:rsidRPr="00857715">
              <w:rPr>
                <w:rFonts w:ascii="Times New Roman" w:hAnsi="Times New Roman" w:cs="Times New Roman"/>
                <w:noProof/>
                <w:sz w:val="20"/>
                <w:szCs w:val="20"/>
              </w:rPr>
              <w:t>(Gorelick et al. 2017)</w:t>
            </w:r>
            <w:r>
              <w:rPr>
                <w:rFonts w:ascii="Times New Roman" w:hAnsi="Times New Roman" w:cs="Times New Roman"/>
                <w:sz w:val="20"/>
                <w:szCs w:val="20"/>
              </w:rPr>
              <w:fldChar w:fldCharType="end"/>
            </w:r>
            <w:r>
              <w:rPr>
                <w:rFonts w:ascii="Times New Roman" w:hAnsi="Times New Roman" w:cs="Times New Roman"/>
                <w:sz w:val="20"/>
                <w:szCs w:val="20"/>
              </w:rPr>
              <w:t xml:space="preserve"> with code from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{"citationItems":[{"id":"ITEM-1","itemData":{"DOI":"10.3390/RS10060879","ISSN":"2072-4292","abstract":"Landsat-based fire severity datasets are an invaluable resource for monitoring and research purposes. These gridded fire severity datasets are generally produced with pre- and post-fire imagery to estimate the degree of fire-induced ecological change. Here, we introduce methods to produce three Landsat-based fire severity metrics using the Google Earth Engine (GEE) platform: The delta normalized burn ratio (dNBR), the relativized delta normalized burn ratio (RdNBR), and the relativized burn ratio (RBR). Our methods do not rely on time-consuming a priori scene selection but instead use a mean compositing approach in which all valid pixels (e.g., cloud-free) over a pre-specified date range (pre- and post-fire) are stacked and the mean value for each pixel over each stack is used to produce the resulting fire severity datasets. This approach demonstrates that fire severity datasets can be produced with relative ease and speed compared to the standard approach in which one pre-fire and one post-fire scene are judiciously identified and used to produce fire severity datasets. We also validate the GEE-derived fire severity metrics using field-based fire severity plots for 18 fires in the western United States. These validations are compared to Landsat-based fire severity datasets produced using only one pre- and post-fire scene, which has been the standard approach in producing such datasets since their inception. Results indicate that the GEE-derived fire severity datasets generally show improved validation statistics compared to parallel versions in which only one pre-fire and one post-fire scene are used, though some of the improvements in some validations are more or less negligible. We provide code and a sample geospatial fire history layer to produce dNBR, RdNBR, and RBR for the 18 fires we evaluated. Although our approach requires that a geospatial fire history layer (i.e., fire perimeters) be produced independently and prior to applying our methods, we suggest that our GEE methodology can reasonably be implemented on hundreds to thousands of fires, thereby increasing opportunities for fire severity monitoring and research across the globe.","author":[{"dropping-particle":"","family":"Parks","given":"Sean A.","non-dropping-particle":"","parse-names":false,"suffix":""},{"dropping-particle":"","family":"Holsinger","given":"Lisa M.","non-dropping-particle":"","parse-names":false,"suffix":""},{"dropping-particle":"","family":"Voss","given":"Morgan A.","non-dropping-particle":"","parse-names":false,"suffix":""},{"dropping-particle":"","family":"Loehman","given":"Rachel A.","non-dropping-particle":"","parse-names":false,"suffix":""},{"dropping-particle":"","family":"Robinson","given":"Nathaniel P.","non-dropping-particle":"","parse-names":false,"suffix":""}],"container-title":"Remote Sensing 2018, Vol. 10, Page 879","id":"ITEM-1","issue":"6","issued":{"date-parts":[["2018","6","5"]]},"page":"879","publisher":"Multidisciplinary Digital Publishing Institute","title":"Mean Composite Fire Severity Metrics Computed with Google Earth Engine Offer Improved Accuracy and Expanded Mapping Potential","type":"article-journal","volume":"10"},"uris":["http://www.mendeley.com/documents/?uuid=8f98592f-f124-3e80-9d9e-601d8173f3d5"]}],"mendeley":{"formattedCitation":"(Parks et al. 2018)","plainTextFormattedCitation":"(Parks et al. 2018)","previouslyFormattedCitation":"(Parks et al. 2018)"},"properties":{"noteIndex":0},"schema":"https://github.com/citation-style-language/schema/raw/master/csl-citation.json"}</w:instrText>
            </w:r>
            <w:r>
              <w:rPr>
                <w:rFonts w:ascii="Times New Roman" w:hAnsi="Times New Roman" w:cs="Times New Roman"/>
                <w:sz w:val="20"/>
                <w:szCs w:val="20"/>
              </w:rPr>
              <w:fldChar w:fldCharType="separate"/>
            </w:r>
            <w:r w:rsidRPr="00785311">
              <w:rPr>
                <w:rFonts w:ascii="Times New Roman" w:hAnsi="Times New Roman" w:cs="Times New Roman"/>
                <w:noProof/>
                <w:sz w:val="20"/>
                <w:szCs w:val="20"/>
              </w:rPr>
              <w:t>(Parks et al. 2018)</w:t>
            </w:r>
            <w:r>
              <w:rPr>
                <w:rFonts w:ascii="Times New Roman" w:hAnsi="Times New Roman" w:cs="Times New Roman"/>
                <w:sz w:val="20"/>
                <w:szCs w:val="20"/>
              </w:rPr>
              <w:fldChar w:fldCharType="end"/>
            </w:r>
            <w:r>
              <w:rPr>
                <w:rFonts w:ascii="Times New Roman" w:hAnsi="Times New Roman" w:cs="Times New Roman"/>
                <w:sz w:val="20"/>
                <w:szCs w:val="20"/>
              </w:rPr>
              <w:t>, updated in 2021 to resolve a mistake found in the original code.  Potential range -infinity-infinity.</w:t>
            </w:r>
          </w:p>
        </w:tc>
      </w:tr>
      <w:tr w:rsidR="00726C16" w14:paraId="4475262A" w14:textId="77777777" w:rsidTr="00AF35BB">
        <w:trPr>
          <w:trHeight w:val="288"/>
        </w:trPr>
        <w:tc>
          <w:tcPr>
            <w:tcW w:w="1906" w:type="dxa"/>
            <w:tcBorders>
              <w:top w:val="single" w:sz="4" w:space="0" w:color="auto"/>
              <w:left w:val="nil"/>
              <w:bottom w:val="nil"/>
              <w:right w:val="nil"/>
            </w:tcBorders>
            <w:noWrap/>
            <w:hideMark/>
          </w:tcPr>
          <w:p w14:paraId="5B4641DB" w14:textId="77777777" w:rsidR="00726C16" w:rsidRDefault="00726C16" w:rsidP="00AF35BB">
            <w:pPr>
              <w:rPr>
                <w:rFonts w:ascii="Times New Roman" w:hAnsi="Times New Roman" w:cs="Times New Roman"/>
                <w:sz w:val="20"/>
                <w:szCs w:val="20"/>
              </w:rPr>
            </w:pPr>
            <w:proofErr w:type="spellStart"/>
            <w:r>
              <w:rPr>
                <w:rFonts w:ascii="Times New Roman" w:hAnsi="Times New Roman" w:cs="Times New Roman"/>
                <w:sz w:val="20"/>
                <w:szCs w:val="20"/>
              </w:rPr>
              <w:t>thinning_intensity</w:t>
            </w:r>
            <w:proofErr w:type="spellEnd"/>
          </w:p>
        </w:tc>
        <w:tc>
          <w:tcPr>
            <w:tcW w:w="1874" w:type="dxa"/>
            <w:tcBorders>
              <w:top w:val="single" w:sz="4" w:space="0" w:color="auto"/>
              <w:left w:val="nil"/>
              <w:bottom w:val="nil"/>
              <w:right w:val="nil"/>
            </w:tcBorders>
            <w:noWrap/>
            <w:hideMark/>
          </w:tcPr>
          <w:p w14:paraId="31594793"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index</w:t>
            </w:r>
          </w:p>
        </w:tc>
        <w:tc>
          <w:tcPr>
            <w:tcW w:w="5760" w:type="dxa"/>
            <w:tcBorders>
              <w:top w:val="single" w:sz="4" w:space="0" w:color="auto"/>
              <w:left w:val="nil"/>
              <w:bottom w:val="nil"/>
              <w:right w:val="nil"/>
            </w:tcBorders>
            <w:noWrap/>
            <w:hideMark/>
          </w:tcPr>
          <w:p w14:paraId="491BA426" w14:textId="77777777" w:rsidR="00726C16" w:rsidRDefault="00726C16" w:rsidP="00AF35BB">
            <w:pPr>
              <w:rPr>
                <w:rFonts w:ascii="Times New Roman" w:hAnsi="Times New Roman" w:cs="Times New Roman"/>
                <w:sz w:val="20"/>
                <w:szCs w:val="20"/>
              </w:rPr>
            </w:pPr>
            <w:r>
              <w:rPr>
                <w:rFonts w:ascii="Times New Roman" w:hAnsi="Times New Roman" w:cs="Times New Roman"/>
                <w:sz w:val="20"/>
                <w:szCs w:val="20"/>
              </w:rPr>
              <w:t xml:space="preserve">Average of relativized change in basal area and relativized change in live canopy cover from pretreatment to </w:t>
            </w:r>
            <w:proofErr w:type="spellStart"/>
            <w:r>
              <w:rPr>
                <w:rFonts w:ascii="Times New Roman" w:hAnsi="Times New Roman" w:cs="Times New Roman"/>
                <w:sz w:val="20"/>
                <w:szCs w:val="20"/>
              </w:rPr>
              <w:t>longterm</w:t>
            </w:r>
            <w:proofErr w:type="spellEnd"/>
            <w:r>
              <w:rPr>
                <w:rFonts w:ascii="Times New Roman" w:hAnsi="Times New Roman" w:cs="Times New Roman"/>
                <w:sz w:val="20"/>
                <w:szCs w:val="20"/>
              </w:rPr>
              <w:t xml:space="preserve"> sample periods, with relativization by maximum.  Potential range 0-1. </w:t>
            </w:r>
          </w:p>
        </w:tc>
      </w:tr>
    </w:tbl>
    <w:p w14:paraId="5D45E35C" w14:textId="77777777" w:rsidR="00726C16" w:rsidRDefault="00726C16" w:rsidP="00726C16">
      <w:pPr>
        <w:spacing w:after="0"/>
        <w:rPr>
          <w:rFonts w:ascii="Times New Roman" w:hAnsi="Times New Roman" w:cs="Times New Roman"/>
          <w:sz w:val="24"/>
          <w:szCs w:val="24"/>
        </w:rPr>
      </w:pPr>
    </w:p>
    <w:p w14:paraId="5D3032E9" w14:textId="77777777" w:rsidR="00726C16" w:rsidRDefault="00726C16" w:rsidP="00726C16">
      <w:pPr>
        <w:spacing w:after="0"/>
        <w:rPr>
          <w:rFonts w:ascii="Times New Roman" w:hAnsi="Times New Roman" w:cs="Times New Roman"/>
          <w:sz w:val="24"/>
          <w:szCs w:val="24"/>
        </w:rPr>
      </w:pPr>
    </w:p>
    <w:p w14:paraId="1D1E0377" w14:textId="77777777" w:rsidR="00726C16" w:rsidRDefault="00726C16" w:rsidP="00726C16">
      <w:pPr>
        <w:spacing w:after="0"/>
        <w:rPr>
          <w:rFonts w:ascii="Times New Roman" w:hAnsi="Times New Roman" w:cs="Times New Roman"/>
          <w:b/>
          <w:bCs/>
          <w:sz w:val="24"/>
          <w:szCs w:val="24"/>
        </w:rPr>
      </w:pPr>
      <w:r>
        <w:rPr>
          <w:rFonts w:ascii="Times New Roman" w:hAnsi="Times New Roman" w:cs="Times New Roman"/>
          <w:b/>
          <w:bCs/>
          <w:sz w:val="24"/>
          <w:szCs w:val="24"/>
        </w:rPr>
        <w:t>Acknowledgements</w:t>
      </w:r>
    </w:p>
    <w:p w14:paraId="2377B882" w14:textId="77777777" w:rsidR="00726C16" w:rsidRDefault="00726C16" w:rsidP="00726C16">
      <w:pPr>
        <w:spacing w:after="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Jim Agee, Reese Lolley, Dave W. Peterson, Brian </w:t>
      </w:r>
      <w:proofErr w:type="gramStart"/>
      <w:r>
        <w:rPr>
          <w:rFonts w:ascii="Times New Roman" w:hAnsi="Times New Roman" w:cs="Times New Roman"/>
          <w:sz w:val="24"/>
          <w:szCs w:val="24"/>
        </w:rPr>
        <w:t>Harvey</w:t>
      </w:r>
      <w:proofErr w:type="gramEnd"/>
      <w:r>
        <w:rPr>
          <w:rFonts w:ascii="Times New Roman" w:hAnsi="Times New Roman" w:cs="Times New Roman"/>
          <w:sz w:val="24"/>
          <w:szCs w:val="24"/>
        </w:rPr>
        <w:t xml:space="preserve"> and Jon Bakker have helped with compiling information from earlier phases of the study.  Madison Laughlin, Jenna Morris, Michele </w:t>
      </w:r>
      <w:proofErr w:type="spellStart"/>
      <w:r>
        <w:rPr>
          <w:rFonts w:ascii="Times New Roman" w:hAnsi="Times New Roman" w:cs="Times New Roman"/>
          <w:sz w:val="24"/>
          <w:szCs w:val="24"/>
        </w:rPr>
        <w:t>Buonanduci</w:t>
      </w:r>
      <w:proofErr w:type="spellEnd"/>
      <w:r>
        <w:rPr>
          <w:rFonts w:ascii="Times New Roman" w:hAnsi="Times New Roman" w:cs="Times New Roman"/>
          <w:sz w:val="24"/>
          <w:szCs w:val="24"/>
        </w:rPr>
        <w:t xml:space="preserve">, Hannah Wilson, Michael </w:t>
      </w:r>
      <w:proofErr w:type="spellStart"/>
      <w:r>
        <w:rPr>
          <w:rFonts w:ascii="Times New Roman" w:hAnsi="Times New Roman" w:cs="Times New Roman"/>
          <w:sz w:val="24"/>
          <w:szCs w:val="24"/>
        </w:rPr>
        <w:t>McNorvell</w:t>
      </w:r>
      <w:proofErr w:type="spellEnd"/>
      <w:r>
        <w:rPr>
          <w:rFonts w:ascii="Times New Roman" w:hAnsi="Times New Roman" w:cs="Times New Roman"/>
          <w:sz w:val="24"/>
          <w:szCs w:val="24"/>
        </w:rPr>
        <w:t xml:space="preserve">, Sarah Burrington, Nicole Lau, </w:t>
      </w:r>
      <w:proofErr w:type="spellStart"/>
      <w:r>
        <w:rPr>
          <w:rFonts w:ascii="Times New Roman" w:hAnsi="Times New Roman" w:cs="Times New Roman"/>
          <w:sz w:val="24"/>
          <w:szCs w:val="24"/>
        </w:rPr>
        <w:t>Hiruni</w:t>
      </w:r>
      <w:proofErr w:type="spellEnd"/>
      <w:r>
        <w:rPr>
          <w:rFonts w:ascii="Times New Roman" w:hAnsi="Times New Roman" w:cs="Times New Roman"/>
          <w:sz w:val="24"/>
          <w:szCs w:val="24"/>
        </w:rPr>
        <w:t xml:space="preserve"> Jayasekera, Allison Phillips, Marcela Todd, Marwa Mahmoud, Sienna Patton, Maddy Stone, Sam </w:t>
      </w:r>
      <w:proofErr w:type="spellStart"/>
      <w:r>
        <w:rPr>
          <w:rFonts w:ascii="Times New Roman" w:hAnsi="Times New Roman" w:cs="Times New Roman"/>
          <w:sz w:val="24"/>
          <w:szCs w:val="24"/>
        </w:rPr>
        <w:t>Tharpgeorge</w:t>
      </w:r>
      <w:proofErr w:type="spellEnd"/>
      <w:r>
        <w:rPr>
          <w:rFonts w:ascii="Times New Roman" w:hAnsi="Times New Roman" w:cs="Times New Roman"/>
          <w:sz w:val="24"/>
          <w:szCs w:val="24"/>
        </w:rPr>
        <w:t xml:space="preserve"> and Paige Byassee helped with field data collection.  Nicole Lau, Allison Phillips, Marwa </w:t>
      </w:r>
      <w:proofErr w:type="gramStart"/>
      <w:r>
        <w:rPr>
          <w:rFonts w:ascii="Times New Roman" w:hAnsi="Times New Roman" w:cs="Times New Roman"/>
          <w:sz w:val="24"/>
          <w:szCs w:val="24"/>
        </w:rPr>
        <w:t>Mahmoud</w:t>
      </w:r>
      <w:proofErr w:type="gramEnd"/>
      <w:r>
        <w:rPr>
          <w:rFonts w:ascii="Times New Roman" w:hAnsi="Times New Roman" w:cs="Times New Roman"/>
          <w:sz w:val="24"/>
          <w:szCs w:val="24"/>
        </w:rPr>
        <w:t xml:space="preserve"> and Michael </w:t>
      </w:r>
      <w:proofErr w:type="spellStart"/>
      <w:r>
        <w:rPr>
          <w:rFonts w:ascii="Times New Roman" w:hAnsi="Times New Roman" w:cs="Times New Roman"/>
          <w:sz w:val="24"/>
          <w:szCs w:val="24"/>
        </w:rPr>
        <w:t>McNorvell</w:t>
      </w:r>
      <w:proofErr w:type="spellEnd"/>
      <w:r>
        <w:rPr>
          <w:rFonts w:ascii="Times New Roman" w:hAnsi="Times New Roman" w:cs="Times New Roman"/>
          <w:sz w:val="24"/>
          <w:szCs w:val="24"/>
        </w:rPr>
        <w:t xml:space="preserve"> helped with data entry and quality assurance.  </w:t>
      </w:r>
    </w:p>
    <w:p w14:paraId="42EE299E" w14:textId="77777777" w:rsidR="00726C16" w:rsidRDefault="00726C16" w:rsidP="00726C16">
      <w:pPr>
        <w:spacing w:after="0"/>
        <w:rPr>
          <w:rFonts w:ascii="Times New Roman" w:hAnsi="Times New Roman" w:cs="Times New Roman"/>
          <w:sz w:val="24"/>
          <w:szCs w:val="24"/>
        </w:rPr>
      </w:pPr>
    </w:p>
    <w:p w14:paraId="032CDCD4" w14:textId="77777777" w:rsidR="00726C16" w:rsidRDefault="00726C16" w:rsidP="00726C16">
      <w:pPr>
        <w:spacing w:after="0"/>
        <w:rPr>
          <w:rFonts w:ascii="Times New Roman" w:hAnsi="Times New Roman" w:cs="Times New Roman"/>
          <w:b/>
          <w:bCs/>
          <w:sz w:val="24"/>
          <w:szCs w:val="24"/>
        </w:rPr>
      </w:pPr>
    </w:p>
    <w:p w14:paraId="53043B3C" w14:textId="77777777" w:rsidR="00726C16" w:rsidRDefault="00726C16" w:rsidP="00726C16">
      <w:pPr>
        <w:spacing w:after="0"/>
        <w:rPr>
          <w:rFonts w:ascii="Times New Roman" w:hAnsi="Times New Roman" w:cs="Times New Roman"/>
          <w:b/>
          <w:bCs/>
          <w:sz w:val="24"/>
          <w:szCs w:val="24"/>
        </w:rPr>
      </w:pPr>
    </w:p>
    <w:p w14:paraId="03022B57" w14:textId="77777777" w:rsidR="00726C16" w:rsidRDefault="00726C16" w:rsidP="00726C16">
      <w:pPr>
        <w:spacing w:after="0"/>
        <w:rPr>
          <w:rFonts w:ascii="Times New Roman" w:hAnsi="Times New Roman" w:cs="Times New Roman"/>
          <w:b/>
          <w:bCs/>
          <w:sz w:val="24"/>
          <w:szCs w:val="24"/>
        </w:rPr>
      </w:pPr>
    </w:p>
    <w:p w14:paraId="4F2FB738" w14:textId="77777777" w:rsidR="00726C16" w:rsidRDefault="00726C16" w:rsidP="00726C16">
      <w:pPr>
        <w:spacing w:after="0"/>
        <w:rPr>
          <w:rFonts w:ascii="Times New Roman" w:hAnsi="Times New Roman" w:cs="Times New Roman"/>
          <w:b/>
          <w:bCs/>
          <w:sz w:val="24"/>
          <w:szCs w:val="24"/>
        </w:rPr>
      </w:pPr>
    </w:p>
    <w:p w14:paraId="09514D13" w14:textId="77777777" w:rsidR="00726C16" w:rsidRDefault="00726C16" w:rsidP="00726C16">
      <w:pPr>
        <w:spacing w:after="0"/>
        <w:rPr>
          <w:rFonts w:ascii="Times New Roman" w:hAnsi="Times New Roman" w:cs="Times New Roman"/>
          <w:b/>
          <w:bCs/>
          <w:sz w:val="24"/>
          <w:szCs w:val="24"/>
        </w:rPr>
      </w:pPr>
    </w:p>
    <w:p w14:paraId="06B67D3E" w14:textId="77777777" w:rsidR="00726C16" w:rsidRDefault="00726C16" w:rsidP="00726C16">
      <w:pPr>
        <w:spacing w:after="0"/>
        <w:rPr>
          <w:rFonts w:ascii="Times New Roman" w:hAnsi="Times New Roman" w:cs="Times New Roman"/>
          <w:b/>
          <w:bCs/>
          <w:sz w:val="24"/>
          <w:szCs w:val="24"/>
        </w:rPr>
      </w:pPr>
    </w:p>
    <w:p w14:paraId="7A82A352" w14:textId="77777777" w:rsidR="00726C16" w:rsidRDefault="00726C16" w:rsidP="00726C16">
      <w:pPr>
        <w:spacing w:after="0"/>
        <w:rPr>
          <w:rFonts w:ascii="Times New Roman" w:hAnsi="Times New Roman" w:cs="Times New Roman"/>
          <w:b/>
          <w:bCs/>
          <w:sz w:val="24"/>
          <w:szCs w:val="24"/>
        </w:rPr>
      </w:pPr>
    </w:p>
    <w:p w14:paraId="5B8AA942" w14:textId="0B0972BB" w:rsidR="004E66CC" w:rsidRDefault="00726C16" w:rsidP="00726C16">
      <w:pPr>
        <w:spacing w:after="0"/>
        <w:rPr>
          <w:rFonts w:ascii="Times New Roman" w:hAnsi="Times New Roman" w:cs="Times New Roman"/>
          <w:b/>
          <w:bCs/>
          <w:sz w:val="24"/>
          <w:szCs w:val="24"/>
        </w:rPr>
      </w:pPr>
      <w:r w:rsidRPr="009A553A">
        <w:rPr>
          <w:rFonts w:ascii="Times New Roman" w:hAnsi="Times New Roman" w:cs="Times New Roman"/>
          <w:b/>
          <w:bCs/>
          <w:sz w:val="24"/>
          <w:szCs w:val="24"/>
        </w:rPr>
        <w:lastRenderedPageBreak/>
        <w:t xml:space="preserve">References </w:t>
      </w:r>
    </w:p>
    <w:p w14:paraId="048321EA" w14:textId="77777777" w:rsidR="00726C16" w:rsidRPr="00726C16" w:rsidRDefault="00726C16" w:rsidP="00726C16">
      <w:pPr>
        <w:spacing w:after="0"/>
        <w:rPr>
          <w:rFonts w:ascii="Times New Roman" w:hAnsi="Times New Roman" w:cs="Times New Roman"/>
          <w:b/>
          <w:bCs/>
          <w:sz w:val="24"/>
          <w:szCs w:val="24"/>
        </w:rPr>
      </w:pPr>
    </w:p>
    <w:p w14:paraId="6B88BBCF" w14:textId="3E5B5F73"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bCs/>
          <w:sz w:val="24"/>
          <w:szCs w:val="24"/>
        </w:rPr>
        <w:fldChar w:fldCharType="begin" w:fldLock="1"/>
      </w:r>
      <w:r>
        <w:rPr>
          <w:rFonts w:ascii="Times New Roman" w:hAnsi="Times New Roman" w:cs="Times New Roman"/>
          <w:b/>
          <w:bCs/>
          <w:sz w:val="24"/>
          <w:szCs w:val="24"/>
        </w:rPr>
        <w:instrText xml:space="preserve">ADDIN Mendeley Bibliography CSL_BIBLIOGRAPHY </w:instrText>
      </w:r>
      <w:r>
        <w:rPr>
          <w:rFonts w:ascii="Times New Roman" w:hAnsi="Times New Roman" w:cs="Times New Roman"/>
          <w:b/>
          <w:bCs/>
          <w:sz w:val="24"/>
          <w:szCs w:val="24"/>
        </w:rPr>
        <w:fldChar w:fldCharType="separate"/>
      </w:r>
      <w:r w:rsidRPr="00726C16">
        <w:rPr>
          <w:rFonts w:ascii="Times New Roman" w:hAnsi="Times New Roman" w:cs="Times New Roman"/>
          <w:noProof/>
          <w:sz w:val="24"/>
          <w:szCs w:val="24"/>
        </w:rPr>
        <w:t>Agee, J. K., and J. F. Lehmkuhl. 2009. Dry forests of the Northeastern Cascades Fire and Fire Surrogate project site, Mission Creek, Okanogan-Wenatchee National Forest. Page Res. Pap. PNW-RP-577. Portland, OR: U.S. Department of Agriculture, Forest Service, Pacific Northwest Research Station. 158 p. Portland, OR.</w:t>
      </w:r>
    </w:p>
    <w:p w14:paraId="7799F646"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Agee, J. K., and M. R. Lolley. 2006. Thinning and Prescribed Fire Effects on Fuels and Potential Fire Behavior in an Eastern Cascades Forest, Washington, USA. Fire Ecology 2:3–19.</w:t>
      </w:r>
    </w:p>
    <w:p w14:paraId="6889C1DB"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Agee, J. K., and C. N. Skinner. 2005. Basic principles of forest fuel reduction treatments. Forest Ecology and Management 211:83–96.</w:t>
      </w:r>
    </w:p>
    <w:p w14:paraId="07DED417"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Anderson, H. E. 1982. Aids to determining fuel models for estimating fire behavior. Page Gen. Tech. Rep. INT-122. Ogden, Utah: U.S.Department of Agriculture, Forest Service, Intermountain Forest and Range Experiment Station. 22p. Ogden, UT.</w:t>
      </w:r>
    </w:p>
    <w:p w14:paraId="0A7B2E8E"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Battaglia, M. A., F. W. Smith, and W. D. Shepperd. 2008. Can prescribed fire be used to maintain fuel treatment effectiveness over time in Black Hills ponderosa pine forests? Forest Ecology and Management 256:2029–2038.</w:t>
      </w:r>
    </w:p>
    <w:p w14:paraId="32B5B9E8"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Beers, T. W., P. E. Dress, and L. C. Wensel. 1966. Notes and Observations: Aspect Transformation in Site Productivity Research. Journal of Forestry 64:691–692.</w:t>
      </w:r>
    </w:p>
    <w:p w14:paraId="00A9B53A"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Bradshaw, L., and E. McCormick. 2000. FireFamily Plus user’s guide, Version 2.0. Gen. Tech. Rep. RMRS-GTR-67. Ogden, UT: U.S. Department of Agriculture, Forest Service, Rocky Mountain Research Station. 67.</w:t>
      </w:r>
    </w:p>
    <w:p w14:paraId="099A318A"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 xml:space="preserve">Brown, J. K. 1971. A Planar Intersect Method for Sampling Fuel Volume and Surface Area. </w:t>
      </w:r>
      <w:r w:rsidRPr="00726C16">
        <w:rPr>
          <w:rFonts w:ascii="Times New Roman" w:hAnsi="Times New Roman" w:cs="Times New Roman"/>
          <w:noProof/>
          <w:sz w:val="24"/>
          <w:szCs w:val="24"/>
        </w:rPr>
        <w:lastRenderedPageBreak/>
        <w:t>Forest Science 17:96–102.</w:t>
      </w:r>
    </w:p>
    <w:p w14:paraId="7B6B28D6"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Burgan, R. E., and R. C. Rothermel. 1984. BEHAVE: fire behavior prediction and fuel modeling system--FUEL subsystem. Page General Technical Report INT-167. Ogden, UT: U. S. Department of Agriculture, Forest Service, Intermountain Forest and Range Experiment Station. 126 p. Ogden, UT.</w:t>
      </w:r>
    </w:p>
    <w:p w14:paraId="590A9DCD"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Chiono, L. A., K. L. O’Hara, M. J. De Lasaux, G. A. Nader, and S. L. Stephens. 2012. Development of Vegetation and Surface Fuels Following Fire Hazard Reduction Treatment. Forests 3:700–722.</w:t>
      </w:r>
    </w:p>
    <w:p w14:paraId="0754B40B"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Coop, J. D., S. A. Parks, C. S. Stevens-Rumann, S. D. Crausbay, P. E. Higuera, M. D. Hurteau, A. Tepley, E. Whitman, T. Assal, B. M. Collins, K. T. Davis, S. Dobrowski, D. A. Falk, P. J. Fornwalt, P. Z. Fulé, B. J. Harvey, V. R. Kane, C. E. Littlefield, E. Q. Margolis, M. North, M. A. Parisien, S. Prichard, and K. C. Rodman. 2020, August 1. Wildfire-Driven Forest Conversion in Western North American Landscapes. Oxford University Press.</w:t>
      </w:r>
    </w:p>
    <w:p w14:paraId="578BB30E"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Crotteau, J. S., C. R. Keyes, S. M. Hood, D. L. R. Affleck, and A. Sala. 2018. Fuel dynamics after a bark beetle outbreak impacts experimental fuel treatments. Fire Ecology 14.</w:t>
      </w:r>
    </w:p>
    <w:p w14:paraId="25610E9B"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Franklin, J. F., and K. N. Johnson. 2012. A Restoration Framework for Federal Forests in the Pacific Northwest. Journal of Forestry 110:429–439.</w:t>
      </w:r>
    </w:p>
    <w:p w14:paraId="177A2714"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Gorelick, N., M. Hancher, M. Dixon, S. Ilyushchenko, D. Thau, and R. Moore. 2017. Google Earth Engine: Planetary-scale geospatial analysis for everyone. Remote Sensing of Environment 202:18–27.</w:t>
      </w:r>
    </w:p>
    <w:p w14:paraId="4439EAC7"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 xml:space="preserve">Hagmann, R. K., P. F. Hessburg, S. J. Prichard, N. A. Povak, P. M. Brown, P. Z. Fulé, R. E. </w:t>
      </w:r>
      <w:r w:rsidRPr="00726C16">
        <w:rPr>
          <w:rFonts w:ascii="Times New Roman" w:hAnsi="Times New Roman" w:cs="Times New Roman"/>
          <w:noProof/>
          <w:sz w:val="24"/>
          <w:szCs w:val="24"/>
        </w:rPr>
        <w:lastRenderedPageBreak/>
        <w:t>Keane, E. E. Knapp, J. M. Lydersen, K. L. Metlen, M. J. Reilly, A. J. S. Meador, S. L. Stephens, J. T. Stevens, A. H. Taylor, L. L. Yocom, M. A. Battaglia, D. J. Churchill, L. D. Daniels, D. A. Falk, P. Henson, J. D. Johnston, M. A. Krawchuk, C. R. Levine, G. W. Meigs, A. G. Merschel, M. P. North, H. D. Safford, T. W. Swetnam, and A. E. M. Waltz. 2021. Evidence for widespread changes in the structure, composition, and fire regimes of western North American forests. Ecological Applications 0:e02431.</w:t>
      </w:r>
    </w:p>
    <w:p w14:paraId="7CF0BD30"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Hessburg, P. F., and J. K. Agee. 2003. An environmental narrative of Inland Northwest United States forests, 1800-2000. Pages 23–59 Forest Ecology and Management. Elsevier.</w:t>
      </w:r>
    </w:p>
    <w:p w14:paraId="3A96E608"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Hessburg, P. F., S. J. Prichard, R. K. Hagmann, N. A. Povak, and F. K. Lake. 2021. Wildfire and climate change adaptation of western North American forests: a case for intentional management. Ecological Applications:e02432.</w:t>
      </w:r>
    </w:p>
    <w:p w14:paraId="4A0383AB"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Hood, S. M., C. R. Keyes, K. J. Bowen, D. C. Lutes, and C. Seielstad. 2020. Fuel Treatment Longevity in Ponderosa Pine-Dominated Forest 24 Years After Cutting and Prescribed Burning. Frontiers in Forests and Global Change 3:78.</w:t>
      </w:r>
    </w:p>
    <w:p w14:paraId="03DF0AE5"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Jain, T., M. Battaglia, H.-S. Han, R. Graham, C. Keyes, J. Fried, and J. Sandquist. 2012. A Comprehensive Guide to Fuel Management Practices for Dry Mixed ConiferForests in the Northwestern United States. Page JFSP Synthesis Reports.</w:t>
      </w:r>
    </w:p>
    <w:p w14:paraId="1EB1A984"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Keane, R. E., R. Burgan, and J. Van Wagtendonk. 2001. Mapping wildland fuels for fire management across multiple scales: Integrating remote sensing, GIS, and biophysical modeling. International Journal of Wildland Fire 10:301–319.</w:t>
      </w:r>
    </w:p>
    <w:p w14:paraId="20C0FAE1"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 xml:space="preserve">Keane, R. E., K. Gray, V. Bacciu, and S. Leirfallom. 2012. Spatial scaling of wildland fuels for six forest and rangeland ecosystems of the northern Rocky Mountains, USA. Landscape </w:t>
      </w:r>
      <w:r w:rsidRPr="00726C16">
        <w:rPr>
          <w:rFonts w:ascii="Times New Roman" w:hAnsi="Times New Roman" w:cs="Times New Roman"/>
          <w:noProof/>
          <w:sz w:val="24"/>
          <w:szCs w:val="24"/>
        </w:rPr>
        <w:lastRenderedPageBreak/>
        <w:t>Ecology 27:1213–1234.</w:t>
      </w:r>
    </w:p>
    <w:p w14:paraId="26655FFC"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Legendre, P., and L. Legendre. 2012. Numerical Ecology. Third edition. Elsevier.</w:t>
      </w:r>
    </w:p>
    <w:p w14:paraId="1A1FFCA6"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Lillybridge, T. R., B. L. Kovalchik, C. K. Williams, and B. G. Smith. 1995. Field guide for forested plant associations of the Wenatchee National Forest. Page Gen. Tech. Rep. PNW-GTR-359. Portland, OR: U.S. Department of Agriculture, Forest Service, Pacific Northwest Research Station. 335 p. In cooperation with: Pacific Northwest Region, Wenatchee National Forest. Portland, OR.</w:t>
      </w:r>
    </w:p>
    <w:p w14:paraId="582C2553"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van Mantgem, P. J., L. B. Lalemand, M. B. Keifer, and J. M. Kane. 2016. Duration of fuels reduction following prescribed fire in coniferous forests of U.S. national parks in California and the Colorado Plateau. Forest Ecology and Management 379:265–272.</w:t>
      </w:r>
    </w:p>
    <w:p w14:paraId="30A0C3C2"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McIver, J. D., and C. P. Weatherspoon. 2010. On conducting a multisite, multidisciplinary forestry research project: Lessons from the national fire and fire surrogate study. Forest Science 56:4–17.</w:t>
      </w:r>
    </w:p>
    <w:p w14:paraId="2282C4D1"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Morici, K. E., and J. D. Bailey. 2021. Long-Term Effects of Fuel Reduction Treatments on Surface Fuel Loading in the Blue Mountains of Oregon. Forests 2021, Vol. 12, Page 1306 12:1306.</w:t>
      </w:r>
    </w:p>
    <w:p w14:paraId="0DC54984"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Parks, S. A., L. M. Holsinger, M. A. Voss, R. A. Loehman, and N. P. Robinson. 2018. Mean Composite Fire Severity Metrics Computed with Google Earth Engine Offer Improved Accuracy and Expanded Mapping Potential. Remote Sensing 2018, Vol. 10, Page 879 10:879.</w:t>
      </w:r>
    </w:p>
    <w:p w14:paraId="64A1FA48"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 xml:space="preserve">Prichard, S. J., P. F. Hessburg, R. K. Hagmann, N. A. Povak, S. Z. Dobrowski, M. D. Hurteau, </w:t>
      </w:r>
      <w:r w:rsidRPr="00726C16">
        <w:rPr>
          <w:rFonts w:ascii="Times New Roman" w:hAnsi="Times New Roman" w:cs="Times New Roman"/>
          <w:noProof/>
          <w:sz w:val="24"/>
          <w:szCs w:val="24"/>
        </w:rPr>
        <w:lastRenderedPageBreak/>
        <w:t>V. R. Kane, R. E. Keane, L. N. Kobziar, C. A. Kolden, M. North, S. A. Parks, H. D. Safford, J. T. Stevens, L. L. Yocom, D. J. Churchill, R. W. Gray, D. W. Huffman, F. K. Lake, and P. Khatri-Chhetri. 2021. Adapting western North American forests to climate change and wildfires: 10 common questions. Ecological Applications 0:e02433.</w:t>
      </w:r>
    </w:p>
    <w:p w14:paraId="350B983D"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Radeloff, V. C., D. P. Helmers, H. Anu Kramer, M. H. Mockrin, P. M. Alexandre, A. Bar-Massada, V. Butsic, T. J. Hawbaker, S. Martinuzzi, A. D. Syphard, and S. I. Stewart. 2018. Rapid growth of the US wildland-urban interface raises wildfire risk. Proceedings of the National Academy of Sciences of the United States of America 115:3314–3319.</w:t>
      </w:r>
    </w:p>
    <w:p w14:paraId="18DC2E36"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Reinhardt, E., and N. L. Crookston. 2003. The Fire and Fuels Extension to the Forest Vegetation Simulator. Gen. Tech. Rep. RMRS-GTR-116. Ogden, UT: U.S. Department of Agriculture, Forest Service, Rocky Mountain Research Station. 209 p. 116.</w:t>
      </w:r>
    </w:p>
    <w:p w14:paraId="51E57D1F"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Reinhardt, E. D., R. E. Keane, and J. K. Brown. 1997. First Order Fire Effects Model: FOFEM 4.0, user’s guide. Gen. Tech. Rep. INT-GTR-344. Ogden, UT: U.S. Department of Agriculture, Forest Service, Intermountain Research Station. 65 p. 344.</w:t>
      </w:r>
    </w:p>
    <w:p w14:paraId="6BFDEE3E"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Reinhardt, E. D., R. E. Keane, D. E. Calkin, and J. D. Cohen. 2008, December 10. Objectives and considerations for wildland fuel treatment in forested ecosystems of the interior western United States. Elsevier.</w:t>
      </w:r>
    </w:p>
    <w:p w14:paraId="07A9B484" w14:textId="77777777" w:rsidR="00726C16" w:rsidRPr="00726C16" w:rsidRDefault="00726C16" w:rsidP="00726C16">
      <w:pPr>
        <w:widowControl w:val="0"/>
        <w:autoSpaceDE w:val="0"/>
        <w:autoSpaceDN w:val="0"/>
        <w:adjustRightInd w:val="0"/>
        <w:spacing w:line="480" w:lineRule="auto"/>
        <w:ind w:left="480" w:hanging="480"/>
        <w:rPr>
          <w:rFonts w:ascii="Times New Roman" w:hAnsi="Times New Roman" w:cs="Times New Roman"/>
          <w:noProof/>
          <w:sz w:val="24"/>
          <w:szCs w:val="24"/>
        </w:rPr>
      </w:pPr>
      <w:r w:rsidRPr="00726C16">
        <w:rPr>
          <w:rFonts w:ascii="Times New Roman" w:hAnsi="Times New Roman" w:cs="Times New Roman"/>
          <w:noProof/>
          <w:sz w:val="24"/>
          <w:szCs w:val="24"/>
        </w:rPr>
        <w:t>Rossman, A. K., J. D. Bakker, D. W. Peterson, and C. B. Halpern. 2020. Long-term effects of fuels treatments, overstory structure, and wildfire on tree regeneration in dry forests of Central Washington. Forests 11:888.</w:t>
      </w:r>
    </w:p>
    <w:p w14:paraId="0A7D9BA2" w14:textId="35B8C767" w:rsidR="00726C16" w:rsidRPr="009A6C55" w:rsidRDefault="00726C16" w:rsidP="00726C16">
      <w:pPr>
        <w:widowControl w:val="0"/>
        <w:autoSpaceDE w:val="0"/>
        <w:autoSpaceDN w:val="0"/>
        <w:adjustRightInd w:val="0"/>
        <w:spacing w:line="480" w:lineRule="auto"/>
        <w:ind w:left="480" w:hanging="480"/>
        <w:rPr>
          <w:rFonts w:ascii="Times New Roman" w:hAnsi="Times New Roman" w:cs="Times New Roman"/>
          <w:b/>
          <w:bCs/>
          <w:sz w:val="24"/>
          <w:szCs w:val="24"/>
        </w:rPr>
      </w:pPr>
      <w:r w:rsidRPr="00726C16">
        <w:rPr>
          <w:rFonts w:ascii="Times New Roman" w:hAnsi="Times New Roman" w:cs="Times New Roman"/>
          <w:noProof/>
          <w:sz w:val="24"/>
          <w:szCs w:val="24"/>
        </w:rPr>
        <w:t>Stephens, S. L., B. M. Collins, and G. Roller. 2012. Fuel treatment longevity in a Sierra Nevada mixed conifer forest. Forest Ecology and Management 285:204–212.</w:t>
      </w:r>
      <w:r>
        <w:rPr>
          <w:rFonts w:ascii="Times New Roman" w:hAnsi="Times New Roman" w:cs="Times New Roman"/>
          <w:b/>
          <w:bCs/>
          <w:sz w:val="24"/>
          <w:szCs w:val="24"/>
        </w:rPr>
        <w:fldChar w:fldCharType="end"/>
      </w:r>
    </w:p>
    <w:sectPr w:rsidR="00726C16" w:rsidRPr="009A6C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6763"/>
    <w:multiLevelType w:val="hybridMultilevel"/>
    <w:tmpl w:val="FFAE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850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3086"/>
    <w:rsid w:val="000162E9"/>
    <w:rsid w:val="00023CD8"/>
    <w:rsid w:val="00092BC2"/>
    <w:rsid w:val="00096606"/>
    <w:rsid w:val="000C1CA6"/>
    <w:rsid w:val="000D0D8B"/>
    <w:rsid w:val="00112C85"/>
    <w:rsid w:val="00125EB4"/>
    <w:rsid w:val="001760FB"/>
    <w:rsid w:val="001844BA"/>
    <w:rsid w:val="00193086"/>
    <w:rsid w:val="001E36DB"/>
    <w:rsid w:val="00201901"/>
    <w:rsid w:val="00210B23"/>
    <w:rsid w:val="002147CC"/>
    <w:rsid w:val="0022026B"/>
    <w:rsid w:val="00227338"/>
    <w:rsid w:val="00273585"/>
    <w:rsid w:val="002B5D58"/>
    <w:rsid w:val="002D69D5"/>
    <w:rsid w:val="002D6D1C"/>
    <w:rsid w:val="002F5368"/>
    <w:rsid w:val="003314EE"/>
    <w:rsid w:val="00354B77"/>
    <w:rsid w:val="00386BF8"/>
    <w:rsid w:val="003930A1"/>
    <w:rsid w:val="003E0E9A"/>
    <w:rsid w:val="004308F7"/>
    <w:rsid w:val="00462801"/>
    <w:rsid w:val="00464E20"/>
    <w:rsid w:val="004758B9"/>
    <w:rsid w:val="00477139"/>
    <w:rsid w:val="004B2773"/>
    <w:rsid w:val="004B51B1"/>
    <w:rsid w:val="004B6C68"/>
    <w:rsid w:val="004C20A2"/>
    <w:rsid w:val="004C7F48"/>
    <w:rsid w:val="004E66CC"/>
    <w:rsid w:val="004F44B5"/>
    <w:rsid w:val="00510D01"/>
    <w:rsid w:val="005120F4"/>
    <w:rsid w:val="00512A92"/>
    <w:rsid w:val="00525589"/>
    <w:rsid w:val="00530D46"/>
    <w:rsid w:val="005527CB"/>
    <w:rsid w:val="00557DEB"/>
    <w:rsid w:val="005744E3"/>
    <w:rsid w:val="005854CB"/>
    <w:rsid w:val="00596446"/>
    <w:rsid w:val="005F0D59"/>
    <w:rsid w:val="0060176F"/>
    <w:rsid w:val="00626930"/>
    <w:rsid w:val="00642BC5"/>
    <w:rsid w:val="0064456C"/>
    <w:rsid w:val="0064745A"/>
    <w:rsid w:val="00657A67"/>
    <w:rsid w:val="00670FA5"/>
    <w:rsid w:val="00673D32"/>
    <w:rsid w:val="006849D7"/>
    <w:rsid w:val="006A3106"/>
    <w:rsid w:val="006B1144"/>
    <w:rsid w:val="006F5FEF"/>
    <w:rsid w:val="00706B2B"/>
    <w:rsid w:val="00713102"/>
    <w:rsid w:val="00723C7D"/>
    <w:rsid w:val="00726C16"/>
    <w:rsid w:val="007447D5"/>
    <w:rsid w:val="007846CD"/>
    <w:rsid w:val="007A6645"/>
    <w:rsid w:val="007B3034"/>
    <w:rsid w:val="007F2F4B"/>
    <w:rsid w:val="00801948"/>
    <w:rsid w:val="0081660A"/>
    <w:rsid w:val="00841B51"/>
    <w:rsid w:val="00846B08"/>
    <w:rsid w:val="008543E3"/>
    <w:rsid w:val="00860198"/>
    <w:rsid w:val="00867615"/>
    <w:rsid w:val="00885844"/>
    <w:rsid w:val="00893812"/>
    <w:rsid w:val="008939AA"/>
    <w:rsid w:val="008A2BCF"/>
    <w:rsid w:val="008B0068"/>
    <w:rsid w:val="008C6DC9"/>
    <w:rsid w:val="0093526C"/>
    <w:rsid w:val="00935B10"/>
    <w:rsid w:val="00947929"/>
    <w:rsid w:val="0095696B"/>
    <w:rsid w:val="00994E2A"/>
    <w:rsid w:val="0099538B"/>
    <w:rsid w:val="009A6C55"/>
    <w:rsid w:val="009B578A"/>
    <w:rsid w:val="009F655E"/>
    <w:rsid w:val="00A07B06"/>
    <w:rsid w:val="00A12F4E"/>
    <w:rsid w:val="00A412E6"/>
    <w:rsid w:val="00A428A3"/>
    <w:rsid w:val="00A47C1B"/>
    <w:rsid w:val="00A724B0"/>
    <w:rsid w:val="00AA7C10"/>
    <w:rsid w:val="00AD13CD"/>
    <w:rsid w:val="00AF15A2"/>
    <w:rsid w:val="00AF500E"/>
    <w:rsid w:val="00B02414"/>
    <w:rsid w:val="00B40E2E"/>
    <w:rsid w:val="00B550A0"/>
    <w:rsid w:val="00B60848"/>
    <w:rsid w:val="00B7263F"/>
    <w:rsid w:val="00B75ABD"/>
    <w:rsid w:val="00BA1BB1"/>
    <w:rsid w:val="00BA6BE9"/>
    <w:rsid w:val="00BC2357"/>
    <w:rsid w:val="00BC6701"/>
    <w:rsid w:val="00BD00BF"/>
    <w:rsid w:val="00BE5B1E"/>
    <w:rsid w:val="00BF291D"/>
    <w:rsid w:val="00BF4CA7"/>
    <w:rsid w:val="00C05AE2"/>
    <w:rsid w:val="00C418D7"/>
    <w:rsid w:val="00C562C8"/>
    <w:rsid w:val="00C8026B"/>
    <w:rsid w:val="00CB04F5"/>
    <w:rsid w:val="00D37F9A"/>
    <w:rsid w:val="00D51BF7"/>
    <w:rsid w:val="00D94BEC"/>
    <w:rsid w:val="00DA305F"/>
    <w:rsid w:val="00DD55A2"/>
    <w:rsid w:val="00DE3424"/>
    <w:rsid w:val="00E00940"/>
    <w:rsid w:val="00E14653"/>
    <w:rsid w:val="00E36B34"/>
    <w:rsid w:val="00E509A6"/>
    <w:rsid w:val="00E7272B"/>
    <w:rsid w:val="00E92D63"/>
    <w:rsid w:val="00EC666A"/>
    <w:rsid w:val="00ED332D"/>
    <w:rsid w:val="00EF7168"/>
    <w:rsid w:val="00F32825"/>
    <w:rsid w:val="00F4220C"/>
    <w:rsid w:val="00F612FA"/>
    <w:rsid w:val="00F67D20"/>
    <w:rsid w:val="00F71C16"/>
    <w:rsid w:val="00F817A6"/>
    <w:rsid w:val="00FB7E5D"/>
    <w:rsid w:val="00FE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7DB200B"/>
  <w15:docId w15:val="{043CD15C-FDCB-4BDE-AC4A-CBE6D9BB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5D"/>
    <w:pPr>
      <w:ind w:left="720"/>
      <w:contextualSpacing/>
    </w:pPr>
  </w:style>
  <w:style w:type="paragraph" w:styleId="NormalWeb">
    <w:name w:val="Normal (Web)"/>
    <w:basedOn w:val="Normal"/>
    <w:uiPriority w:val="99"/>
    <w:semiHidden/>
    <w:unhideWhenUsed/>
    <w:rsid w:val="0081660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71C16"/>
    <w:pPr>
      <w:spacing w:after="200" w:line="240" w:lineRule="auto"/>
    </w:pPr>
    <w:rPr>
      <w:i/>
      <w:iCs/>
      <w:color w:val="44546A" w:themeColor="text2"/>
      <w:sz w:val="18"/>
      <w:szCs w:val="18"/>
    </w:rPr>
  </w:style>
  <w:style w:type="table" w:styleId="TableGrid">
    <w:name w:val="Table Grid"/>
    <w:basedOn w:val="TableNormal"/>
    <w:uiPriority w:val="39"/>
    <w:rsid w:val="00726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521925">
      <w:bodyDiv w:val="1"/>
      <w:marLeft w:val="0"/>
      <w:marRight w:val="0"/>
      <w:marTop w:val="0"/>
      <w:marBottom w:val="0"/>
      <w:divBdr>
        <w:top w:val="none" w:sz="0" w:space="0" w:color="auto"/>
        <w:left w:val="none" w:sz="0" w:space="0" w:color="auto"/>
        <w:bottom w:val="none" w:sz="0" w:space="0" w:color="auto"/>
        <w:right w:val="none" w:sz="0" w:space="0" w:color="auto"/>
      </w:divBdr>
    </w:div>
    <w:div w:id="1292249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AFB8BDD-CC55-4A63-AFF0-EE3D3883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33</Pages>
  <Words>50350</Words>
  <Characters>287001</Characters>
  <Application>Microsoft Office Word</Application>
  <DocSecurity>0</DocSecurity>
  <Lines>2391</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Radcliffe</dc:creator>
  <cp:keywords/>
  <dc:description/>
  <cp:lastModifiedBy>Donald Radcliffe</cp:lastModifiedBy>
  <cp:revision>3</cp:revision>
  <cp:lastPrinted>2022-03-16T01:13:00Z</cp:lastPrinted>
  <dcterms:created xsi:type="dcterms:W3CDTF">2022-03-16T01:13:00Z</dcterms:created>
  <dcterms:modified xsi:type="dcterms:W3CDTF">2022-03-17T01:37:00Z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bfb4fa27-566e-3528-8296-835bddb00cd1</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https://csl.mendeley.com/styles/497735051/american-political-science-association-don-radcliffe-date</vt:lpwstr>
  </property>
  <property fmtid="{D5CDD505-2E9C-101B-9397-08002B2CF9AE}" pid="8" name="Mendeley Recent Style Name 1_1">
    <vt:lpwstr>American Political Science Association - Donald Radcliffe - Don C Radcliffe</vt:lpwstr>
  </property>
  <property fmtid="{D5CDD505-2E9C-101B-9397-08002B2CF9AE}" pid="9" name="Mendeley Recent Style Id 2_1">
    <vt:lpwstr>http://csl.mendeley.com/styles/497735051/american-political-science-association</vt:lpwstr>
  </property>
  <property fmtid="{D5CDD505-2E9C-101B-9397-08002B2CF9AE}" pid="10" name="Mendeley Recent Style Name 2_1">
    <vt:lpwstr>American Political Science Association - Donald Radcliffe - Don C Radcliffe</vt:lpwstr>
  </property>
  <property fmtid="{D5CDD505-2E9C-101B-9397-08002B2CF9AE}" pid="11" name="Mendeley Recent Style Id 3_1">
    <vt:lpwstr>http://csl.mendeley.com/styles/497735051/american-political-science-association-don-radcliffe-date</vt:lpwstr>
  </property>
  <property fmtid="{D5CDD505-2E9C-101B-9397-08002B2CF9AE}" pid="12" name="Mendeley Recent Style Name 3_1">
    <vt:lpwstr>American Political Science Association - Donald Radcliffe - Don C Radcliffe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http://www.zotero.org/styles/springer-basic-author-date-no-et-al</vt:lpwstr>
  </property>
  <property fmtid="{D5CDD505-2E9C-101B-9397-08002B2CF9AE}" pid="24" name="Mendeley Recent Style Name 9_1">
    <vt:lpwstr>Springer - Basic (author-date, no "et al.")</vt:lpwstr>
  </property>
</Properties>
</file>