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240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e8eaf0"/>
          <w:sz w:val="21"/>
          <w:szCs w:val="21"/>
        </w:rPr>
        <w:t xml:space="preserve"/>
      </w:r>
    </w:p>
    <w:p>
      <w:pPr>
        <w:keepNext w:val="false"/>
        <w:spacing w:after="100" w:before="0" w:line="276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e8853d"/>
          <w:sz w:val="72"/>
          <w:szCs w:val="72"/>
        </w:rPr>
        <w:t xml:space="preserve">CBNData 免费报告中心</w:t>
      </w:r>
    </w:p>
    <w:p>
      <w:pPr>
        <w:keepNext w:val="false"/>
        <w:spacing w:after="200" w:before="0" w:line="276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e8eaf0"/>
          <w:sz w:val="56"/>
          <w:szCs w:val="56"/>
        </w:rPr>
        <w:t xml:space="preserve">UI 设计文档</w:t>
      </w:r>
    </w:p>
    <w:p>
      <w:pPr>
        <w:keepNext w:val="false"/>
        <w:spacing w:after="600" w:before="0" w:line="276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b90a5"/>
          <w:sz w:val="28"/>
          <w:szCs w:val="28"/>
        </w:rPr>
        <w:t xml:space="preserve">UI Design Specification Document</w:t>
      </w:r>
    </w:p>
    <w:p>
      <w:pPr>
        <w:keepNext w:val="false"/>
        <w:pBdr>
          <w:bottom w:val="single" w:color="232838" w:sz="1" w:space="4"/>
        </w:pBdr>
        <w:spacing w:after="100" w:before="10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e8eaf0"/>
          <w:sz w:val="21"/>
          <w:szCs w:val="21"/>
        </w:rPr>
        <w:t xml:space="preserve"/>
      </w:r>
    </w:p>
    <w:p>
      <w:pPr>
        <w:keepNext w:val="false"/>
        <w:spacing w:after="40" w:before="200" w:line="276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a5f75"/>
          <w:sz w:val="20"/>
          <w:szCs w:val="20"/>
        </w:rPr>
        <w:t xml:space="preserve">版本: 1.0</w:t>
      </w:r>
    </w:p>
    <w:p>
      <w:pPr>
        <w:keepNext w:val="false"/>
        <w:spacing w:after="40" w:before="0" w:line="276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a5f75"/>
          <w:sz w:val="20"/>
          <w:szCs w:val="20"/>
        </w:rPr>
        <w:t xml:space="preserve">日期: 2026-04-25</w:t>
      </w:r>
    </w:p>
    <w:p>
      <w:pPr>
        <w:keepNext w:val="false"/>
        <w:spacing w:after="40" w:before="0" w:line="276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a5f75"/>
          <w:sz w:val="20"/>
          <w:szCs w:val="20"/>
        </w:rPr>
        <w:t xml:space="preserve">状态: 正式发布</w:t>
      </w:r>
    </w:p>
    <w:p>
      <w:pPr>
        <w:keepNext w:val="false"/>
        <w:spacing w:after="0" w:before="60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e8eaf0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名称</w:t>
            </w:r>
          </w:p>
        </w:tc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色值</w:t>
            </w:r>
          </w:p>
        </w:tc>
        <w:tc>
          <w:tcPr>
            <w:tcW w:type="pct" w:w="56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用途说明</w:t>
            </w:r>
          </w:p>
        </w:tc>
      </w:tr>
      <w:tr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bg-primary</w:t>
            </w:r>
          </w:p>
        </w:tc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#0c0e14</w:t>
            </w:r>
          </w:p>
        </w:tc>
        <w:tc>
          <w:tcPr>
            <w:tcW w:type="pct" w:w="56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页面主背景色，最深层级</w:t>
            </w:r>
          </w:p>
        </w:tc>
      </w:tr>
      <w:tr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bg-secondary</w:t>
            </w:r>
          </w:p>
        </w:tc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#13161f</w:t>
            </w:r>
          </w:p>
        </w:tc>
        <w:tc>
          <w:tcPr>
            <w:tcW w:type="pct" w:w="56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次级背景，用于嵌套区域和分隔板块</w:t>
            </w:r>
          </w:p>
        </w:tc>
      </w:tr>
      <w:tr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bg-card</w:t>
            </w:r>
          </w:p>
        </w:tc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#191d29</w:t>
            </w:r>
          </w:p>
        </w:tc>
        <w:tc>
          <w:tcPr>
            <w:tcW w:type="pct" w:w="56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卡片和容器背景，承载具体内容模块</w:t>
            </w:r>
          </w:p>
        </w:tc>
      </w:tr>
      <w:tr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bg-hover</w:t>
            </w:r>
          </w:p>
        </w:tc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#1e2333</w:t>
            </w:r>
          </w:p>
        </w:tc>
        <w:tc>
          <w:tcPr>
            <w:tcW w:type="pct" w:w="56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悬停态背景，提供交互反馈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名称</w:t>
            </w:r>
          </w:p>
        </w:tc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色值</w:t>
            </w:r>
          </w:p>
        </w:tc>
        <w:tc>
          <w:tcPr>
            <w:tcW w:type="pct" w:w="56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用途说明</w:t>
            </w:r>
          </w:p>
        </w:tc>
      </w:tr>
      <w:tr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text-primary</w:t>
            </w:r>
          </w:p>
        </w:tc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#e8eaf0</w:t>
            </w:r>
          </w:p>
        </w:tc>
        <w:tc>
          <w:tcPr>
            <w:tcW w:type="pct" w:w="56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主要文字颜色，用于标题、正文等核心内容</w:t>
            </w:r>
          </w:p>
        </w:tc>
      </w:tr>
      <w:tr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text-secondary</w:t>
            </w:r>
          </w:p>
        </w:tc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#8b90a5</w:t>
            </w:r>
          </w:p>
        </w:tc>
        <w:tc>
          <w:tcPr>
            <w:tcW w:type="pct" w:w="56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次要文字，用于描述、辅助说明等</w:t>
            </w:r>
          </w:p>
        </w:tc>
      </w:tr>
      <w:tr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text-muted</w:t>
            </w:r>
          </w:p>
        </w:tc>
        <w:tc>
          <w:tcPr>
            <w:tcW w:type="pct" w:w="2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#5a5f75</w:t>
            </w:r>
          </w:p>
        </w:tc>
        <w:tc>
          <w:tcPr>
            <w:tcW w:type="pct" w:w="56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弱化文字，用于时间戳、版权信息等低优先级内容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名称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色值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用途说明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accent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#e8853d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品牌强调色，用于按钮、链接、高亮元素等核心交互点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09a55"/>
                <w:sz w:val="19"/>
                <w:szCs w:val="19"/>
              </w:rPr>
              <w:t xml:space="preserve">accent-hover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#f09a55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强调色悬停态，提供更明亮的视觉反馈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accent-dim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rgba(232,133,61,0.12)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强调色淡化版，用于标签背景、选中态等辅助场景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34d399"/>
                <w:sz w:val="19"/>
                <w:szCs w:val="19"/>
              </w:rPr>
              <w:t xml:space="preserve">success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#34d399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成功状态色，用于操作成功提示、完成状态等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87171"/>
                <w:sz w:val="19"/>
                <w:szCs w:val="19"/>
              </w:rPr>
              <w:t xml:space="preserve">error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#f87171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错误状态色，用于错误提示、失败状态等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border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#232838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边框色，用于分隔线、卡片边框等结构元素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字体名称</w:t>
            </w:r>
          </w:p>
        </w:tc>
        <w:tc>
          <w:tcPr>
            <w:tcW w:type="pct" w:w="3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用途</w:t>
            </w:r>
          </w:p>
        </w:tc>
        <w:tc>
          <w:tcPr>
            <w:tcW w:type="pct" w:w="4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备选方案</w:t>
            </w:r>
          </w:p>
        </w:tc>
      </w:tr>
      <w:tr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Space Grotesk</w:t>
            </w:r>
          </w:p>
        </w:tc>
        <w:tc>
          <w:tcPr>
            <w:tcW w:type="pct" w:w="3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展示字体，用于品牌标题、大号数字、数据展示</w:t>
            </w:r>
          </w:p>
        </w:tc>
        <w:tc>
          <w:tcPr>
            <w:tcW w:type="pct" w:w="4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Inter, system-ui</w:t>
            </w:r>
          </w:p>
        </w:tc>
      </w:tr>
      <w:tr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Noto Sans SC</w:t>
            </w:r>
          </w:p>
        </w:tc>
        <w:tc>
          <w:tcPr>
            <w:tcW w:type="pct" w:w="3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正文字体，用于中文正文、界面文案、按钮文字</w:t>
            </w:r>
          </w:p>
        </w:tc>
        <w:tc>
          <w:tcPr>
            <w:tcW w:type="pct" w:w="4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PingFang SC, Microsoft YaHei, sans-serif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层级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字号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字重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H1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24px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700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页面主标题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H2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18px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600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模块标题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H3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15px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600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子模块标题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Body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14px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400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正文内容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Caption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12px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400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辅助说明、标签文字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Data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28-36px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700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统计数字展示（Space Grotesk）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Token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值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典型用途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xs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4px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图标与文字间距、紧凑元素内间距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sm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8px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标签内边距、小元素间距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md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16px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卡片内边距、列表项间距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lg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24px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模块间距、区块分隔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xl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32px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大区块间距、页面级分隔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2xl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48px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页面顶部/底部留白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Token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值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典型用途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sm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6px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标签（Tag）、小型按钮、输入框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md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10px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卡片（Card）、下拉菜单、弹窗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lg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16px</w:t>
            </w:r>
          </w:p>
        </w:tc>
        <w:tc>
          <w:tcPr>
            <w:tcW w:type="pct" w:w="6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大卡片、模态框（Modal）、主操作面板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层级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CSS 值</w:t>
            </w:r>
          </w:p>
        </w:tc>
        <w:tc>
          <w:tcPr>
            <w:tcW w:type="pct" w:w="3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sm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0 2px 8px rgba(0,0,0,0.3)</w:t>
            </w:r>
          </w:p>
        </w:tc>
        <w:tc>
          <w:tcPr>
            <w:tcW w:type="pct" w:w="3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卡片默认态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md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0 4px 16px rgba(0,0,0,0.4)</w:t>
            </w:r>
          </w:p>
        </w:tc>
        <w:tc>
          <w:tcPr>
            <w:tcW w:type="pct" w:w="3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悬停态、下拉菜单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lg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0 8px 32px rgba(0,0,0,0.5)</w:t>
            </w:r>
          </w:p>
        </w:tc>
        <w:tc>
          <w:tcPr>
            <w:tcW w:type="pct" w:w="3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模态框、浮动面板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glow</w:t>
            </w:r>
          </w:p>
        </w:tc>
        <w:tc>
          <w:tcPr>
            <w:tcW w:type="pct" w:w="5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0 0 20px rgba(232,133,61,0.15)</w:t>
            </w:r>
          </w:p>
        </w:tc>
        <w:tc>
          <w:tcPr>
            <w:tcW w:type="pct" w:w="3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强调色辉光，用于按钮悬停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区域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位置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高度/尺寸</w:t>
            </w:r>
          </w:p>
        </w:tc>
        <w:tc>
          <w:tcPr>
            <w:tcW w:type="pct" w:w="5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Header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顶部固定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64px</w:t>
            </w:r>
          </w:p>
        </w:tc>
        <w:tc>
          <w:tcPr>
            <w:tcW w:type="pct" w:w="5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品牌标识 + 刷新按钮，sticky 定位，带背景模糊效果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Stats Bar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Header 下方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自适应</w:t>
            </w:r>
          </w:p>
        </w:tc>
        <w:tc>
          <w:tcPr>
            <w:tcW w:type="pct" w:w="5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三栏统计卡片网格，展示报告总数、总页数、日期范围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Report Table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主体区域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自适应</w:t>
            </w:r>
          </w:p>
        </w:tc>
        <w:tc>
          <w:tcPr>
            <w:tcW w:type="pct" w:w="5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报告列表表格，6 列布局，支持悬停高亮和操作按钮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Modal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浮层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480px 宽</w:t>
            </w:r>
          </w:p>
        </w:tc>
        <w:tc>
          <w:tcPr>
            <w:tcW w:type="pct" w:w="5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下载进度弹窗，含进度条和百分比显示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Footer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底部</w:t>
            </w:r>
          </w:p>
        </w:tc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48px</w:t>
            </w:r>
          </w:p>
        </w:tc>
        <w:tc>
          <w:tcPr>
            <w:tcW w:type="pct" w:w="5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版权信息和技术说明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列名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宽度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对齐</w:t>
            </w:r>
          </w:p>
        </w:tc>
        <w:tc>
          <w:tcPr>
            <w:tcW w:type="pct" w:w="63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内容说明</w:t>
            </w:r>
          </w:p>
        </w:tc>
      </w:tr>
      <w:tr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封面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80px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居中</w:t>
            </w:r>
          </w:p>
        </w:tc>
        <w:tc>
          <w:tcPr>
            <w:tcW w:type="pct" w:w="63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报告封面缩略图，固定尺寸 80x106px，圆角 sm (6px)，object-fit: cover</w:t>
            </w:r>
          </w:p>
        </w:tc>
      </w:tr>
      <w:tr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标题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自适应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左对齐</w:t>
            </w:r>
          </w:p>
        </w:tc>
        <w:tc>
          <w:tcPr>
            <w:tcW w:type="pct" w:w="63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报告标题，14px，text-primary，最多显示两行，溢出省略号</w:t>
            </w:r>
          </w:p>
        </w:tc>
      </w:tr>
      <w:tr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日期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100px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居中</w:t>
            </w:r>
          </w:p>
        </w:tc>
        <w:tc>
          <w:tcPr>
            <w:tcW w:type="pct" w:w="63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发布日期，13px，text-secondary，格式：YYYY-MM-DD</w:t>
            </w:r>
          </w:p>
        </w:tc>
      </w:tr>
      <w:tr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页数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70px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居中</w:t>
            </w:r>
          </w:p>
        </w:tc>
        <w:tc>
          <w:tcPr>
            <w:tcW w:type="pct" w:w="63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报告页数，13px，text-secondary，格式：「XX 页」</w:t>
            </w:r>
          </w:p>
        </w:tc>
      </w:tr>
      <w:tr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标签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自适应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左对齐</w:t>
            </w:r>
          </w:p>
        </w:tc>
        <w:tc>
          <w:tcPr>
            <w:tcW w:type="pct" w:w="63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分类标签，pill 形状，accent-dim 背景，accent 文字，12px</w:t>
            </w:r>
          </w:p>
        </w:tc>
      </w:tr>
      <w:tr>
        <w:tc>
          <w:tcPr>
            <w:tcW w:type="pct" w:w="1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操作</w:t>
            </w:r>
          </w:p>
        </w:tc>
        <w:tc>
          <w:tcPr>
            <w:tcW w:type="pct" w:w="12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100px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居中</w:t>
            </w:r>
          </w:p>
        </w:tc>
        <w:tc>
          <w:tcPr>
            <w:tcW w:type="pct" w:w="63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下载按钮，详见 4.4 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动画名称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时长</w:t>
            </w:r>
          </w:p>
        </w:tc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缓动函数</w:t>
            </w:r>
          </w:p>
        </w:tc>
        <w:tc>
          <w:tcPr>
            <w:tcW w:type="pct" w:w="4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用途说明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fadeSlideUp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0.5s</w:t>
            </w:r>
          </w:p>
        </w:tc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cubic-bezier(0.16,1,0.3,1)</w:t>
            </w:r>
          </w:p>
        </w:tc>
        <w:tc>
          <w:tcPr>
            <w:tcW w:type="pct" w:w="4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页面元素入场，从下方 20px 淡入滑上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fadeIn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0.2s</w:t>
            </w:r>
          </w:p>
        </w:tc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ease-out</w:t>
            </w:r>
          </w:p>
        </w:tc>
        <w:tc>
          <w:tcPr>
            <w:tcW w:type="pct" w:w="4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遮罩层淡入、元素渐显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modalSlideUp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0.3s</w:t>
            </w:r>
          </w:p>
        </w:tc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cubic-bezier(0.16,1,0.3,1)</w:t>
            </w:r>
          </w:p>
        </w:tc>
        <w:tc>
          <w:tcPr>
            <w:tcW w:type="pct" w:w="4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弹窗从底部滑入，带弹性效果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pulseRing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1.5s</w:t>
            </w:r>
          </w:p>
        </w:tc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ease-in-out (infinite)</w:t>
            </w:r>
          </w:p>
        </w:tc>
        <w:tc>
          <w:tcPr>
            <w:tcW w:type="pct" w:w="4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加载状态脉冲环，透明度 1→0 循环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shimmer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1.5s</w:t>
            </w:r>
          </w:p>
        </w:tc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ease-in-out (infinite)</w:t>
            </w:r>
          </w:p>
        </w:tc>
        <w:tc>
          <w:tcPr>
            <w:tcW w:type="pct" w:w="4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进度条微光效果，高光从左到右移动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floatGlow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8s</w:t>
            </w:r>
          </w:p>
        </w:tc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ease-in-out (infinite)</w:t>
            </w:r>
          </w:p>
        </w:tc>
        <w:tc>
          <w:tcPr>
            <w:tcW w:type="pct" w:w="4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背景装饰光晕缓慢浮动</w:t>
            </w:r>
          </w:p>
        </w:tc>
      </w:tr>
      <w:tr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numberCount</w:t>
            </w:r>
          </w:p>
        </w:tc>
        <w:tc>
          <w:tcPr>
            <w:tcW w:type="pct" w:w="1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1.5s</w:t>
            </w:r>
          </w:p>
        </w:tc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easeOutExpo</w:t>
            </w:r>
          </w:p>
        </w:tc>
        <w:tc>
          <w:tcPr>
            <w:tcW w:type="pct" w:w="4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统计数字从 0 递增至目标值的计数动画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断点名称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范围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典型设备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Desktop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&gt; 1024px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桌面电脑、大屏笔记本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Tablet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768px - 1024px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平板电脑、小屏笔记本</w:t>
            </w:r>
          </w:p>
        </w:tc>
      </w:tr>
      <w:tr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Mobile</w:t>
            </w:r>
          </w:p>
        </w:tc>
        <w:tc>
          <w:tcPr>
            <w:tcW w:type="pct" w:w="2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&lt; 768px</w:t>
            </w:r>
          </w:p>
        </w:tc>
        <w:tc>
          <w:tcPr>
            <w:tcW w:type="pct" w:w="60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智能手机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步骤</w:t>
            </w:r>
          </w:p>
        </w:tc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阶段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用户可见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技术实现</w:t>
            </w:r>
          </w:p>
        </w:tc>
      </w:tr>
      <w:tr>
        <w:tc>
          <w:tcPr>
            <w:tcW w:type="pct" w:w="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</w:t>
            </w:r>
          </w:p>
        </w:tc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页面初始化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Loading 状态，脉冲环动画 + 加载提示文字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组件挂载，触发数据请求</w:t>
            </w:r>
          </w:p>
        </w:tc>
      </w:tr>
      <w:tr>
        <w:tc>
          <w:tcPr>
            <w:tcW w:type="pct" w:w="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2</w:t>
            </w:r>
          </w:p>
        </w:tc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数据获取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持续显示 Loading 动画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调用后端 API 获取报告列表数据</w:t>
            </w:r>
          </w:p>
        </w:tc>
      </w:tr>
      <w:tr>
        <w:tc>
          <w:tcPr>
            <w:tcW w:type="pct" w:w="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3</w:t>
            </w:r>
          </w:p>
        </w:tc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数据渲染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Loading 消失，统计卡片 fadeSlideUp 入场，数字递增动画，表格行依次入场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数据绑定到组件，触发入场动画</w:t>
            </w:r>
          </w:p>
        </w:tc>
      </w:tr>
      <w:tr>
        <w:tc>
          <w:tcPr>
            <w:tcW w:type="pct" w:w="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4</w:t>
            </w:r>
          </w:p>
        </w:tc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就绪状态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完整报告列表展示，用户可浏览、悬停查看、点击下载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所有事件监听器就绪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步骤</w:t>
            </w:r>
          </w:p>
        </w:tc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阶段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用户可见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技术实现</w:t>
            </w:r>
          </w:p>
        </w:tc>
      </w:tr>
      <w:tr>
        <w:tc>
          <w:tcPr>
            <w:tcW w:type="pct" w:w="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1</w:t>
            </w:r>
          </w:p>
        </w:tc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点击下载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按钮进入加载态（旋转图标），表格行显示处理中状态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发送下载请求到后端</w:t>
            </w:r>
          </w:p>
        </w:tc>
      </w:tr>
      <w:tr>
        <w:tc>
          <w:tcPr>
            <w:tcW w:type="pct" w:w="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2</w:t>
            </w:r>
          </w:p>
        </w:tc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弹窗出现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遮罩层 fadeIn，弹窗 modalSlideUp，显示报告名称和 0% 进度条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创建弹窗组件，开始接收进度事件</w:t>
            </w:r>
          </w:p>
        </w:tc>
      </w:tr>
      <w:tr>
        <w:tc>
          <w:tcPr>
            <w:tcW w:type="pct" w:w="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3</w:t>
            </w:r>
          </w:p>
        </w:tc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PDF 生成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进度条平滑增长，百分比数字实时更新，shimmer 动画持续播放，状态文字更新页码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后端逐页生成 PDF，通过 WebSocket/SSE 推送进度</w:t>
            </w:r>
          </w:p>
        </w:tc>
      </w:tr>
      <w:tr>
        <w:tc>
          <w:tcPr>
            <w:tcW w:type="pct" w:w="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center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4</w:t>
            </w:r>
          </w:p>
        </w:tc>
        <w:tc>
          <w:tcPr>
            <w:tcW w:type="pct" w:w="1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下载完成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进度条满格（100%），状态文字变为「下载完成」，1 秒后弹窗自动关闭，触发浏览器下载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后端返回 PDF 文件，前端触发 Blob 下载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属性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光晕 1（主光晕）</w:t>
            </w:r>
          </w:p>
        </w:tc>
        <w:tc>
          <w:tcPr>
            <w:tcW w:type="pct" w:w="3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a1e2a" w:color="1a1e2a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853d"/>
                <w:sz w:val="19"/>
                <w:szCs w:val="19"/>
              </w:rPr>
              <w:t xml:space="preserve">光晕 2（辅助光晕）</w:t>
            </w:r>
          </w:p>
        </w:tc>
      </w:tr>
      <w:tr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位置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左上区域，距顶部 -10%，距左侧 -5%</w:t>
            </w:r>
          </w:p>
        </w:tc>
        <w:tc>
          <w:tcPr>
            <w:tcW w:type="pct" w:w="3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右下区域，距底部 -10%，距右侧 -5%</w:t>
            </w:r>
          </w:p>
        </w:tc>
      </w:tr>
      <w:tr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尺寸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600px x 600px</w:t>
            </w:r>
          </w:p>
        </w:tc>
        <w:tc>
          <w:tcPr>
            <w:tcW w:type="pct" w:w="3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500px x 500px</w:t>
            </w:r>
          </w:p>
        </w:tc>
      </w:tr>
      <w:tr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颜色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accent 色（#e8853d），透明度 8%</w:t>
            </w:r>
          </w:p>
        </w:tc>
        <w:tc>
          <w:tcPr>
            <w:tcW w:type="pct" w:w="3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accent 色（#e8853d），透明度 5%</w:t>
            </w:r>
          </w:p>
        </w:tc>
      </w:tr>
      <w:tr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模糊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filter: blur(120px)</w:t>
            </w:r>
          </w:p>
        </w:tc>
        <w:tc>
          <w:tcPr>
            <w:tcW w:type="pct" w:w="3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filter: blur(100px)</w:t>
            </w:r>
          </w:p>
        </w:tc>
      </w:tr>
      <w:tr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动画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floatGlow，8s 无限循环</w:t>
            </w:r>
          </w:p>
        </w:tc>
        <w:tc>
          <w:tcPr>
            <w:tcW w:type="pct" w:w="3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floatGlow，10s 无限循环，反向</w:t>
            </w:r>
          </w:p>
        </w:tc>
      </w:tr>
      <w:tr>
        <w:tc>
          <w:tcPr>
            <w:tcW w:type="pct" w:w="25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e8eaf0"/>
                <w:sz w:val="19"/>
                <w:szCs w:val="19"/>
              </w:rPr>
              <w:t xml:space="preserve">z-index</w:t>
            </w:r>
          </w:p>
        </w:tc>
        <w:tc>
          <w:tcPr>
            <w:tcW w:type="pct" w:w="37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-1（位于所有内容之下）</w:t>
            </w:r>
          </w:p>
        </w:tc>
        <w:tc>
          <w:tcPr>
            <w:tcW w:type="pct" w:w="38%"/>
            <w:tcBorders>
              <w:top w:val="single" w:color="232838" w:sz="1"/>
              <w:left w:val="single" w:color="232838" w:sz="1"/>
              <w:bottom w:val="single" w:color="232838" w:sz="1"/>
              <w:right w:val="single" w:color="232838" w:sz="1"/>
            </w:tcBorders>
            <w:shd w:fill="151923" w:color="151923" w:val="solid"/>
            <w:vAlign w:val="center"/>
          </w:tcPr>
          <w:p>
            <w:pPr>
              <w:keepNext w:val="false"/>
              <w:spacing w:after="40" w:before="40" w:line="276"/>
              <w:jc w:val="left"/>
            </w:pPr>
            <w:r>
              <w:rPr>
                <w:rFonts w:ascii="Arial" w:eastAsia="Microsoft YaHei" w:hAnsi="Arial"/>
                <w:i w:val="false"/>
                <w:iCs w:val="false"/>
                <w:color w:val="e8eaf0"/>
                <w:sz w:val="19"/>
                <w:szCs w:val="19"/>
              </w:rPr>
              <w:t xml:space="preserve">-1（位于所有内容之下）</w:t>
            </w:r>
          </w:p>
        </w:tc>
      </w:tr>
    </w:tbl>
    <w:sectPr>
      <w:headerReference w:type="default" r:id="rId9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e8eaf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2026-04-25T16:27:53.348Z</dcterms:created>
  <dcterms:modified xsi:type="dcterms:W3CDTF">2026-04-25T16:27:53.349Z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