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 w:before="0" w:line="360"/>
        <w:jc w:val="center"/>
      </w:pPr>
      <w:r>
        <w:rPr>
          <w:rFonts w:ascii="Arial" w:eastAsia="Microsoft YaHei" w:hAnsi="Arial"/>
          <w:b/>
          <w:bCs/>
          <w:color w:val="2563EB"/>
          <w:sz w:val="56"/>
          <w:szCs w:val="56"/>
        </w:rPr>
        <w:t xml:space="preserve">国家统计局月度数据查看器</w:t>
      </w:r>
    </w:p>
    <w:p>
      <w:pPr>
        <w:spacing w:after="200"/>
      </w:pP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36"/>
          <w:szCs w:val="36"/>
        </w:rPr>
        <w:t xml:space="preserve">产品需求文档 (PRD)</w:t>
      </w:r>
    </w:p>
    <w:p>
      <w:pPr>
        <w:spacing w:after="6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sz="0"/>
              <w:left w:val="none" w:sz="0"/>
              <w:bottom w:val="single" w:color="2563EB" w:sz="6"/>
              <w:right w:val="none" w:sz="0"/>
            </w:tcBorders>
          </w:tcPr>
          <w:p/>
        </w:tc>
      </w:tr>
    </w:tbl>
    <w:p>
      <w:pPr>
        <w:spacing w:after="600"/>
      </w:pP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4"/>
          <w:szCs w:val="24"/>
        </w:rPr>
        <w:t xml:space="preserve">日期：2026-04-25</w:t>
      </w: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color w:val="64748B"/>
          <w:sz w:val="24"/>
          <w:szCs w:val="24"/>
        </w:rPr>
        <w:t xml:space="preserve">版本：1.0</w:t>
      </w:r>
    </w:p>
    <w:p>
      <w:pPr>
        <w:spacing w:after="1200"/>
      </w:pPr>
    </w:p>
    <w:p>
      <w:pPr>
        <w:spacing w:after="120" w:before="0" w:line="360"/>
        <w:jc w:val="center"/>
      </w:pPr>
      <w:r>
        <w:rPr>
          <w:rFonts w:ascii="Arial" w:eastAsia="Microsoft YaHei" w:hAnsi="Arial"/>
          <w:b w:val="false"/>
          <w:bCs w:val="false"/>
          <w:i/>
          <w:iCs/>
          <w:color w:val="64748B"/>
          <w:sz w:val="20"/>
          <w:szCs w:val="20"/>
        </w:rPr>
        <w:t xml:space="preserve">本文档为内部产品需求文档，描述“国家统计局月度数据查看器”的功能需求、技术架构及版本规划。</w:t>
      </w:r>
    </w:p>
    <w:p>
      <w:r>
        <w:br w:type="page"/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 产品概述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1.1 产品背景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国家统计局网站 (data.stats.gov.cn) 提供了丰富的月度宏观经济数据，但官方网页的数据查询体验不够友好——指标层级深、无法批量选择、不支持自定义导出。本产品旨在构建一个本地化的数据查看与导出工具，让用户能够方便地浏览、筛选、抓取和导出国家统计局月度统计数据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1.2 产品定位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本地化数据获取与查看工具，面向需要频繁查阅国家统计局月度数据的分析师、研究人员和数据爱好者。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1.3 目标用户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宏观经济分析师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金融行业研究员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学术研究人员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数据新闻记者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对经济数据感兴趣的普通用户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1.4 核心价值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一键获取全量月度数据，无需手动逐页浏览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层级化指标树，支持多选和搜索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自动按指标名称升序排列，清晰展示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一键导出 Excel，方便后续分析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 系统架构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2.1 技术架构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系统采用前后端分离架构：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后端：Python Flask 代理服务器（负责与国家统计局 API 交互）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前端：单文件 HTML 应用（Tailwind CSS + SheetJS）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通信：RESTful API（JSON 格式）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2.2 文件结构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project/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├── proxy/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│   ├── app.py              # Flask 主应用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│   ├── stats_client.py     # API 客户端封装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│   └── requirements.txt    # Python 依赖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├── viewer.html             # 前端 HTML 应用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└── start.bat               # 一键启动脚本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2.3 数据流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用户操作 → HTML前端 → Flask代理服务器 → 国家统计局API V2.0 → 返回JSON数据 → 前端渲染表格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 功能需求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3.1 指标树浏览与选择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FR-001: 页面加载时自动从代理服务器获取完整月度指标分类树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FR-002: 指标树以可折叠的层级结构展示（最多5层：月度数据→分类→子分类→指标组→具体指标）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FR-003: 每个节点带复选框，支持多选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FR-004: 父子联动：勾选父节点自动选中所有子节点；子节点部分选中时父节点显示半选状态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FR-005: 提供"全选"和"清空"快捷按钮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FR-006: 提供搜索框，支持按指标名称实时过滤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FR-007: 显示已选叶子节点数量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3.2 数据获取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FR-008: 点击"获取数据"按钮后，自动抓取所有选中指标最近36个月的数据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FR-009: 获取过程中显示进度条和进度文字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FR-010: 单个指标获取失败不影响其他指标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FR-011: 获取完成后显示成功/失败统计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3.3 数据展示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FR-012: 数据以表格形式展示，表头为时间列（月份），行为指标数据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FR-013: 数据按指标名称升序排列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FR-014: 每个指标以分组标题行+数据行的形式追加呈现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FR-015: 表格第一列（指标名称）固定，支持横向滚动查看更多月份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FR-016: 无数据时显示友好的空状态提示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3.4 Excel 导出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FR-017: 点击"导出Excel"按钮将当前表格数据导出为 .xlsx 文件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FR-018: 文件名包含当前日期，格式为"国家统计局月度数据_YYYY-MM-DD.xlsx"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FR-019: 导出前检查是否有数据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3.5 代理服务器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FR-020: 提供 /api/tree 端点，返回完整月度指标树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FR-021: 提供 /api/indicators 端点，返回指定分类的指标列表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FR-022: 提供 /api/data 端点，批量获取多个指标集的数据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FR-023: 提供 /api/health 健康检查端点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FR-024: 自动管理 Cookie（访问首页获取 __jsluid_s）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FR-025: 请求速率控制（0.3-0.6秒随机间隔）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FR-026: 3次重试+指数退避机制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FR-027: 指标树缓存24小时，指标列表缓存12小时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FR-028: WAF 拦截时自动重新初始化 Session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3.6 响应式设计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FR-029: 桌面端（&gt;=1024px）：左右分栏布局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FR-030: 移动端（&lt;1024px）：左侧指标树以抽屉形式展示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FR-031: 表格支持横向滚动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 非功能需求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4.1 性能要求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NFR-001: 指标树加载时间 &lt; 30秒（首次，含网络请求）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NFR-002: 单个指标数据获取 &lt; 5秒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NFR-003: 前端页面首次渲染 &lt; 2秒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4.2 兼容性要求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NFR-004: 支持 Chrome 90+、Firefox 88+、Edge 90+、Safari 14+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NFR-005: 支持 Windows 10/11、macOS 11+、Ubuntu 20.04+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NFR-006: Python 3.8+ 运行环境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4.3 安全要求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NFR-007: 代理服务器仅监听 localhost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NFR-008: 不存储用户数据到磁盘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NFR-009: 不涉及用户认证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 API 接口规范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5.1 获取指标树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pct" w:w="8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端点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GET /api/tree?code=1</w:t>
            </w:r>
          </w:p>
        </w:tc>
      </w:tr>
      <w:tr>
        <w:tc>
          <w:tcPr>
            <w:tcW w:type="pct" w:w="2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描述</w:t>
            </w:r>
          </w:p>
        </w:tc>
        <w:tc>
          <w:tcPr>
            <w:tcW w:type="pct" w:w="8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获取完整月度指标分类树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响应格式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JSON</w:t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响应示例：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{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"success": true,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"data": [{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"id": "...",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"name": "...",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"isLeaf": false,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"children": [...]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}]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}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5.2 批量获取数据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pct" w:w="8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端点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POST /api/data</w:t>
            </w:r>
          </w:p>
        </w:tc>
      </w:tr>
      <w:tr>
        <w:tc>
          <w:tcPr>
            <w:tcW w:type="pct" w:w="2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描述</w:t>
            </w:r>
          </w:p>
        </w:tc>
        <w:tc>
          <w:tcPr>
            <w:tcW w:type="pct" w:w="8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批量获取多个指标集的数据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请求体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{ "cids": ["uuid1", "uuid2"], "months": 36 }</w:t>
            </w:r>
          </w:p>
        </w:tc>
      </w:tr>
      <w:tr>
        <w:tc>
          <w:tcPr>
            <w:tcW w:type="pct" w:w="2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响应格式</w:t>
            </w:r>
          </w:p>
        </w:tc>
        <w:tc>
          <w:tcPr>
            <w:tcW w:type="pct" w:w="8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JSON</w:t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响应示例：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{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"success": true,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"data": [{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"cid": "...",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"indicators": [...],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"data": [...],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  "success": true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}]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}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5.3 健康检查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属性</w:t>
            </w:r>
          </w:p>
        </w:tc>
        <w:tc>
          <w:tcPr>
            <w:tcW w:type="pct" w:w="80%"/>
            <w:shd w:fill="2563EB" w:color="2563EB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端点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GET /api/health</w:t>
            </w:r>
          </w:p>
        </w:tc>
      </w:tr>
      <w:tr>
        <w:tc>
          <w:tcPr>
            <w:tcW w:type="pct" w:w="2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描述</w:t>
            </w:r>
          </w:p>
        </w:tc>
        <w:tc>
          <w:tcPr>
            <w:tcW w:type="pct" w:w="80%"/>
            <w:shd w:fill="F1F5F9" w:color="F1F5F9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检查代理服务器运行状态</w:t>
            </w:r>
          </w:p>
        </w:tc>
      </w:tr>
      <w:tr>
        <w:tc>
          <w:tcPr>
            <w:tcW w:type="pct" w:w="2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响应格式</w:t>
            </w:r>
          </w:p>
        </w:tc>
        <w:tc>
          <w:tcPr>
            <w:tcW w:type="pct" w:w="80%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120" w:before="0" w:line="360"/>
            </w:pPr>
            <w:r>
              <w:rPr>
                <w:rFonts w:ascii="Arial" w:eastAsia="Microsoft YaHei" w:hAnsi="Arial"/>
                <w:b w:val="false"/>
                <w:bCs w:val="false"/>
                <w:color w:val="1E293B"/>
                <w:sz w:val="22"/>
                <w:szCs w:val="22"/>
              </w:rPr>
              <w:t xml:space="preserve">JSON</w:t>
            </w:r>
          </w:p>
        </w:tc>
      </w:tr>
    </w:tbl>
    <w:p>
      <w:pPr>
        <w:spacing w:after="120"/>
      </w:pPr>
    </w:p>
    <w:p>
      <w:pPr>
        <w:spacing w:after="120" w:before="0" w:line="360"/>
        <w:jc w:val="left"/>
      </w:pPr>
      <w:r>
        <w:rPr>
          <w:rFonts w:ascii="Arial" w:eastAsia="Microsoft YaHei" w:hAnsi="Arial"/>
          <w:b/>
          <w:bCs/>
          <w:color w:val="1E293B"/>
          <w:sz w:val="22"/>
          <w:szCs w:val="22"/>
        </w:rPr>
        <w:t xml:space="preserve">响应示例：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{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"status": "ok",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  "timestamp": 1234567890.123</w:t>
      </w:r>
    </w:p>
    <w:p>
      <w:pPr>
        <w:shd w:fill="F1F5F9" w:color="F1F5F9" w:val="solid"/>
        <w:spacing w:after="40" w:line="280"/>
        <w:ind w:left="360"/>
      </w:pPr>
      <w:r>
        <w:rPr>
          <w:rFonts w:ascii="Courier New" w:eastAsia="Microsoft YaHei" w:hAnsi="Courier New"/>
          <w:b w:val="false"/>
          <w:bCs w:val="false"/>
          <w:color w:val="1E293B"/>
          <w:sz w:val="20"/>
          <w:szCs w:val="20"/>
        </w:rPr>
        <w:t xml:space="preserve">}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 数据源说明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6.1 数据来源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国家统计局官方网站 data.stats.gov.cn，使用新版 API V2.0 端点。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6.2 指标分类体系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月度数据包含14个一级分类：价格指数、工业、能源、固定资产投资、服务业生产指数、城镇调查失业率、房地产、国内贸易、对外经济、交通运输、邮电通信、采购经理指数、财政、金融。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6.3 数据更新频率</w:t>
      </w:r>
    </w:p>
    <w:p>
      <w:pPr>
        <w:spacing w:after="120" w:before="0" w:line="360"/>
        <w:jc w:val="left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数据由国家统计局按月发布，通常在次月中旬更新上月数据。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7. 版本规划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v1.0 (当前版本)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基础指标树浏览与选择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最近36个月数据获取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表格展示与 Excel 导出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响应式布局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v1.1 (规划中)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支持自定义时间范围选择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数据图表可视化（折线图、柱状图）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数据缓存到本地 localStorage</w:t>
      </w:r>
    </w:p>
    <w:p>
      <w:pPr>
        <w:pStyle w:val="Heading2"/>
        <w:spacing w:after="120" w:before="240" w:line="360"/>
      </w:pPr>
      <w:r>
        <w:rPr>
          <w:rFonts w:ascii="Arial" w:eastAsia="Microsoft YaHei" w:hAnsi="Arial"/>
          <w:b/>
          <w:bCs/>
          <w:color w:val="1E293B"/>
          <w:sz w:val="28"/>
          <w:szCs w:val="28"/>
        </w:rPr>
        <w:t xml:space="preserve">v2.0 (远期)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支持季度数据和年度数据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支持分省数据</w:t>
      </w:r>
    </w:p>
    <w:p>
      <w:pPr>
        <w:pStyle w:val="ListParagraph"/>
        <w:numPr>
          <w:ilvl w:val="0"/>
          <w:numId w:val="1"/>
        </w:numPr>
        <w:spacing w:after="60" w:line="320"/>
      </w:pPr>
      <w:r>
        <w:rPr>
          <w:rFonts w:ascii="Arial" w:eastAsia="Microsoft YaHei" w:hAnsi="Arial"/>
          <w:b w:val="false"/>
          <w:bCs w:val="false"/>
          <w:color w:val="1E293B"/>
          <w:sz w:val="24"/>
          <w:szCs w:val="24"/>
        </w:rPr>
        <w:t xml:space="preserve">数据对比分析功能</w:t>
      </w:r>
    </w:p>
    <w:sectPr>
      <w:headerReference w:type="default" r:id="rId11"/>
      <w:footerReference w:type="default" r:id="rId8"/>
      <w:pgSz w:w="11908" w:h="16833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第 </w:t>
    </w:r>
    <w:r>
      <w:rPr>
        <w:rFonts w:ascii="Arial" w:eastAsia="Microsoft YaHei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0" w:line="360"/>
      <w:jc w:val="right"/>
    </w:pPr>
    <w:r>
      <w:rPr>
        <w:rFonts w:ascii="Arial" w:eastAsia="Microsoft YaHei" w:hAnsi="Arial"/>
        <w:b w:val="false"/>
        <w:bCs w:val="false"/>
        <w:color w:val="64748B"/>
        <w:sz w:val="18"/>
        <w:szCs w:val="18"/>
      </w:rPr>
      <w:t xml:space="preserve">国家统计局月度数据查看器 · PRD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E293B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Arial" w:eastAsia="Microsoft YaHei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eastAsia="Microsoft YaHei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Relationship Id="rId11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2026-04-25T13:31:47.833Z</dcterms:created>
  <dcterms:modified xsi:type="dcterms:W3CDTF">2026-04-25T13:31:47.835Z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