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rFonts w:ascii="Arial" w:cs="Arial" w:eastAsia="Arial" w:hAnsi="Arial"/>
          <w:b/>
          <w:bCs/>
          <w:color w:val="2d2d2d"/>
          <w:sz w:val="72"/>
          <w:szCs w:val="72"/>
        </w:rPr>
        <w:t xml:space="preserve">UI 设计文档</w:t>
      </w:r>
    </w:p>
    <w:p>
      <w:pPr>
        <w:pBdr>
          <w:left w:val="single" w:color="00a882" w:sz="12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666666"/>
          <w:sz w:val="48"/>
          <w:szCs w:val="48"/>
        </w:rPr>
        <w:t xml:space="preserve">项目：行业报告速递（IPOIPO Report Aggregator）</w:t>
      </w:r>
    </w:p>
    <w:p>
      <w:pPr>
        <w:pBdr>
          <w:left w:val="single" w:color="00a882" w:sz="12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666666"/>
          <w:sz w:val="48"/>
          <w:szCs w:val="48"/>
        </w:rPr>
        <w:t xml:space="preserve">状态：已确认</w:t>
      </w:r>
    </w:p>
    <w:p>
      <w:pPr>
        <w:spacing w:after="6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一、整体风格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风格定位：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专业数据工具风格，类似 Bloomberg Terminal / 金融数据终端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主色调：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深色主题（Dark Theme）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背景色：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#0a0c10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（最深底色）、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#12151c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（表面层）、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#1a1e28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（浮起层）、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#222838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（悬停态）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强调色：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#00d4aa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（青绿色 Teal），用于按钮、链接、统计数字、状态指示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文字色：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#e2e5ea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（主文字）、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#8b919c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（次要文字）、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#555d6e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（弱化文字）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边框色：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#1e2330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（默认）、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#2a3040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（亮边框）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危险色：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#ff5c5c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（错误状态）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字体方案：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48"/>
          <w:szCs w:val="48"/>
        </w:rPr>
        <w:t xml:space="preserve">  中文/正文：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Noto Sans SC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（Google Fonts CDN 引入）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48"/>
          <w:szCs w:val="48"/>
        </w:rPr>
        <w:t xml:space="preserve">  数字/代码：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JetBrains Mono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（Google Fonts CDN 引入）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48"/>
          <w:szCs w:val="48"/>
        </w:rPr>
        <w:t xml:space="preserve">  后备字体：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-apple-system, Segoe UI, sans-serif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圆角：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小圆角 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4px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（按钮）、中圆角 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6px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（输入框/卡片）、大圆角 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10px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（弹窗）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阴影：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三层阴影体系（sm/md/lg），从 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1px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 到 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32px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 模糊半径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过渡动画：</w:t>
      </w:r>
      <w:r>
        <w:rPr>
          <w:rFonts w:ascii="Courier New" w:cs="Courier New" w:eastAsia="Courier New" w:hAnsi="Courier New"/>
          <w:b w:val="false"/>
          <w:bCs w:val="false"/>
          <w:color w:val="0066cc"/>
          <w:sz w:val="48"/>
          <w:szCs w:val="48"/>
        </w:rPr>
        <w:t xml:space="preserve">0.2s cubic-bezier(0.4, 0, 0.2, 1)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 统一缓动函数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背景纹理：</w:t>
      </w:r>
      <w:r>
        <w:rPr>
          <w:rFonts w:ascii="Arial" w:cs="Arial" w:eastAsia="Arial" w:hAnsi="Arial"/>
          <w:color w:val="2d2d2d"/>
          <w:sz w:val="48"/>
          <w:szCs w:val="48"/>
        </w:rPr>
        <w:t xml:space="preserve">双层径向渐变叠加，左上角微弱青绿色光晕 + 右下角微弱蓝色光晕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二、页面结构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主页面（唯一页面）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页面草图（ASCII 示意）：</w:t>
      </w:r>
    </w:p>
    <w:p>
      <w:pPr>
        <w:shd w:fill="f0f2f5" w:val="solid"/>
        <w:spacing w:after="0" w:before="10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[IP] 行业报告速递              ● 就绪    2026-04-25 14:43  │  ← 顶部导航 header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     IPOIPO REPORT AGGREGATOR                                │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⌕ 搜索报告标题...    [日期↓] [日期↑] [标题A→Z] [↻刷新数据] │  ← 工具栏 toolbar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38 报告总数  |  38 可下载  |  38 当前显示                    │  ← 统计栏 stats-bar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#  │  日期       │  报告标题                    │ 页数 │操作│  ← 表头 thead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│────┼────────────┼───────────────────────────┼──────┼─────│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1  │ 2026-04-25  │ 南方电力市场2025年年报（61页）│  61  │↓下载│  ← 数据行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   │             │ 61页  👁 10                  │      │    │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│────┼────────────┼───────────────────────────┼──────┼─────│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2  │ 2026-04-25  │ 火箭行业专题报告（48页）      │  48  │↓下载│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   │             │ 48页  👁 15                  │      │    │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│  数据来源 ipoipo.cn                          共 38 条报告    │  ← 底部 footer</w:t>
      </w:r>
    </w:p>
    <w:p>
      <w:pPr>
        <w:shd w:fill="f0f2f5" w:val="solid"/>
        <w:spacing w:after="10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各区域说明：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区域</w:t>
            </w:r>
          </w:p>
        </w:tc>
        <w:tc>
          <w:tcPr>
            <w:tcW w:type="pct" w:w="22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HTML 元素</w:t>
            </w:r>
          </w:p>
        </w:tc>
        <w:tc>
          <w:tcPr>
            <w:tcW w:type="pct" w:w="33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内容</w:t>
            </w:r>
          </w:p>
        </w:tc>
        <w:tc>
          <w:tcPr>
            <w:tcW w:type="pct" w:w="3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顶部导航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40"/>
                <w:szCs w:val="40"/>
              </w:rPr>
              <w:t xml:space="preserve">header &gt; .header-inner</w:t>
            </w:r>
          </w:p>
        </w:tc>
        <w:tc>
          <w:tcPr>
            <w:tcW w:type="pct" w:w="33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Logo + 品牌名 + 状态指示器 + 更新时间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固定在顶部，底部1px边框</w:t>
            </w:r>
          </w:p>
        </w:tc>
      </w:tr>
      <w:tr>
        <w:tc>
          <w:tcPr>
            <w:tcW w:type="pct" w:w="15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工具栏</w:t>
            </w:r>
          </w:p>
        </w:tc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40"/>
                <w:szCs w:val="40"/>
              </w:rPr>
              <w:t xml:space="preserve">.toolbar</w:t>
            </w:r>
          </w:p>
        </w:tc>
        <w:tc>
          <w:tcPr>
            <w:tcW w:type="pct" w:w="33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搜索框 + 排序按钮组 + 刷新按钮</w:t>
            </w:r>
          </w:p>
        </w:tc>
        <w:tc>
          <w:tcPr>
            <w:tcW w:type="pct" w:w="3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弹性布局，搜索框自适应宽度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统计栏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40"/>
                <w:szCs w:val="40"/>
              </w:rPr>
              <w:t xml:space="preserve">.stats-bar</w:t>
            </w:r>
          </w:p>
        </w:tc>
        <w:tc>
          <w:tcPr>
            <w:tcW w:type="pct" w:w="33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报告总数 + 可下载数 + 当前显示数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三个指标用竖线分隔</w:t>
            </w:r>
          </w:p>
        </w:tc>
      </w:tr>
      <w:tr>
        <w:tc>
          <w:tcPr>
            <w:tcW w:type="pct" w:w="15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数据表格</w:t>
            </w:r>
          </w:p>
        </w:tc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40"/>
                <w:szCs w:val="40"/>
              </w:rPr>
              <w:t xml:space="preserve">table</w:t>
            </w:r>
          </w:p>
        </w:tc>
        <w:tc>
          <w:tcPr>
            <w:tcW w:type="pct" w:w="33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序号 + 日期 + 标题 + 页数 + 下载按钮</w:t>
            </w:r>
          </w:p>
        </w:tc>
        <w:tc>
          <w:tcPr>
            <w:tcW w:type="pct" w:w="3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表头 sticky 固定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底部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40"/>
                <w:szCs w:val="40"/>
              </w:rPr>
              <w:t xml:space="preserve">footer</w:t>
            </w:r>
          </w:p>
        </w:tc>
        <w:tc>
          <w:tcPr>
            <w:tcW w:type="pct" w:w="33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数据来源链接 + 报告总数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底部1px上边框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三、交互设计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搜索的交互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用户操作</w:t>
            </w:r>
          </w:p>
        </w:tc>
        <w:tc>
          <w:tcPr>
            <w:tcW w:type="pct" w:w="4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界面反应</w:t>
            </w:r>
          </w:p>
        </w:tc>
        <w:tc>
          <w:tcPr>
            <w:tcW w:type="pct" w:w="38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在搜索框中输入文字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300ms 防抖后自动过滤表格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输入过程中不触发搜索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输入"AI"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表格仅显示标题含"AI"的报告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不区分大小写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清空搜索框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恢复显示全部报告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统计栏"当前显示"同步更新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搜索无结果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表格隐藏，显示空状态"没有找到匹配的报告"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空状态居中显示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搜索框获得焦点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边框变为青绿色，外圈显示3px青绿色光晕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box-shadow: 0 0 0 3px rgba(0,212,170,0.12)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排序的交互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用户操作</w:t>
            </w:r>
          </w:p>
        </w:tc>
        <w:tc>
          <w:tcPr>
            <w:tcW w:type="pct" w:w="4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界面反应</w:t>
            </w:r>
          </w:p>
        </w:tc>
        <w:tc>
          <w:tcPr>
            <w:tcW w:type="pct" w:w="38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点击"日期 ↓"按钮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按日期降序排列，按钮高亮（青绿色背景）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默认排序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点击"日期 ↑"按钮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按日期升序排列，按钮高亮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同日期按标题升序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点击"标题 A→Z"按钮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按标题拼音升序排列，按钮高亮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同标题按日期降序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切换排序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表格行带渐入动画重新渲染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animation-delay</w:t>
            </w: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 逐行递增30ms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下载的交互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用户操作</w:t>
            </w:r>
          </w:p>
        </w:tc>
        <w:tc>
          <w:tcPr>
            <w:tcW w:type="pct" w:w="4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界面反应</w:t>
            </w:r>
          </w:p>
        </w:tc>
        <w:tc>
          <w:tcPr>
            <w:tcW w:type="pct" w:w="38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鼠标悬停"↓ 下载"按钮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按钮变为青绿色实心背景，黑色文字，外发光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box-shadow: 0 0 16px rgba(0,212,170,0.25)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点击"↓ 下载"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浏览器触发文件下载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文件名格式：报告标题.zip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点击禁用的"无链接"按钮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无反应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cursor: not-allowed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刷新的交互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用户操作</w:t>
            </w:r>
          </w:p>
        </w:tc>
        <w:tc>
          <w:tcPr>
            <w:tcW w:type="pct" w:w="4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界面反应</w:t>
            </w:r>
          </w:p>
        </w:tc>
        <w:tc>
          <w:tcPr>
            <w:tcW w:type="pct" w:w="38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点击"↻ 刷新数据"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按钮文字变为"↻ 抓取中..."并禁用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灰色不可点击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爬取进行中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显示加载动画（三个弹跳圆点）+ 进度文字 + 已用时间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进度每2秒轮询更新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爬取完成</w:t>
            </w:r>
          </w:p>
        </w:tc>
        <w:tc>
          <w:tcPr>
            <w:tcW w:type="pct" w:w="4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表格显示新数据，Toast 通知"已加载 N 条报告"</w:t>
            </w:r>
          </w:p>
        </w:tc>
        <w:tc>
          <w:tcPr>
            <w:tcW w:type="pct" w:w="3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Toast 3秒后自动消失</w:t>
            </w:r>
          </w:p>
        </w:tc>
      </w:tr>
      <w:tr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爬取失败</w:t>
            </w:r>
          </w:p>
        </w:tc>
        <w:tc>
          <w:tcPr>
            <w:tcW w:type="pct" w:w="4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显示错误状态 + "重试"按钮</w:t>
            </w:r>
          </w:p>
        </w:tc>
        <w:tc>
          <w:tcPr>
            <w:tcW w:type="pct" w:w="3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状态指示器变红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数据加载状态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状态</w:t>
            </w:r>
          </w:p>
        </w:tc>
        <w:tc>
          <w:tcPr>
            <w:tcW w:type="pct" w:w="45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视觉表现</w:t>
            </w:r>
          </w:p>
        </w:tc>
        <w:tc>
          <w:tcPr>
            <w:tcW w:type="pct" w:w="37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首次加载</w:t>
            </w:r>
          </w:p>
        </w:tc>
        <w:tc>
          <w:tcPr>
            <w:tcW w:type="pct" w:w="4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三个弹跳圆点 + "正在抓取近7天行业报告数据..." + 进度文字 + 骨架屏</w:t>
            </w:r>
          </w:p>
        </w:tc>
        <w:tc>
          <w:tcPr>
            <w:tcW w:type="pct" w:w="37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6行骨架屏模拟表格</w:t>
            </w:r>
          </w:p>
        </w:tc>
      </w:tr>
      <w:tr>
        <w:tc>
          <w:tcPr>
            <w:tcW w:type="pct" w:w="1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缓存加载</w:t>
            </w:r>
          </w:p>
        </w:tc>
        <w:tc>
          <w:tcPr>
            <w:tcW w:type="pct" w:w="45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直接显示数据（&lt;100ms）</w:t>
            </w:r>
          </w:p>
        </w:tc>
        <w:tc>
          <w:tcPr>
            <w:tcW w:type="pct" w:w="37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用户无感知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加载中</w:t>
            </w:r>
          </w:p>
        </w:tc>
        <w:tc>
          <w:tcPr>
            <w:tcW w:type="pct" w:w="4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状态指示器绿色脉冲动画</w:t>
            </w:r>
          </w:p>
        </w:tc>
        <w:tc>
          <w:tcPr>
            <w:tcW w:type="pct" w:w="37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● 圆点呼吸灯效果</w:t>
            </w:r>
          </w:p>
        </w:tc>
      </w:tr>
      <w:tr>
        <w:tc>
          <w:tcPr>
            <w:tcW w:type="pct" w:w="18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加载完成</w:t>
            </w:r>
          </w:p>
        </w:tc>
        <w:tc>
          <w:tcPr>
            <w:tcW w:type="pct" w:w="45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状态指示器灰色静止"就绪"</w:t>
            </w:r>
          </w:p>
        </w:tc>
        <w:tc>
          <w:tcPr>
            <w:tcW w:type="pct" w:w="37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● 圆点停止动画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加载失败</w:t>
            </w:r>
          </w:p>
        </w:tc>
        <w:tc>
          <w:tcPr>
            <w:tcW w:type="pct" w:w="4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状态指示器红色"错误"</w:t>
            </w:r>
          </w:p>
        </w:tc>
        <w:tc>
          <w:tcPr>
            <w:tcW w:type="pct" w:w="37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● 圆点变红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四、组件清单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组件</w:t>
            </w:r>
          </w:p>
        </w:tc>
        <w:tc>
          <w:tcPr>
            <w:tcW w:type="pct" w:w="2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用途</w:t>
            </w:r>
          </w:p>
        </w:tc>
        <w:tc>
          <w:tcPr>
            <w:tcW w:type="pct" w:w="6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样式特征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Logo 图标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36x36px，青绿渐变背景，白色"IP"文字，外发光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搜索报告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左侧搜索图标，深色背景，聚焦时青绿色边框+光晕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切换排序方式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默认深色边框，激活时青绿色半透明背景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刷新数据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青绿色实心背景，黑色文字，悬停时发光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下载 ZIP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青绿色边框透明按钮，悬停变实心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展示报告列表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紧凑行高，固定表头，行悬停高亮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报告标题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悬停变为青绿色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显示页数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深色小标签，10px 字号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统计指标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20px JetBrains Mono 加粗，青绿色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数据抓取中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三个8px圆点弹跳动画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加载占位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渐变扫光动画，模拟表格行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操作反馈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右上角弹出，3秒自动消失，左侧彩色边框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搜索无结果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居中显示"∅"图标 + 提示文字</w:t>
            </w:r>
          </w:p>
        </w:tc>
      </w:tr>
      <w:tr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加载失败</w:t>
            </w:r>
          </w:p>
        </w:tc>
        <w:tc>
          <w:tcPr>
            <w:tcW w:type="pct" w:w="6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居中显示"!"图标 + 错误信息 + 重试按钮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系统状态</w:t>
            </w:r>
          </w:p>
        </w:tc>
        <w:tc>
          <w:tcPr>
            <w:tcW w:type="pct" w:w="6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7px 圆点，绿色脉冲/灰色静止/红色错误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五、响应式设计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断点</w:t>
            </w:r>
          </w:p>
        </w:tc>
        <w:tc>
          <w:tcPr>
            <w:tcW w:type="pct" w:w="35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变化</w:t>
            </w:r>
          </w:p>
        </w:tc>
        <w:tc>
          <w:tcPr>
            <w:tcW w:type="pct" w:w="47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3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完整五列表格</w:t>
            </w:r>
          </w:p>
        </w:tc>
        <w:tc>
          <w:tcPr>
            <w:tcW w:type="pct" w:w="47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默认布局</w:t>
            </w:r>
          </w:p>
        </w:tc>
      </w:tr>
      <w:tr>
        <w:tc>
          <w:tcPr>
            <w:tcW w:type="pct" w:w="18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35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隐藏序号列和页数列</w:t>
            </w:r>
          </w:p>
        </w:tc>
        <w:tc>
          <w:tcPr>
            <w:tcW w:type="pct" w:w="47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仅显示日期、标题、操作3列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3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搜索框占满宽度</w:t>
            </w:r>
          </w:p>
        </w:tc>
        <w:tc>
          <w:tcPr>
            <w:tcW w:type="pct" w:w="47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max-width: none</w:t>
            </w:r>
          </w:p>
        </w:tc>
      </w:tr>
      <w:tr>
        <w:tc>
          <w:tcPr>
            <w:tcW w:type="pct" w:w="18%"/>
            <w:shd w:fill="f7f8fa" w:val="solid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35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工具栏垂直排列</w:t>
            </w:r>
          </w:p>
        </w:tc>
        <w:tc>
          <w:tcPr>
            <w:tcW w:type="pct" w:w="47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flex-direction: column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50" w:before="50"/>
              <w:jc w:val="left"/>
            </w:pPr>
          </w:p>
        </w:tc>
        <w:tc>
          <w:tcPr>
            <w:tcW w:type="pct" w:w="35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统计栏自动换行</w:t>
            </w:r>
          </w:p>
        </w:tc>
        <w:tc>
          <w:tcPr>
            <w:tcW w:type="pct" w:w="47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flex-wrap: wrap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六、动效规范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动效名称</w:t>
            </w:r>
          </w:p>
        </w:tc>
        <w:tc>
          <w:tcPr>
            <w:tcW w:type="pct" w:w="2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触发条件</w:t>
            </w:r>
          </w:p>
        </w:tc>
        <w:tc>
          <w:tcPr>
            <w:tcW w:type="pct" w:w="14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持续时间</w:t>
            </w:r>
          </w:p>
        </w:tc>
        <w:tc>
          <w:tcPr>
            <w:tcW w:type="pct" w:w="22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缓动函数</w:t>
            </w:r>
          </w:p>
        </w:tc>
        <w:tc>
          <w:tcPr>
            <w:tcW w:type="pct" w:w="30%"/>
            <w:shd w:fill="2d374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状态脉冲</w:t>
            </w: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系统抓取中</w:t>
            </w:r>
          </w:p>
        </w:tc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2s 循环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ease-in-out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绿色圆点透明度 1→0.4→1</w:t>
            </w:r>
          </w:p>
        </w:tc>
      </w:tr>
      <w:tr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加载弹跳</w:t>
            </w: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数据加载中</w:t>
            </w:r>
          </w:p>
        </w:tc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1.2s 循环</w:t>
            </w:r>
          </w:p>
        </w:tc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ease-in-out</w:t>
            </w:r>
          </w:p>
        </w:tc>
        <w:tc>
          <w:tcPr>
            <w:tcW w:type="pct" w:w="3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三个圆点依次缩放 0.4→1→0.4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骨架扫光</w:t>
            </w: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数据加载中</w:t>
            </w:r>
          </w:p>
        </w:tc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1.5s 循环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linear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渐变背景从右向左扫过</w:t>
            </w:r>
          </w:p>
        </w:tc>
      </w:tr>
      <w:tr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行渐入</w:t>
            </w: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表格渲染/排序切换</w:t>
            </w:r>
          </w:p>
        </w:tc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0.3s</w:t>
            </w:r>
          </w:p>
        </w:tc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ease-out</w:t>
            </w:r>
          </w:p>
        </w:tc>
        <w:tc>
          <w:tcPr>
            <w:tcW w:type="pct" w:w="3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从下方8px渐入，逐行延迟30ms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Toast 滑入</w:t>
            </w: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操作完成通知</w:t>
            </w:r>
          </w:p>
        </w:tc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0.3s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ease-out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从右侧20px滑入</w:t>
            </w:r>
          </w:p>
        </w:tc>
      </w:tr>
      <w:tr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Toast 消失</w:t>
            </w: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通知3秒后</w:t>
            </w:r>
          </w:p>
        </w:tc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0.3s</w:t>
            </w:r>
          </w:p>
        </w:tc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ease</w:t>
            </w:r>
          </w:p>
        </w:tc>
        <w:tc>
          <w:tcPr>
            <w:tcW w:type="pct" w:w="3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向右滑出并淡出</w:t>
            </w:r>
          </w:p>
        </w:tc>
      </w:tr>
      <w:tr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按钮悬停</w:t>
            </w:r>
          </w:p>
        </w:tc>
        <w:tc>
          <w:tcPr>
            <w:tcW w:type="pct" w:w="2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鼠标悬停按钮</w:t>
            </w:r>
          </w:p>
        </w:tc>
        <w:tc>
          <w:tcPr>
            <w:tcW w:type="pct" w:w="14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0.2s</w:t>
            </w:r>
          </w:p>
        </w:tc>
        <w:tc>
          <w:tcPr>
            <w:tcW w:type="pct" w:w="22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cubic-bezier(0.4,0,0.2,1)</w:t>
            </w:r>
          </w:p>
        </w:tc>
        <w:tc>
          <w:tcPr>
            <w:tcW w:type="pct" w:w="30%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背景色/边框色过渡</w:t>
            </w:r>
          </w:p>
        </w:tc>
      </w:tr>
      <w:tr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按钮点击</w:t>
            </w:r>
          </w:p>
        </w:tc>
        <w:tc>
          <w:tcPr>
            <w:tcW w:type="pct" w:w="2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鼠标按下按钮</w:t>
            </w:r>
          </w:p>
        </w:tc>
        <w:tc>
          <w:tcPr>
            <w:tcW w:type="pct" w:w="14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即时</w:t>
            </w:r>
          </w:p>
        </w:tc>
        <w:tc>
          <w:tcPr>
            <w:tcW w:type="pct" w:w="22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无</w:t>
            </w:r>
          </w:p>
        </w:tc>
        <w:tc>
          <w:tcPr>
            <w:tcW w:type="pct" w:w="30%"/>
            <w:shd w:fill="f7f8fa" w:val="solid"/>
            <w:vAlign w:val="center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36"/>
                <w:szCs w:val="36"/>
              </w:rPr>
              <w:t xml:space="preserve">scale(0.97)</w:t>
            </w:r>
            <w:r>
              <w:rPr>
                <w:rFonts w:ascii="Arial" w:cs="Arial" w:eastAsia="Arial" w:hAnsi="Arial"/>
                <w:color w:val="2d2d2d"/>
                <w:sz w:val="40"/>
                <w:szCs w:val="40"/>
              </w:rPr>
              <w:t xml:space="preserve"> 缩小效果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七、CSS 变量体系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所有设计令牌通过 CSS 自定义属性统一管理：</w:t>
      </w:r>
    </w:p>
    <w:p>
      <w:pPr>
        <w:spacing w:after="60"/>
      </w:pPr>
    </w:p>
    <w:p>
      <w:pPr>
        <w:shd w:fill="f0f2f5" w:val="solid"/>
        <w:spacing w:after="0" w:before="10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:root {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--bg-base: #0a0c10;        /* 最深底色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--bg-surface: #12151c;     /* 表面层（输入框、表头）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--bg-elevated: #1a1e28;    /* 浮起层（Toast、弹窗）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--bg-hover: #222838;       /* 悬停态（表格行）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--bg-active: #2a3040;      /* 激活态（标签背景）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--text-primary: #e2e5ea;   /* 主文字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--text-secondary: #8b919c; /* 次要文字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--text-muted: #555d6e;     /* 弱化文字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--accent: #00d4aa;         /* 强调色（青绿）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--accent-dim: rgba(0,212,170,0.12);  /* 强调色淡化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--accent-hover: #00f0c0;   /* 强调色悬停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--accent-glow: rgba(0,212,170,0.25); /* 强调色光晕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--border: #1e2330;         /* 默认边框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--border-light: #2a3040;   /* 亮边框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--danger: #ff5c5c;         /* 危险/错误色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--font-mono: 'JetBrains Mono', monospace;  /* 等宽字体 */</w:t>
      </w:r>
    </w:p>
    <w:p>
      <w:pPr>
        <w:shd w:fill="f0f2f5" w:val="solid"/>
        <w:spacing w:after="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  --font-sans: 'Noto Sans SC', sans-serif;   /* 正文字体 */</w:t>
      </w:r>
    </w:p>
    <w:p>
      <w:pPr>
        <w:shd w:fill="f0f2f5" w:val="solid"/>
        <w:spacing w:after="100" w:before="0" w:line="260"/>
        <w:ind w:left="300" w:right="300"/>
      </w:pPr>
      <w:r>
        <w:rPr>
          <w:rFonts w:ascii="Courier New" w:cs="Courier New" w:eastAsia="Courier New" w:hAnsi="Courier New"/>
          <w:color w:val="333333"/>
          <w:sz w:val="34"/>
          <w:szCs w:val="34"/>
        </w:rPr>
        <w:t xml:space="preserve">}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行业报告速递 - UI 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48"/>
        <w:szCs w:val="4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Arial" w:cs="Arial" w:eastAsia="Arial" w:hAnsi="Arial"/>
      <w:b/>
      <w:bCs/>
      <w:color w:val="2d2d2d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2d2d2d"/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2026-04-25T15:48:56.617Z</dcterms:created>
  <dcterms:modified xsi:type="dcterms:W3CDTF">2026-04-25T15:48:56.620Z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