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EAA68">
      <w:pPr>
        <w:jc w:val="center"/>
        <w:rPr>
          <w:rFonts w:hint="eastAsia"/>
          <w:sz w:val="52"/>
          <w:szCs w:val="52"/>
        </w:rPr>
      </w:pPr>
      <w:r>
        <w:rPr>
          <w:rFonts w:hint="eastAsia"/>
          <w:sz w:val="52"/>
          <w:szCs w:val="52"/>
        </w:rPr>
        <w:t>峰业热喷涂（返修专用）生产工艺单</w:t>
      </w:r>
    </w:p>
    <w:p w14:paraId="4B49FB3A">
      <w:pPr>
        <w:rPr>
          <w:rFonts w:hint="eastAsia"/>
        </w:rPr>
      </w:pPr>
      <w:r>
        <w:rPr>
          <w:rFonts w:hint="eastAsia"/>
        </w:rPr>
        <w:t>单号：FY--2026-001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                             </w:t>
      </w:r>
      <w:r>
        <w:rPr>
          <w:rFonts w:hint="eastAsia"/>
        </w:rPr>
        <w:t>日期：____年__月__日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762"/>
        <w:gridCol w:w="1380"/>
        <w:gridCol w:w="1380"/>
      </w:tblGrid>
      <w:tr w14:paraId="32E9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3"/>
          </w:tcPr>
          <w:p w14:paraId="20EB8073">
            <w:r>
              <w:rPr>
                <w:rFonts w:hint="eastAsia"/>
              </w:rPr>
              <w:t>返修原因</w:t>
            </w:r>
          </w:p>
        </w:tc>
      </w:tr>
      <w:tr w14:paraId="0DF2D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379" w:hRule="atLeast"/>
        </w:trPr>
        <w:tc>
          <w:tcPr>
            <w:tcW w:w="8522" w:type="dxa"/>
            <w:gridSpan w:val="3"/>
            <w:tcBorders/>
          </w:tcPr>
          <w:p w14:paraId="01438C71">
            <w:pPr>
              <w:rPr>
                <w:rFonts w:hint="eastAsia"/>
              </w:rPr>
            </w:pPr>
            <w:r>
              <w:rPr>
                <w:rFonts w:hint="eastAsia"/>
              </w:rPr>
              <w:t>□ 涂层厚度不足     □ 涂层脱落 / 起皮    □ 表面光洁度不达标</w:t>
            </w:r>
          </w:p>
          <w:p w14:paraId="4E1F7B4F">
            <w:r>
              <w:rPr>
                <w:rFonts w:hint="eastAsia"/>
              </w:rPr>
              <w:t>□ 硬度/结合力不达标      □ 尺寸加工超差        □ 客户设计变更</w:t>
            </w:r>
          </w:p>
          <w:p w14:paraId="5F8844B6">
            <w:r>
              <w:rPr>
                <w:rFonts w:hint="eastAsia"/>
              </w:rPr>
              <w:t>□ 来料基体缺陷            □ 喷涂过程异常（如起弧、氧化等）</w:t>
            </w:r>
          </w:p>
          <w:p w14:paraId="0D7A4EFB">
            <w:r>
              <w:rPr>
                <w:rFonts w:hint="eastAsia"/>
              </w:rPr>
              <w:t>□ 其他：_________________________________________</w:t>
            </w:r>
          </w:p>
        </w:tc>
      </w:tr>
      <w:tr w14:paraId="6A292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</w:trPr>
        <w:tc>
          <w:tcPr>
            <w:tcW w:w="8522" w:type="dxa"/>
            <w:gridSpan w:val="3"/>
          </w:tcPr>
          <w:p w14:paraId="39DB0684">
            <w:r>
              <w:rPr>
                <w:rFonts w:hint="eastAsia"/>
              </w:rPr>
              <w:t>详细返修说明：_________________________________________________</w:t>
            </w:r>
          </w:p>
        </w:tc>
      </w:tr>
      <w:tr w14:paraId="67E1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080" w:hRule="atLeast"/>
        </w:trPr>
        <w:tc>
          <w:tcPr>
            <w:tcW w:w="8522" w:type="dxa"/>
            <w:gridSpan w:val="3"/>
            <w:tcBorders/>
          </w:tcPr>
          <w:tbl>
            <w:tblPr>
              <w:tblStyle w:val="3"/>
              <w:tblW w:w="823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6"/>
              <w:gridCol w:w="647"/>
              <w:gridCol w:w="1680"/>
              <w:gridCol w:w="563"/>
              <w:gridCol w:w="1167"/>
              <w:gridCol w:w="1058"/>
              <w:gridCol w:w="458"/>
              <w:gridCol w:w="528"/>
              <w:gridCol w:w="541"/>
              <w:gridCol w:w="1167"/>
            </w:tblGrid>
            <w:tr w14:paraId="7BA636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1" w:hRule="atLeast"/>
              </w:trPr>
              <w:tc>
                <w:tcPr>
                  <w:tcW w:w="426" w:type="dxa"/>
                  <w:vAlign w:val="center"/>
                </w:tcPr>
                <w:p w14:paraId="4DE079A7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序号</w:t>
                  </w:r>
                </w:p>
              </w:tc>
              <w:tc>
                <w:tcPr>
                  <w:tcW w:w="647" w:type="dxa"/>
                  <w:vAlign w:val="center"/>
                </w:tcPr>
                <w:p w14:paraId="37A7D3A2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客户名称</w:t>
                  </w:r>
                </w:p>
              </w:tc>
              <w:tc>
                <w:tcPr>
                  <w:tcW w:w="1680" w:type="dxa"/>
                  <w:vAlign w:val="center"/>
                </w:tcPr>
                <w:p w14:paraId="3C6ED122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工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件</w:t>
                  </w:r>
                  <w:r>
                    <w:rPr>
                      <w:rFonts w:hint="eastAsia"/>
                      <w:szCs w:val="21"/>
                    </w:rPr>
                    <w:t>类型</w:t>
                  </w:r>
                </w:p>
              </w:tc>
              <w:tc>
                <w:tcPr>
                  <w:tcW w:w="563" w:type="dxa"/>
                  <w:vAlign w:val="center"/>
                </w:tcPr>
                <w:p w14:paraId="0259D2AF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粉末</w:t>
                  </w:r>
                </w:p>
              </w:tc>
              <w:tc>
                <w:tcPr>
                  <w:tcW w:w="1167" w:type="dxa"/>
                  <w:vAlign w:val="center"/>
                </w:tcPr>
                <w:p w14:paraId="07DC0953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任务下达时间</w:t>
                  </w:r>
                </w:p>
              </w:tc>
              <w:tc>
                <w:tcPr>
                  <w:tcW w:w="1058" w:type="dxa"/>
                  <w:vAlign w:val="center"/>
                </w:tcPr>
                <w:p w14:paraId="4AF42212">
                  <w:pPr>
                    <w:jc w:val="center"/>
                    <w:rPr>
                      <w:rFonts w:hint="eastAsia" w:eastAsiaTheme="minorEastAsia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Cs w:val="21"/>
                    </w:rPr>
                    <w:t>工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艺</w:t>
                  </w:r>
                  <w:r>
                    <w:rPr>
                      <w:rFonts w:hint="eastAsia"/>
                      <w:szCs w:val="21"/>
                    </w:rPr>
                    <w:t>类型</w:t>
                  </w:r>
                  <w:r>
                    <w:rPr>
                      <w:rFonts w:hint="eastAsia"/>
                      <w:szCs w:val="21"/>
                      <w:lang w:eastAsia="zh-CN"/>
                    </w:rPr>
                    <w:t>（厚度及光洁度）</w:t>
                  </w:r>
                </w:p>
              </w:tc>
              <w:tc>
                <w:tcPr>
                  <w:tcW w:w="458" w:type="dxa"/>
                  <w:vAlign w:val="center"/>
                </w:tcPr>
                <w:p w14:paraId="12CBE39C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数量</w:t>
                  </w:r>
                </w:p>
              </w:tc>
              <w:tc>
                <w:tcPr>
                  <w:tcW w:w="528" w:type="dxa"/>
                  <w:vAlign w:val="center"/>
                </w:tcPr>
                <w:p w14:paraId="488C31DA">
                  <w:pPr>
                    <w:jc w:val="center"/>
                    <w:rPr>
                      <w:rFonts w:hint="eastAsia" w:eastAsiaTheme="minorEastAsia"/>
                      <w:szCs w:val="21"/>
                      <w:lang w:eastAsia="zh-CN"/>
                    </w:rPr>
                  </w:pPr>
                  <w:r>
                    <w:rPr>
                      <w:rFonts w:hint="eastAsia"/>
                      <w:szCs w:val="21"/>
                      <w:lang w:eastAsia="zh-CN"/>
                    </w:rPr>
                    <w:t>喷涂前尺寸</w:t>
                  </w:r>
                </w:p>
              </w:tc>
              <w:tc>
                <w:tcPr>
                  <w:tcW w:w="541" w:type="dxa"/>
                  <w:vAlign w:val="center"/>
                </w:tcPr>
                <w:p w14:paraId="2C5740A9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  <w:lang w:eastAsia="zh-CN"/>
                    </w:rPr>
                    <w:t>喷涂后尺寸</w:t>
                  </w:r>
                </w:p>
              </w:tc>
              <w:tc>
                <w:tcPr>
                  <w:tcW w:w="1167" w:type="dxa"/>
                  <w:vAlign w:val="center"/>
                </w:tcPr>
                <w:p w14:paraId="32E7A4B3"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最迟交期</w:t>
                  </w:r>
                </w:p>
              </w:tc>
            </w:tr>
            <w:tr w14:paraId="2D51DE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1" w:hRule="atLeast"/>
              </w:trPr>
              <w:tc>
                <w:tcPr>
                  <w:tcW w:w="426" w:type="dxa"/>
                  <w:vAlign w:val="center"/>
                </w:tcPr>
                <w:p w14:paraId="07F33C64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eastAsiaTheme="minorEastAsia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647" w:type="dxa"/>
                  <w:shd w:val="clear" w:color="auto" w:fill="auto"/>
                  <w:vAlign w:val="center"/>
                </w:tcPr>
                <w:p w14:paraId="43F016F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80" w:type="dxa"/>
                  <w:shd w:val="clear" w:color="auto" w:fill="auto"/>
                  <w:vAlign w:val="center"/>
                </w:tcPr>
                <w:p w14:paraId="576C223A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8"/>
                      <w:szCs w:val="2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563" w:type="dxa"/>
                  <w:shd w:val="clear" w:color="auto" w:fill="auto"/>
                  <w:vAlign w:val="center"/>
                </w:tcPr>
                <w:p w14:paraId="6C1DCFAB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="等线" w:hAnsi="等线" w:eastAsia="等线" w:cs="等线"/>
                      <w:i w:val="0"/>
                      <w:iCs w:val="0"/>
                      <w:color w:val="000000"/>
                      <w:kern w:val="2"/>
                      <w:sz w:val="22"/>
                      <w:szCs w:val="22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vAlign w:val="center"/>
                </w:tcPr>
                <w:p w14:paraId="5A9AC91C">
                  <w:pPr>
                    <w:jc w:val="both"/>
                    <w:rPr>
                      <w:rFonts w:hint="default"/>
                      <w:sz w:val="22"/>
                      <w:szCs w:val="22"/>
                      <w:lang w:val="en-US" w:eastAsia="zh-CN"/>
                    </w:rPr>
                  </w:pPr>
                </w:p>
              </w:tc>
              <w:tc>
                <w:tcPr>
                  <w:tcW w:w="1058" w:type="dxa"/>
                  <w:shd w:val="clear" w:color="auto" w:fill="auto"/>
                  <w:vAlign w:val="center"/>
                </w:tcPr>
                <w:p w14:paraId="3BF931FD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458" w:type="dxa"/>
                  <w:shd w:val="clear" w:color="auto" w:fill="auto"/>
                  <w:vAlign w:val="center"/>
                </w:tcPr>
                <w:p w14:paraId="0AF41DF2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4"/>
                      <w:szCs w:val="24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528" w:type="dxa"/>
                  <w:vAlign w:val="top"/>
                </w:tcPr>
                <w:p w14:paraId="004CCE7D">
                  <w:pPr>
                    <w:jc w:val="center"/>
                    <w:rPr>
                      <w:rFonts w:hint="default"/>
                      <w:sz w:val="22"/>
                      <w:szCs w:val="22"/>
                      <w:lang w:val="en-US" w:eastAsia="zh-CN"/>
                    </w:rPr>
                  </w:pPr>
                </w:p>
              </w:tc>
              <w:tc>
                <w:tcPr>
                  <w:tcW w:w="541" w:type="dxa"/>
                  <w:vAlign w:val="top"/>
                </w:tcPr>
                <w:p w14:paraId="1AF0CED6">
                  <w:pPr>
                    <w:jc w:val="center"/>
                    <w:rPr>
                      <w:rFonts w:hint="default" w:eastAsiaTheme="minorEastAsia"/>
                      <w:sz w:val="22"/>
                      <w:szCs w:val="22"/>
                      <w:lang w:val="en-US" w:eastAsia="zh-CN"/>
                    </w:rPr>
                  </w:pPr>
                </w:p>
              </w:tc>
              <w:tc>
                <w:tcPr>
                  <w:tcW w:w="1167" w:type="dxa"/>
                  <w:vAlign w:val="center"/>
                </w:tcPr>
                <w:p w14:paraId="17CBFA0F">
                  <w:pPr>
                    <w:jc w:val="both"/>
                    <w:rPr>
                      <w:rFonts w:hint="default"/>
                      <w:sz w:val="22"/>
                      <w:szCs w:val="22"/>
                      <w:lang w:val="en-US" w:eastAsia="zh-CN"/>
                    </w:rPr>
                  </w:pPr>
                </w:p>
              </w:tc>
            </w:tr>
            <w:tr w14:paraId="4D5151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1" w:hRule="atLeast"/>
              </w:trPr>
              <w:tc>
                <w:tcPr>
                  <w:tcW w:w="426" w:type="dxa"/>
                  <w:vAlign w:val="center"/>
                </w:tcPr>
                <w:p w14:paraId="53B2CA3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647" w:type="dxa"/>
                  <w:shd w:val="clear" w:color="auto" w:fill="auto"/>
                  <w:vAlign w:val="center"/>
                </w:tcPr>
                <w:p w14:paraId="2069536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2"/>
                      <w:sz w:val="28"/>
                      <w:szCs w:val="2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1680" w:type="dxa"/>
                  <w:shd w:val="clear" w:color="auto" w:fill="auto"/>
                  <w:vAlign w:val="center"/>
                </w:tcPr>
                <w:p w14:paraId="16649B7B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28"/>
                      <w:szCs w:val="2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563" w:type="dxa"/>
                  <w:shd w:val="clear" w:color="auto" w:fill="auto"/>
                  <w:vAlign w:val="center"/>
                </w:tcPr>
                <w:p w14:paraId="14556790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4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shd w:val="clear" w:color="auto" w:fill="auto"/>
                  <w:vAlign w:val="center"/>
                </w:tcPr>
                <w:p w14:paraId="5FA0EB20">
                  <w:pPr>
                    <w:jc w:val="both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058" w:type="dxa"/>
                  <w:shd w:val="clear" w:color="auto" w:fill="auto"/>
                  <w:vAlign w:val="center"/>
                </w:tcPr>
                <w:p w14:paraId="30B0D1E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458" w:type="dxa"/>
                  <w:shd w:val="clear" w:color="auto" w:fill="auto"/>
                  <w:vAlign w:val="center"/>
                </w:tcPr>
                <w:p w14:paraId="1DDFDC60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528" w:type="dxa"/>
                  <w:shd w:val="clear" w:color="auto" w:fill="auto"/>
                  <w:vAlign w:val="top"/>
                </w:tcPr>
                <w:p w14:paraId="565A8D4D">
                  <w:pPr>
                    <w:jc w:val="center"/>
                    <w:rPr>
                      <w:rStyle w:val="5"/>
                      <w:rFonts w:hint="default"/>
                      <w:b w:val="0"/>
                      <w:bCs w:val="0"/>
                      <w:sz w:val="24"/>
                      <w:szCs w:val="24"/>
                      <w:lang w:val="en-US" w:eastAsia="zh-CN"/>
                      <w:woUserID w:val="0"/>
                    </w:rPr>
                  </w:pPr>
                </w:p>
              </w:tc>
              <w:tc>
                <w:tcPr>
                  <w:tcW w:w="541" w:type="dxa"/>
                  <w:shd w:val="clear" w:color="auto" w:fill="auto"/>
                  <w:vAlign w:val="top"/>
                </w:tcPr>
                <w:p w14:paraId="5E35A132">
                  <w:pPr>
                    <w:jc w:val="center"/>
                    <w:rPr>
                      <w:rFonts w:hint="eastAsia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shd w:val="clear" w:color="auto" w:fill="auto"/>
                  <w:vAlign w:val="center"/>
                </w:tcPr>
                <w:p w14:paraId="525116E8">
                  <w:pPr>
                    <w:jc w:val="both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</w:tr>
            <w:tr w14:paraId="46D0055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1" w:hRule="atLeast"/>
              </w:trPr>
              <w:tc>
                <w:tcPr>
                  <w:tcW w:w="426" w:type="dxa"/>
                  <w:vAlign w:val="center"/>
                </w:tcPr>
                <w:p w14:paraId="132DF39B">
                  <w:pPr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647" w:type="dxa"/>
                  <w:shd w:val="clear" w:color="auto" w:fill="auto"/>
                  <w:vAlign w:val="center"/>
                </w:tcPr>
                <w:p w14:paraId="07781A8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80" w:type="dxa"/>
                  <w:shd w:val="clear" w:color="auto" w:fill="auto"/>
                  <w:vAlign w:val="center"/>
                </w:tcPr>
                <w:p w14:paraId="7751E25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8"/>
                      <w:szCs w:val="2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563" w:type="dxa"/>
                  <w:shd w:val="clear" w:color="auto" w:fill="auto"/>
                  <w:vAlign w:val="center"/>
                </w:tcPr>
                <w:p w14:paraId="26AFB5FD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shd w:val="clear" w:color="auto" w:fill="auto"/>
                  <w:vAlign w:val="center"/>
                </w:tcPr>
                <w:p w14:paraId="165EDAAF">
                  <w:pPr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058" w:type="dxa"/>
                  <w:shd w:val="clear" w:color="auto" w:fill="auto"/>
                  <w:vAlign w:val="center"/>
                </w:tcPr>
                <w:p w14:paraId="3C57BE18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458" w:type="dxa"/>
                  <w:shd w:val="clear" w:color="auto" w:fill="auto"/>
                  <w:vAlign w:val="center"/>
                </w:tcPr>
                <w:p w14:paraId="5CA1EF9A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528" w:type="dxa"/>
                  <w:shd w:val="clear" w:color="auto" w:fill="auto"/>
                  <w:vAlign w:val="top"/>
                </w:tcPr>
                <w:p w14:paraId="6E393F65">
                  <w:pPr>
                    <w:jc w:val="center"/>
                    <w:rPr>
                      <w:rFonts w:hint="eastAsia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541" w:type="dxa"/>
                  <w:shd w:val="clear" w:color="auto" w:fill="auto"/>
                  <w:vAlign w:val="top"/>
                </w:tcPr>
                <w:p w14:paraId="466465A5">
                  <w:pPr>
                    <w:jc w:val="center"/>
                    <w:rPr>
                      <w:rFonts w:hint="eastAsia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shd w:val="clear" w:color="auto" w:fill="auto"/>
                  <w:vAlign w:val="center"/>
                </w:tcPr>
                <w:p w14:paraId="04DE851C">
                  <w:pPr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</w:tr>
            <w:tr w14:paraId="4601B7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1" w:hRule="atLeast"/>
              </w:trPr>
              <w:tc>
                <w:tcPr>
                  <w:tcW w:w="426" w:type="dxa"/>
                  <w:vAlign w:val="center"/>
                </w:tcPr>
                <w:p w14:paraId="6EAC5359">
                  <w:pPr>
                    <w:rPr>
                      <w:rFonts w:hint="default"/>
                      <w:sz w:val="24"/>
                      <w:szCs w:val="24"/>
                      <w:lang w:val="en-US" w:eastAsia="zh-CN"/>
                    </w:rPr>
                  </w:pPr>
                </w:p>
              </w:tc>
              <w:tc>
                <w:tcPr>
                  <w:tcW w:w="647" w:type="dxa"/>
                  <w:shd w:val="clear" w:color="auto" w:fill="auto"/>
                  <w:vAlign w:val="center"/>
                </w:tcPr>
                <w:p w14:paraId="7AD8B975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b w:val="0"/>
                      <w:bCs w:val="0"/>
                      <w:i w:val="0"/>
                      <w:iCs w:val="0"/>
                      <w:color w:val="000000"/>
                      <w:kern w:val="0"/>
                      <w:sz w:val="28"/>
                      <w:szCs w:val="2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680" w:type="dxa"/>
                  <w:shd w:val="clear" w:color="auto" w:fill="auto"/>
                  <w:vAlign w:val="center"/>
                </w:tcPr>
                <w:p w14:paraId="7368F299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28"/>
                      <w:szCs w:val="28"/>
                      <w:u w:val="none"/>
                      <w:lang w:val="en-US" w:eastAsia="zh-CN" w:bidi="ar-SA"/>
                    </w:rPr>
                  </w:pPr>
                </w:p>
              </w:tc>
              <w:tc>
                <w:tcPr>
                  <w:tcW w:w="563" w:type="dxa"/>
                  <w:shd w:val="clear" w:color="auto" w:fill="auto"/>
                  <w:vAlign w:val="center"/>
                </w:tcPr>
                <w:p w14:paraId="7826420E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shd w:val="clear" w:color="auto" w:fill="auto"/>
                  <w:vAlign w:val="center"/>
                </w:tcPr>
                <w:p w14:paraId="59487B1B">
                  <w:pPr>
                    <w:jc w:val="both"/>
                    <w:rPr>
                      <w:rFonts w:hint="default" w:asciiTheme="minorHAnsi" w:hAnsiTheme="minorHAnsi" w:eastAsiaTheme="minorEastAsia" w:cstheme="minorBidi"/>
                      <w:b w:val="0"/>
                      <w:bCs w:val="0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058" w:type="dxa"/>
                  <w:shd w:val="clear" w:color="auto" w:fill="auto"/>
                  <w:vAlign w:val="center"/>
                </w:tcPr>
                <w:p w14:paraId="01312CA7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458" w:type="dxa"/>
                  <w:shd w:val="clear" w:color="auto" w:fill="auto"/>
                  <w:vAlign w:val="center"/>
                </w:tcPr>
                <w:p w14:paraId="1813BD5E">
                  <w:pPr>
                    <w:keepNext w:val="0"/>
                    <w:keepLines w:val="0"/>
                    <w:widowControl/>
                    <w:suppressLineNumbers w:val="0"/>
                    <w:jc w:val="right"/>
                    <w:textAlignment w:val="center"/>
                    <w:rPr>
                      <w:rFonts w:hint="default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528" w:type="dxa"/>
                  <w:shd w:val="clear" w:color="auto" w:fill="auto"/>
                  <w:vAlign w:val="top"/>
                </w:tcPr>
                <w:p w14:paraId="363CA9B9">
                  <w:pPr>
                    <w:jc w:val="center"/>
                    <w:rPr>
                      <w:rFonts w:hint="eastAsia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541" w:type="dxa"/>
                  <w:shd w:val="clear" w:color="auto" w:fill="auto"/>
                  <w:vAlign w:val="top"/>
                </w:tcPr>
                <w:p w14:paraId="01B94459">
                  <w:pPr>
                    <w:jc w:val="center"/>
                    <w:rPr>
                      <w:rFonts w:hint="eastAsia" w:asciiTheme="minorHAnsi" w:hAnsiTheme="minorHAnsi" w:eastAsiaTheme="minorEastAsia" w:cstheme="minorBidi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  <w:tc>
                <w:tcPr>
                  <w:tcW w:w="1167" w:type="dxa"/>
                  <w:shd w:val="clear" w:color="auto" w:fill="auto"/>
                  <w:vAlign w:val="center"/>
                </w:tcPr>
                <w:p w14:paraId="4290B377">
                  <w:pPr>
                    <w:jc w:val="both"/>
                    <w:rPr>
                      <w:rFonts w:hint="default" w:asciiTheme="minorHAnsi" w:hAnsiTheme="minorHAnsi" w:eastAsiaTheme="minorEastAsia" w:cstheme="minorBidi"/>
                      <w:b/>
                      <w:bCs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</w:p>
              </w:tc>
            </w:tr>
          </w:tbl>
          <w:p w14:paraId="32AFD038"/>
        </w:tc>
      </w:tr>
      <w:tr w14:paraId="6984E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</w:trPr>
        <w:tc>
          <w:tcPr>
            <w:tcW w:w="5762" w:type="dxa"/>
            <w:vAlign w:val="center"/>
          </w:tcPr>
          <w:p w14:paraId="29CBBF33">
            <w:pPr>
              <w:jc w:val="both"/>
            </w:pPr>
            <w:r>
              <w:rPr>
                <w:rFonts w:hint="eastAsia"/>
              </w:rPr>
              <w:t>业务员：_________</w:t>
            </w:r>
          </w:p>
        </w:tc>
        <w:tc>
          <w:tcPr>
            <w:tcW w:w="1380" w:type="dxa"/>
            <w:vMerge w:val="restart"/>
            <w:tcBorders/>
            <w:vAlign w:val="center"/>
          </w:tcPr>
          <w:p w14:paraId="10BADF85">
            <w:pPr>
              <w:jc w:val="center"/>
            </w:pPr>
            <w:r>
              <w:rPr>
                <w:rFonts w:hint="eastAsia"/>
              </w:rPr>
              <w:t>生产厂长：_________</w:t>
            </w:r>
          </w:p>
        </w:tc>
        <w:tc>
          <w:tcPr>
            <w:tcW w:w="1380" w:type="dxa"/>
            <w:vMerge w:val="restart"/>
            <w:tcBorders/>
            <w:vAlign w:val="center"/>
          </w:tcPr>
          <w:p w14:paraId="722D5D90">
            <w:pPr>
              <w:jc w:val="center"/>
            </w:pPr>
            <w:r>
              <w:rPr>
                <w:rFonts w:hint="eastAsia"/>
              </w:rPr>
              <w:t>技术负责人：_________</w:t>
            </w:r>
          </w:p>
        </w:tc>
      </w:tr>
      <w:tr w14:paraId="7C892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5" w:hRule="atLeast"/>
        </w:trPr>
        <w:tc>
          <w:tcPr>
            <w:tcW w:w="5762" w:type="dxa"/>
            <w:vAlign w:val="center"/>
          </w:tcPr>
          <w:p w14:paraId="5DE9E4E4">
            <w:pPr>
              <w:jc w:val="both"/>
            </w:pPr>
            <w:r>
              <w:rPr>
                <w:rFonts w:hint="eastAsia"/>
              </w:rPr>
              <w:t>返修工艺流程（责任人在对应工序后签名并签时间）：</w:t>
            </w:r>
          </w:p>
        </w:tc>
        <w:tc>
          <w:tcPr>
            <w:tcW w:w="1380" w:type="dxa"/>
            <w:vMerge w:val="continue"/>
            <w:tcBorders/>
          </w:tcPr>
          <w:p w14:paraId="6BB1402C"/>
        </w:tc>
        <w:tc>
          <w:tcPr>
            <w:tcW w:w="1380" w:type="dxa"/>
            <w:vMerge w:val="continue"/>
            <w:tcBorders/>
          </w:tcPr>
          <w:p w14:paraId="3A445221"/>
        </w:tc>
      </w:tr>
      <w:tr w14:paraId="5F94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52" w:hRule="atLeast"/>
        </w:trPr>
        <w:tc>
          <w:tcPr>
            <w:tcW w:w="5762" w:type="dxa"/>
            <w:vAlign w:val="center"/>
          </w:tcPr>
          <w:p w14:paraId="08804AE1">
            <w:pPr>
              <w:jc w:val="both"/>
            </w:pPr>
            <w:r>
              <w:rPr>
                <w:rFonts w:hint="eastAsia"/>
              </w:rPr>
              <w:t>清洗（返修前处理）：_________</w:t>
            </w:r>
          </w:p>
        </w:tc>
        <w:tc>
          <w:tcPr>
            <w:tcW w:w="1380" w:type="dxa"/>
            <w:vMerge w:val="continue"/>
            <w:tcBorders/>
          </w:tcPr>
          <w:p w14:paraId="57713629"/>
        </w:tc>
        <w:tc>
          <w:tcPr>
            <w:tcW w:w="1380" w:type="dxa"/>
            <w:vMerge w:val="continue"/>
            <w:tcBorders/>
          </w:tcPr>
          <w:p w14:paraId="62B86791"/>
        </w:tc>
      </w:tr>
      <w:tr w14:paraId="2F17F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8" w:hRule="atLeast"/>
        </w:trPr>
        <w:tc>
          <w:tcPr>
            <w:tcW w:w="5762" w:type="dxa"/>
            <w:vAlign w:val="center"/>
          </w:tcPr>
          <w:p w14:paraId="67B9EEA7">
            <w:pPr>
              <w:jc w:val="both"/>
            </w:pPr>
            <w:r>
              <w:rPr>
                <w:rFonts w:hint="eastAsia"/>
              </w:rPr>
              <w:t>喷砂（返修粗化）：_________</w:t>
            </w:r>
          </w:p>
        </w:tc>
        <w:tc>
          <w:tcPr>
            <w:tcW w:w="1380" w:type="dxa"/>
            <w:vMerge w:val="continue"/>
            <w:tcBorders/>
          </w:tcPr>
          <w:p w14:paraId="02CC8F72"/>
        </w:tc>
        <w:tc>
          <w:tcPr>
            <w:tcW w:w="1380" w:type="dxa"/>
            <w:vMerge w:val="continue"/>
            <w:tcBorders/>
          </w:tcPr>
          <w:p w14:paraId="1FEFB892"/>
        </w:tc>
      </w:tr>
      <w:tr w14:paraId="5280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02" w:hRule="atLeast"/>
        </w:trPr>
        <w:tc>
          <w:tcPr>
            <w:tcW w:w="5762" w:type="dxa"/>
            <w:vAlign w:val="center"/>
          </w:tcPr>
          <w:p w14:paraId="6D1031C4">
            <w:pPr>
              <w:jc w:val="both"/>
            </w:pPr>
            <w:r>
              <w:rPr>
                <w:rFonts w:hint="eastAsia"/>
              </w:rPr>
              <w:t>喷涂（补喷/重喷）：_________</w:t>
            </w:r>
          </w:p>
        </w:tc>
        <w:tc>
          <w:tcPr>
            <w:tcW w:w="1380" w:type="dxa"/>
            <w:vMerge w:val="continue"/>
            <w:tcBorders/>
          </w:tcPr>
          <w:p w14:paraId="35DA428D"/>
        </w:tc>
        <w:tc>
          <w:tcPr>
            <w:tcW w:w="1380" w:type="dxa"/>
            <w:vMerge w:val="continue"/>
            <w:tcBorders/>
          </w:tcPr>
          <w:p w14:paraId="480DC1F1"/>
        </w:tc>
      </w:tr>
      <w:tr w14:paraId="31C31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9" w:hRule="atLeast"/>
        </w:trPr>
        <w:tc>
          <w:tcPr>
            <w:tcW w:w="5762" w:type="dxa"/>
            <w:vAlign w:val="center"/>
          </w:tcPr>
          <w:p w14:paraId="54A3DE1B">
            <w:pPr>
              <w:jc w:val="both"/>
            </w:pPr>
            <w:r>
              <w:rPr>
                <w:rFonts w:hint="eastAsia"/>
              </w:rPr>
              <w:t>抛光/精磨（尺寸恢复）：_________</w:t>
            </w:r>
          </w:p>
        </w:tc>
        <w:tc>
          <w:tcPr>
            <w:tcW w:w="1380" w:type="dxa"/>
            <w:vMerge w:val="continue"/>
            <w:tcBorders/>
          </w:tcPr>
          <w:p w14:paraId="5E19F7F5"/>
        </w:tc>
        <w:tc>
          <w:tcPr>
            <w:tcW w:w="1380" w:type="dxa"/>
            <w:vMerge w:val="continue"/>
            <w:tcBorders/>
          </w:tcPr>
          <w:p w14:paraId="0D476877"/>
        </w:tc>
      </w:tr>
      <w:tr w14:paraId="4D3AD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85" w:hRule="atLeast"/>
        </w:trPr>
        <w:tc>
          <w:tcPr>
            <w:tcW w:w="5762" w:type="dxa"/>
            <w:vAlign w:val="center"/>
          </w:tcPr>
          <w:p w14:paraId="55607814">
            <w:pPr>
              <w:jc w:val="both"/>
            </w:pPr>
            <w:r>
              <w:rPr>
                <w:rFonts w:hint="eastAsia"/>
              </w:rPr>
              <w:t>包装（入库/发货）：_________</w:t>
            </w:r>
          </w:p>
        </w:tc>
        <w:tc>
          <w:tcPr>
            <w:tcW w:w="1380" w:type="dxa"/>
            <w:vMerge w:val="continue"/>
            <w:tcBorders/>
          </w:tcPr>
          <w:p w14:paraId="14B077E9"/>
        </w:tc>
        <w:tc>
          <w:tcPr>
            <w:tcW w:w="1380" w:type="dxa"/>
            <w:vMerge w:val="continue"/>
            <w:tcBorders/>
          </w:tcPr>
          <w:p w14:paraId="77D65B80"/>
        </w:tc>
      </w:tr>
      <w:tr w14:paraId="66A8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762" w:type="dxa"/>
            <w:vAlign w:val="center"/>
          </w:tcPr>
          <w:p w14:paraId="2780A549">
            <w:pPr>
              <w:jc w:val="both"/>
            </w:pPr>
            <w:r>
              <w:rPr>
                <w:rFonts w:hint="eastAsia"/>
              </w:rPr>
              <w:t>技术负责人意见（返修方案是否可行）：_________________________</w:t>
            </w:r>
          </w:p>
        </w:tc>
        <w:tc>
          <w:tcPr>
            <w:tcW w:w="1380" w:type="dxa"/>
            <w:vMerge w:val="continue"/>
            <w:tcBorders/>
          </w:tcPr>
          <w:p w14:paraId="2B3F2B46"/>
        </w:tc>
        <w:tc>
          <w:tcPr>
            <w:tcW w:w="1380" w:type="dxa"/>
            <w:vMerge w:val="continue"/>
            <w:tcBorders/>
          </w:tcPr>
          <w:p w14:paraId="75D906E9"/>
        </w:tc>
      </w:tr>
      <w:tr w14:paraId="2C165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8" w:hRule="atLeast"/>
        </w:trPr>
        <w:tc>
          <w:tcPr>
            <w:tcW w:w="5762" w:type="dxa"/>
            <w:vAlign w:val="center"/>
          </w:tcPr>
          <w:p w14:paraId="4F2DE0FD">
            <w:pPr>
              <w:jc w:val="both"/>
            </w:pPr>
            <w:r>
              <w:rPr>
                <w:rFonts w:hint="eastAsia"/>
              </w:rPr>
              <w:t>总验收（尺寸/外观/结合力确认）：_________   __/__</w:t>
            </w:r>
          </w:p>
        </w:tc>
        <w:tc>
          <w:tcPr>
            <w:tcW w:w="1380" w:type="dxa"/>
            <w:vMerge w:val="continue"/>
            <w:tcBorders/>
          </w:tcPr>
          <w:p w14:paraId="1FEED627"/>
        </w:tc>
        <w:tc>
          <w:tcPr>
            <w:tcW w:w="1380" w:type="dxa"/>
            <w:vMerge w:val="continue"/>
            <w:tcBorders/>
          </w:tcPr>
          <w:p w14:paraId="7307EE89"/>
        </w:tc>
      </w:tr>
    </w:tbl>
    <w:p w14:paraId="22989CAF">
      <w:pPr>
        <w:rPr>
          <w:rFonts w:hint="eastAsia"/>
        </w:rPr>
      </w:pPr>
    </w:p>
    <w:p w14:paraId="3BEC06D6">
      <w:r>
        <w:rPr>
          <w:rFonts w:hint="eastAsia"/>
        </w:rPr>
        <w:t>备注：返修件需在“返修原因”栏明确</w:t>
      </w:r>
      <w:bookmarkStart w:id="0" w:name="_GoBack"/>
      <w:bookmarkEnd w:id="0"/>
      <w:r>
        <w:rPr>
          <w:rFonts w:hint="eastAsia"/>
        </w:rPr>
        <w:t>不良类型，便于追溯。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3D7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11"/>
    <w:basedOn w:val="4"/>
    <w:qFormat/>
    <w:uiPriority w:val="0"/>
    <w:rPr>
      <w:rFonts w:hint="eastAsia" w:ascii="宋体" w:hAnsi="宋体" w:eastAsia="宋体" w:cs="宋体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2026-07-14T01:35:46Z</dcterms:created>
  <dc:creator>Administrator</dc:creator>
  <cp:lastModifiedBy>峰业机械刘涛</cp:lastModifiedBy>
  <dcterms:modified xsi:type="dcterms:W3CDTF">2026-07-14T02:37:33Z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eyJoZGlkIjoiMTUyZTMwN2MzOTY1YzZkNmUzNTE3ZDc3ZDkxZGQ0ZWIiLCJ1c2VySWQiOiIxMDA0NDMwNTI1In0=</vt:lpwstr>
  </property>
  <property fmtid="{D5CDD505-2E9C-101B-9397-08002B2CF9AE}" pid="4" name="ICV">
    <vt:lpwstr>301F772953C74EB2903659011A1B6099_12</vt:lpwstr>
  </property>
</Properties>
</file>