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8"/>
          <w:szCs w:val="48"/>
        </w:rPr>
        <w:t xml:space="preserve">Legal Risk Assessment</w:t>
      </w:r>
    </w:p>
    <w:p>
      <w:pPr>
        <w:spacing w:after="40"/>
      </w:pPr>
      <w:r>
        <w:rPr>
          <w:rFonts w:ascii="Arial" w:cs="Arial" w:eastAsia="Arial" w:hAnsi="Arial"/>
          <w:color w:val="555555"/>
          <w:sz w:val="28"/>
          <w:szCs w:val="28"/>
        </w:rPr>
        <w:t xml:space="preserve">Card Skin Business vs. CUCU Covers Inc.</w:t>
      </w:r>
    </w:p>
    <w:p>
      <w:pPr>
        <w:pBdr>
          <w:bottom w:val="single" w:color="1B4F72" w:sz="8"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24, 2026</w:t>
            </w:r>
          </w:p>
        </w:tc>
      </w:tr>
      <w:tr>
        <w:tc>
          <w:tcPr>
            <w:tcW w:type="dxa" w:w="234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Donso</w:t>
            </w:r>
          </w:p>
        </w:tc>
      </w:tr>
      <w:tr>
        <w:tc>
          <w:tcPr>
            <w:tcW w:type="dxa" w:w="234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r>
              <w:rPr>
                <w:rFonts w:ascii="Arial" w:cs="Arial" w:eastAsia="Arial" w:hAnsi="Arial"/>
                <w:b/>
                <w:bCs/>
                <w:sz w:val="20"/>
                <w:szCs w:val="20"/>
              </w:rPr>
              <w:t xml:space="preserve">Matter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entry into credit card skin market; defensive posture against potential IP claims from CUCU Covers Inc.</w:t>
            </w:r>
          </w:p>
        </w:tc>
      </w:tr>
      <w:tr>
        <w:tc>
          <w:tcPr>
            <w:tcW w:type="dxa" w:w="234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assessment — no active threats received</w:t>
            </w:r>
          </w:p>
        </w:tc>
      </w:tr>
      <w:tr>
        <w:tc>
          <w:tcPr>
            <w:tcW w:type="dxa" w:w="234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r>
              <w:rPr>
                <w:rFonts w:ascii="Arial" w:cs="Arial" w:eastAsia="Arial" w:hAnsi="Arial"/>
                <w:b/>
                <w:bCs/>
                <w:sz w:val="20"/>
                <w:szCs w:val="20"/>
              </w:rPr>
              <w:t xml:space="preserve">Disclaimer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This is not legal advice. It is an informational risk framework. Consult a qualified attorney before making legal decisions.</w:t>
            </w:r>
          </w:p>
        </w:tc>
      </w:tr>
    </w:tbl>
    <w:p>
      <w:pPr>
        <w:spacing w:before="200"/>
      </w:pPr>
    </w:p>
    <w:p>
      <w:pPr>
        <w:pStyle w:val="Heading1"/>
      </w:pPr>
      <w:r>
        <w:t xml:space="preserve">1. Executive Summary</w:t>
      </w:r>
    </w:p>
    <w:p>
      <w:pPr>
        <w:spacing w:after="120"/>
      </w:pPr>
      <w:r>
        <w:rPr>
          <w:rFonts w:ascii="Arial" w:cs="Arial" w:eastAsia="Arial" w:hAnsi="Arial"/>
          <w:sz w:val="22"/>
          <w:szCs w:val="22"/>
        </w:rPr>
        <w:t xml:space="preserve">CUCU Covers Inc. markets itself as having “patented” credit card skins. However, research indicates that all of their U.S. patents are </w:t>
      </w:r>
      <w:r>
        <w:rPr>
          <w:rFonts w:ascii="Arial" w:cs="Arial" w:eastAsia="Arial" w:hAnsi="Arial"/>
          <w:b/>
          <w:bCs/>
          <w:sz w:val="22"/>
          <w:szCs w:val="22"/>
        </w:rPr>
        <w:t xml:space="preserve">design patents</w:t>
      </w:r>
      <w:r>
        <w:rPr>
          <w:rFonts w:ascii="Arial" w:cs="Arial" w:eastAsia="Arial" w:hAnsi="Arial"/>
          <w:sz w:val="22"/>
          <w:szCs w:val="22"/>
        </w:rPr>
        <w:t xml:space="preserve"> (D-prefixed), not utility patents. This is a critical distinction that significantly limits their ability to prevent competitors from selling card skins. Design patents only protect the specific ornamental appearance shown in the patent drawings — they do not protect the concept or function of putting a decorative sticker on a credit card.</w:t>
      </w:r>
    </w:p>
    <w:p>
      <w:pPr>
        <w:spacing w:after="120"/>
      </w:pPr>
      <w:r>
        <w:rPr>
          <w:rFonts w:ascii="Arial" w:cs="Arial" w:eastAsia="Arial" w:hAnsi="Arial"/>
          <w:sz w:val="22"/>
          <w:szCs w:val="22"/>
        </w:rPr>
        <w:t xml:space="preserve">Multiple competitors (Blitz Covers, Ten Stickers, and others) already operate in this market alongside CUCU, and no evidence of litigation by CUCU against competitors was found. The overall risk of a successful legal action against a competing card skin business is assessed as </w:t>
      </w:r>
      <w:r>
        <w:rPr>
          <w:rFonts w:ascii="Arial" w:cs="Arial" w:eastAsia="Arial" w:hAnsi="Arial"/>
          <w:b/>
          <w:bCs/>
          <w:color w:val="F57F17"/>
          <w:sz w:val="22"/>
          <w:szCs w:val="22"/>
        </w:rPr>
        <w:t xml:space="preserve">YELLOW — Medium Risk</w:t>
      </w:r>
      <w:r>
        <w:rPr>
          <w:rFonts w:ascii="Arial" w:cs="Arial" w:eastAsia="Arial" w:hAnsi="Arial"/>
          <w:sz w:val="22"/>
          <w:szCs w:val="22"/>
        </w:rPr>
        <w:t xml:space="preserve">, provided you take the defensive measures outlined below.</w:t>
      </w:r>
    </w:p>
    <w:p>
      <w:pPr>
        <w:pStyle w:val="Heading1"/>
      </w:pPr>
      <w:r>
        <w:t xml:space="preserve">2. CUCU Covers IP Landscape</w:t>
      </w:r>
    </w:p>
    <w:p>
      <w:pPr>
        <w:pStyle w:val="Heading2"/>
      </w:pPr>
      <w:r>
        <w:t xml:space="preserve">2.1 Known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Patent No.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Grant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D877,242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cover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 2020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D835,714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applique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11, 2018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D837,877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applique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 (est.)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D801,430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applique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 (est.)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D833,527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applique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(est.)</w:t>
            </w:r>
          </w:p>
        </w:tc>
      </w:tr>
    </w:tbl>
    <w:p>
      <w:pPr>
        <w:spacing w:before="160" w:after="120"/>
      </w:pPr>
      <w:r>
        <w:rPr>
          <w:rFonts w:ascii="Arial" w:cs="Arial" w:eastAsia="Arial" w:hAnsi="Arial"/>
          <w:sz w:val="22"/>
          <w:szCs w:val="22"/>
        </w:rPr>
        <w:t xml:space="preserve">Additionally, CUCU lists several Canadian industrial design registrations (CA183871, CA169590, CA169762, CA174150, CA174152, CA177699). All identified IP is design-based, protecting specific ornamental appearances rather than functional concepts.</w:t>
      </w:r>
    </w:p>
    <w:p>
      <w:pPr>
        <w:pStyle w:val="Heading2"/>
      </w:pPr>
      <w:r>
        <w:t xml:space="preserve">2.2 Why This Matters for You</w:t>
      </w:r>
    </w:p>
    <w:p>
      <w:pPr>
        <w:spacing w:after="80"/>
      </w:pPr>
      <w:r>
        <w:rPr>
          <w:rFonts w:ascii="Arial" w:cs="Arial" w:eastAsia="Arial" w:hAnsi="Arial"/>
          <w:sz w:val="22"/>
          <w:szCs w:val="22"/>
        </w:rPr>
        <w:t xml:space="preserve">Design patents are narrow in scope. They protect only the specific ornamental design shown in the patent drawings. To infringe a design patent, your product would need to be substantially similar in overall visual impression to the patented design. This means:</w:t>
      </w:r>
    </w:p>
    <w:p>
      <w:pPr>
        <w:pStyle w:val="ListParagraph"/>
        <w:numPr>
          <w:ilvl w:val="0"/>
          <w:numId w:val="2"/>
        </w:numPr>
        <w:spacing w:after="60"/>
      </w:pPr>
      <w:r>
        <w:rPr>
          <w:rFonts w:ascii="Arial" w:cs="Arial" w:eastAsia="Arial" w:hAnsi="Arial"/>
          <w:sz w:val="22"/>
          <w:szCs w:val="22"/>
        </w:rPr>
        <w:t xml:space="preserve">You CAN sell credit card skins — the concept itself is not patented</w:t>
      </w:r>
    </w:p>
    <w:p>
      <w:pPr>
        <w:pStyle w:val="ListParagraph"/>
        <w:numPr>
          <w:ilvl w:val="0"/>
          <w:numId w:val="2"/>
        </w:numPr>
        <w:spacing w:after="60"/>
      </w:pPr>
      <w:r>
        <w:rPr>
          <w:rFonts w:ascii="Arial" w:cs="Arial" w:eastAsia="Arial" w:hAnsi="Arial"/>
          <w:sz w:val="22"/>
          <w:szCs w:val="22"/>
        </w:rPr>
        <w:t xml:space="preserve">You CAN use the same basic product format (a thin adhesive overlay for cards)</w:t>
      </w:r>
    </w:p>
    <w:p>
      <w:pPr>
        <w:pStyle w:val="ListParagraph"/>
        <w:numPr>
          <w:ilvl w:val="0"/>
          <w:numId w:val="2"/>
        </w:numPr>
        <w:spacing w:after="60"/>
      </w:pPr>
      <w:r>
        <w:rPr>
          <w:rFonts w:ascii="Arial" w:cs="Arial" w:eastAsia="Arial" w:hAnsi="Arial"/>
          <w:sz w:val="22"/>
          <w:szCs w:val="22"/>
        </w:rPr>
        <w:t xml:space="preserve">You CANNOT copy the exact ornamental shape, cutout patterns, or visual arrangement shown in their patent drawings</w:t>
      </w:r>
    </w:p>
    <w:p>
      <w:pPr>
        <w:pStyle w:val="ListParagraph"/>
        <w:numPr>
          <w:ilvl w:val="0"/>
          <w:numId w:val="2"/>
        </w:numPr>
        <w:spacing w:after="120"/>
      </w:pPr>
      <w:r>
        <w:rPr>
          <w:rFonts w:ascii="Arial" w:cs="Arial" w:eastAsia="Arial" w:hAnsi="Arial"/>
          <w:sz w:val="22"/>
          <w:szCs w:val="22"/>
        </w:rPr>
        <w:t xml:space="preserve">CUCU does NOT appear to hold any utility patent on the function of card skins</w:t>
      </w:r>
    </w:p>
    <w:p>
      <w:pPr>
        <w:pStyle w:val="Heading1"/>
      </w:pPr>
      <w:r>
        <w:t xml:space="preserve">3. 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patent infringement 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Unlikely</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6 — YELLOW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your skin’s shape/cutouts closely mirror CUCU’s patented designs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Trademark / trade dress 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Unlikely</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6 — YELLOW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using similar branding, packaging, or trade 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Cease-and-desist letter received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Possible</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6 — YELLOW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C&amp;D letters are common scare tactics; low cost to send, often without merit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lawsuit filed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Remote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4 — GREEN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Litigation is expensive; no evidence CUCU sues competitors. Multiple competitors exist unchallenged.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Losing a lawsuit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Remote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4 — GREEN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patents are hard to enforce against differentiated products</w:t>
            </w:r>
          </w:p>
        </w:tc>
      </w:tr>
    </w:tbl>
    <w:p>
      <w:pPr>
        <w:spacing w:before="160" w:after="120"/>
      </w:pPr>
      <w:r>
        <w:rPr>
          <w:rFonts w:ascii="Arial" w:cs="Arial" w:eastAsia="Arial" w:hAnsi="Arial"/>
          <w:b/>
          <w:bCs/>
          <w:sz w:val="22"/>
          <w:szCs w:val="22"/>
        </w:rPr>
        <w:t xml:space="preserve">Overall Composite Risk: YELLOW (Medium) — Score 6. The most likely scenario is receiving a cease-and-desist letter. Actual litigation is remote, and losing a lawsuit even more so, provided you differentiate your product’s appearance.</w:t>
      </w:r>
    </w:p>
    <w:p>
      <w:r>
        <w:br w:type="page"/>
      </w:r>
    </w:p>
    <w:p>
      <w:pPr>
        <w:pStyle w:val="Heading1"/>
      </w:pPr>
      <w:r>
        <w:t xml:space="preserve">4. Defensive Strategy: Making Litigation Costly for Them</w:t>
      </w:r>
    </w:p>
    <w:p>
      <w:pPr>
        <w:spacing w:after="120"/>
      </w:pPr>
      <w:r>
        <w:rPr>
          <w:rFonts w:ascii="Arial" w:cs="Arial" w:eastAsia="Arial" w:hAnsi="Arial"/>
          <w:sz w:val="22"/>
          <w:szCs w:val="22"/>
        </w:rPr>
        <w:t xml:space="preserve">Your goal is to create enough friction that a rational actor would conclude litigation isn’t worth the cost. Here is a multi-layered approach to achieving that.</w:t>
      </w:r>
    </w:p>
    <w:p>
      <w:pPr>
        <w:pStyle w:val="Heading2"/>
      </w:pPr>
      <w:r>
        <w:t xml:space="preserve">4.1 Product Differentiation (Most Important)</w:t>
      </w:r>
    </w:p>
    <w:p>
      <w:pPr>
        <w:spacing w:after="80"/>
      </w:pPr>
      <w:r>
        <w:rPr>
          <w:rFonts w:ascii="Arial" w:cs="Arial" w:eastAsia="Arial" w:hAnsi="Arial"/>
          <w:sz w:val="22"/>
          <w:szCs w:val="22"/>
        </w:rPr>
        <w:t xml:space="preserve">Since CUCU only holds design patents, the single most effective defense is making your product look visually distinct from theirs. This undercuts any infringement claim at the threshold.</w:t>
      </w:r>
    </w:p>
    <w:p>
      <w:pPr>
        <w:pStyle w:val="ListParagraph"/>
        <w:numPr>
          <w:ilvl w:val="0"/>
          <w:numId w:val="3"/>
        </w:numPr>
        <w:spacing w:after="60"/>
      </w:pPr>
      <w:r>
        <w:rPr>
          <w:rFonts w:ascii="Arial" w:cs="Arial" w:eastAsia="Arial" w:hAnsi="Arial"/>
          <w:sz w:val="22"/>
          <w:szCs w:val="22"/>
        </w:rPr>
        <w:t xml:space="preserve">Use different cutout shapes, edge profiles, and corner treatments than what appears in CUCU’s patent drawings</w:t>
      </w:r>
    </w:p>
    <w:p>
      <w:pPr>
        <w:pStyle w:val="ListParagraph"/>
        <w:numPr>
          <w:ilvl w:val="0"/>
          <w:numId w:val="3"/>
        </w:numPr>
        <w:spacing w:after="60"/>
      </w:pPr>
      <w:r>
        <w:rPr>
          <w:rFonts w:ascii="Arial" w:cs="Arial" w:eastAsia="Arial" w:hAnsi="Arial"/>
          <w:sz w:val="22"/>
          <w:szCs w:val="22"/>
        </w:rPr>
        <w:t xml:space="preserve">Review each of CUCU’s design patents on Google Patents and ensure your physical skin template looks meaningfully different in overall visual impression</w:t>
      </w:r>
    </w:p>
    <w:p>
      <w:pPr>
        <w:pStyle w:val="ListParagraph"/>
        <w:numPr>
          <w:ilvl w:val="0"/>
          <w:numId w:val="3"/>
        </w:numPr>
        <w:spacing w:after="60"/>
      </w:pPr>
      <w:r>
        <w:rPr>
          <w:rFonts w:ascii="Arial" w:cs="Arial" w:eastAsia="Arial" w:hAnsi="Arial"/>
          <w:sz w:val="22"/>
          <w:szCs w:val="22"/>
        </w:rPr>
        <w:t xml:space="preserve">Document your independent design process — keep sketches, design files with timestamps, prototypes, and design rationale</w:t>
      </w:r>
    </w:p>
    <w:p>
      <w:pPr>
        <w:pStyle w:val="ListParagraph"/>
        <w:numPr>
          <w:ilvl w:val="0"/>
          <w:numId w:val="3"/>
        </w:numPr>
        <w:spacing w:after="120"/>
      </w:pPr>
      <w:r>
        <w:rPr>
          <w:rFonts w:ascii="Arial" w:cs="Arial" w:eastAsia="Arial" w:hAnsi="Arial"/>
          <w:sz w:val="22"/>
          <w:szCs w:val="22"/>
        </w:rPr>
        <w:t xml:space="preserve">Consider getting a professional design-around opinion from a patent attorney, which can also support a defense of good faith</w:t>
      </w:r>
    </w:p>
    <w:p>
      <w:pPr>
        <w:pStyle w:val="Heading2"/>
      </w:pPr>
      <w:r>
        <w:t xml:space="preserve">4.2 Build Your Own IP Portfolio</w:t>
      </w:r>
    </w:p>
    <w:p>
      <w:pPr>
        <w:spacing w:after="80"/>
      </w:pPr>
      <w:r>
        <w:rPr>
          <w:rFonts w:ascii="Arial" w:cs="Arial" w:eastAsia="Arial" w:hAnsi="Arial"/>
          <w:sz w:val="22"/>
          <w:szCs w:val="22"/>
        </w:rPr>
        <w:t xml:space="preserve">Having your own IP creates a deterrent. If they sue you, you may have counter-claims or at minimum, leverage.</w:t>
      </w:r>
    </w:p>
    <w:p>
      <w:pPr>
        <w:pStyle w:val="ListParagraph"/>
        <w:numPr>
          <w:ilvl w:val="0"/>
          <w:numId w:val="4"/>
        </w:numPr>
        <w:spacing w:after="60"/>
      </w:pPr>
      <w:r>
        <w:rPr>
          <w:rFonts w:ascii="Arial" w:cs="Arial" w:eastAsia="Arial" w:hAnsi="Arial"/>
          <w:sz w:val="22"/>
          <w:szCs w:val="22"/>
        </w:rPr>
        <w:t xml:space="preserve">File your own design patent for your unique skin template shape/cutout pattern (costs roughly $1,500–$3,500 with an attorney; can be under $1,000 if you’re a micro-entity filing pro se)</w:t>
      </w:r>
    </w:p>
    <w:p>
      <w:pPr>
        <w:pStyle w:val="ListParagraph"/>
        <w:numPr>
          <w:ilvl w:val="0"/>
          <w:numId w:val="4"/>
        </w:numPr>
        <w:spacing w:after="60"/>
      </w:pPr>
      <w:r>
        <w:rPr>
          <w:rFonts w:ascii="Arial" w:cs="Arial" w:eastAsia="Arial" w:hAnsi="Arial"/>
          <w:sz w:val="22"/>
          <w:szCs w:val="22"/>
        </w:rPr>
        <w:t xml:space="preserve">Register your brand name and logo as a federal trademark with the USPTO ($250–$350 per class filing fee)</w:t>
      </w:r>
    </w:p>
    <w:p>
      <w:pPr>
        <w:pStyle w:val="ListParagraph"/>
        <w:numPr>
          <w:ilvl w:val="0"/>
          <w:numId w:val="4"/>
        </w:numPr>
        <w:spacing w:after="60"/>
      </w:pPr>
      <w:r>
        <w:rPr>
          <w:rFonts w:ascii="Arial" w:cs="Arial" w:eastAsia="Arial" w:hAnsi="Arial"/>
          <w:sz w:val="22"/>
          <w:szCs w:val="22"/>
        </w:rPr>
        <w:t xml:space="preserve">Copyright your original artwork and design files (registration costs $65 online; provides statutory damages and attorney’s fees in infringement suits)</w:t>
      </w:r>
    </w:p>
    <w:p>
      <w:pPr>
        <w:pStyle w:val="ListParagraph"/>
        <w:numPr>
          <w:ilvl w:val="0"/>
          <w:numId w:val="4"/>
        </w:numPr>
        <w:spacing w:after="120"/>
      </w:pPr>
      <w:r>
        <w:rPr>
          <w:rFonts w:ascii="Arial" w:cs="Arial" w:eastAsia="Arial" w:hAnsi="Arial"/>
          <w:sz w:val="22"/>
          <w:szCs w:val="22"/>
        </w:rPr>
        <w:t xml:space="preserve">If you develop any functional innovation (a new adhesive method, material composition, application technique), consider a utility patent — this would be much stronger protection than what CUCU currently has</w:t>
      </w:r>
    </w:p>
    <w:p>
      <w:pPr>
        <w:pStyle w:val="Heading2"/>
      </w:pPr>
      <w:r>
        <w:t xml:space="preserve">4.3 Responding to a Cease-and-Desist Letter</w:t>
      </w:r>
    </w:p>
    <w:p>
      <w:pPr>
        <w:spacing w:after="80"/>
      </w:pPr>
      <w:r>
        <w:rPr>
          <w:rFonts w:ascii="Arial" w:cs="Arial" w:eastAsia="Arial" w:hAnsi="Arial"/>
          <w:sz w:val="22"/>
          <w:szCs w:val="22"/>
        </w:rPr>
        <w:t xml:space="preserve">If CUCU sends you a C&amp;D, don’t panic. A C&amp;D is just a letter — it has no legal force. Here’s how to handle it:</w:t>
      </w:r>
    </w:p>
    <w:p>
      <w:pPr>
        <w:pStyle w:val="ListParagraph"/>
        <w:numPr>
          <w:ilvl w:val="0"/>
          <w:numId w:val="5"/>
        </w:numPr>
        <w:spacing w:after="60"/>
      </w:pPr>
      <w:r>
        <w:rPr>
          <w:rFonts w:ascii="Arial" w:cs="Arial" w:eastAsia="Arial" w:hAnsi="Arial"/>
          <w:b/>
          <w:bCs/>
          <w:sz w:val="22"/>
          <w:szCs w:val="22"/>
        </w:rPr>
        <w:t xml:space="preserve">Do NOT ignore it. </w:t>
      </w:r>
      <w:r>
        <w:rPr>
          <w:rFonts w:ascii="Arial" w:cs="Arial" w:eastAsia="Arial" w:hAnsi="Arial"/>
          <w:sz w:val="22"/>
          <w:szCs w:val="22"/>
        </w:rPr>
        <w:t xml:space="preserve">Ignoring a C&amp;D can be used against you later to argue willful infringement. Respond in writing.</w:t>
      </w:r>
    </w:p>
    <w:p>
      <w:pPr>
        <w:pStyle w:val="ListParagraph"/>
        <w:numPr>
          <w:ilvl w:val="0"/>
          <w:numId w:val="5"/>
        </w:numPr>
        <w:spacing w:after="60"/>
      </w:pPr>
      <w:r>
        <w:rPr>
          <w:rFonts w:ascii="Arial" w:cs="Arial" w:eastAsia="Arial" w:hAnsi="Arial"/>
          <w:b/>
          <w:bCs/>
          <w:sz w:val="22"/>
          <w:szCs w:val="22"/>
        </w:rPr>
        <w:t xml:space="preserve">Have an attorney respond. </w:t>
      </w:r>
      <w:r>
        <w:rPr>
          <w:rFonts w:ascii="Arial" w:cs="Arial" w:eastAsia="Arial" w:hAnsi="Arial"/>
          <w:sz w:val="22"/>
          <w:szCs w:val="22"/>
        </w:rPr>
        <w:t xml:space="preserve">Even a single attorney letter signals you’re serious and will cost them more to pursue. Many IP attorneys will draft a C&amp;D response for a flat fee of $500–$2,000.</w:t>
      </w:r>
    </w:p>
    <w:p>
      <w:pPr>
        <w:pStyle w:val="ListParagraph"/>
        <w:numPr>
          <w:ilvl w:val="0"/>
          <w:numId w:val="5"/>
        </w:numPr>
        <w:spacing w:after="60"/>
      </w:pPr>
      <w:r>
        <w:rPr>
          <w:rFonts w:ascii="Arial" w:cs="Arial" w:eastAsia="Arial" w:hAnsi="Arial"/>
          <w:b/>
          <w:bCs/>
          <w:sz w:val="22"/>
          <w:szCs w:val="22"/>
        </w:rPr>
        <w:t xml:space="preserve">Challenge specificity. </w:t>
      </w:r>
      <w:r>
        <w:rPr>
          <w:rFonts w:ascii="Arial" w:cs="Arial" w:eastAsia="Arial" w:hAnsi="Arial"/>
          <w:sz w:val="22"/>
          <w:szCs w:val="22"/>
        </w:rPr>
        <w:t xml:space="preserve">Demand they identify exactly which patent claims they believe are infringed and which specific product of yours infringes. Vague C&amp;Ds are common scare tactics.</w:t>
      </w:r>
    </w:p>
    <w:p>
      <w:pPr>
        <w:pStyle w:val="ListParagraph"/>
        <w:numPr>
          <w:ilvl w:val="0"/>
          <w:numId w:val="5"/>
        </w:numPr>
        <w:spacing w:after="60"/>
      </w:pPr>
      <w:r>
        <w:rPr>
          <w:rFonts w:ascii="Arial" w:cs="Arial" w:eastAsia="Arial" w:hAnsi="Arial"/>
          <w:b/>
          <w:bCs/>
          <w:sz w:val="22"/>
          <w:szCs w:val="22"/>
        </w:rPr>
        <w:t xml:space="preserve">Highlight that their patents are design patents. </w:t>
      </w:r>
      <w:r>
        <w:rPr>
          <w:rFonts w:ascii="Arial" w:cs="Arial" w:eastAsia="Arial" w:hAnsi="Arial"/>
          <w:sz w:val="22"/>
          <w:szCs w:val="22"/>
        </w:rPr>
        <w:t xml:space="preserve">Make clear you understand the narrow scope of design patent protection. This signals sophistication and raises their expected litigation costs.</w:t>
      </w:r>
    </w:p>
    <w:p>
      <w:pPr>
        <w:pStyle w:val="ListParagraph"/>
        <w:numPr>
          <w:ilvl w:val="0"/>
          <w:numId w:val="5"/>
        </w:numPr>
        <w:spacing w:after="120"/>
      </w:pPr>
      <w:r>
        <w:rPr>
          <w:rFonts w:ascii="Arial" w:cs="Arial" w:eastAsia="Arial" w:hAnsi="Arial"/>
          <w:b/>
          <w:bCs/>
          <w:sz w:val="22"/>
          <w:szCs w:val="22"/>
        </w:rPr>
        <w:t xml:space="preserve">Consider a declaratory judgment action. </w:t>
      </w:r>
      <w:r>
        <w:rPr>
          <w:rFonts w:ascii="Arial" w:cs="Arial" w:eastAsia="Arial" w:hAnsi="Arial"/>
          <w:sz w:val="22"/>
          <w:szCs w:val="22"/>
        </w:rPr>
        <w:t xml:space="preserve">If they threaten to sue, you can preemptively file for declaratory judgment of non-infringement in a jurisdiction convenient to you. This forces them to litigate on your turf and at their expense.</w:t>
      </w:r>
    </w:p>
    <w:p>
      <w:pPr>
        <w:pStyle w:val="Heading2"/>
      </w:pPr>
      <w:r>
        <w:t xml:space="preserve">4.4 Raising the Cost of Litigation for Them</w:t>
      </w:r>
    </w:p>
    <w:p>
      <w:pPr>
        <w:spacing w:after="80"/>
      </w:pPr>
      <w:r>
        <w:rPr>
          <w:rFonts w:ascii="Arial" w:cs="Arial" w:eastAsia="Arial" w:hAnsi="Arial"/>
          <w:sz w:val="22"/>
          <w:szCs w:val="22"/>
        </w:rPr>
        <w:t xml:space="preserve">If things escalate toward actual litigation, here are strategies that make it economically irrational for them to pursue:</w:t>
      </w:r>
    </w:p>
    <w:p>
      <w:pPr>
        <w:pStyle w:val="Heading3"/>
      </w:pPr>
      <w:r>
        <w:t xml:space="preserve">Forum Selection</w:t>
      </w:r>
    </w:p>
    <w:p>
      <w:pPr>
        <w:pStyle w:val="ListParagraph"/>
        <w:numPr>
          <w:ilvl w:val="0"/>
          <w:numId w:val="6"/>
        </w:numPr>
        <w:spacing w:after="60"/>
      </w:pPr>
      <w:r>
        <w:rPr>
          <w:rFonts w:ascii="Arial" w:cs="Arial" w:eastAsia="Arial" w:hAnsi="Arial"/>
          <w:sz w:val="22"/>
          <w:szCs w:val="22"/>
        </w:rPr>
        <w:t xml:space="preserve">If you file a declaratory judgment first, you choose the court. Pick a jurisdiction where you live/operate — they’ll need to hire local counsel and travel.</w:t>
      </w:r>
    </w:p>
    <w:p>
      <w:pPr>
        <w:pStyle w:val="ListParagraph"/>
        <w:numPr>
          <w:ilvl w:val="0"/>
          <w:numId w:val="6"/>
        </w:numPr>
        <w:spacing w:after="80"/>
      </w:pPr>
      <w:r>
        <w:rPr>
          <w:rFonts w:ascii="Arial" w:cs="Arial" w:eastAsia="Arial" w:hAnsi="Arial"/>
          <w:sz w:val="22"/>
          <w:szCs w:val="22"/>
        </w:rPr>
        <w:t xml:space="preserve">If they file first and jurisdiction is improper, challenge venue immediately. Moving a case is expensive and time-consuming for the plaintiff.</w:t>
      </w:r>
    </w:p>
    <w:p>
      <w:pPr>
        <w:pStyle w:val="Heading3"/>
      </w:pPr>
      <w:r>
        <w:t xml:space="preserve">Challenge Patent Validity</w:t>
      </w:r>
    </w:p>
    <w:p>
      <w:pPr>
        <w:pStyle w:val="ListParagraph"/>
        <w:numPr>
          <w:ilvl w:val="0"/>
          <w:numId w:val="7"/>
        </w:numPr>
        <w:spacing w:after="60"/>
      </w:pPr>
      <w:r>
        <w:rPr>
          <w:rFonts w:ascii="Arial" w:cs="Arial" w:eastAsia="Arial" w:hAnsi="Arial"/>
          <w:sz w:val="22"/>
          <w:szCs w:val="22"/>
        </w:rPr>
        <w:t xml:space="preserve">File an Inter Partes Review (IPR) or Post-Grant Review (PGR) at the USPTO to challenge the validity of their design patents. Prior art (earlier card skin products) could invalidate their patents entirely.</w:t>
      </w:r>
    </w:p>
    <w:p>
      <w:pPr>
        <w:pStyle w:val="ListParagraph"/>
        <w:numPr>
          <w:ilvl w:val="0"/>
          <w:numId w:val="7"/>
        </w:numPr>
        <w:spacing w:after="60"/>
      </w:pPr>
      <w:r>
        <w:rPr>
          <w:rFonts w:ascii="Arial" w:cs="Arial" w:eastAsia="Arial" w:hAnsi="Arial"/>
          <w:sz w:val="22"/>
          <w:szCs w:val="22"/>
        </w:rPr>
        <w:t xml:space="preserve">An IPR typically costs $15,000–$30,000 in legal fees plus $19,000–$31,000 in USPTO fees, but it forces CUCU to spend substantially more to defend their patent, and if the patent is invalidated, the lawsuit collapses.</w:t>
      </w:r>
    </w:p>
    <w:p>
      <w:pPr>
        <w:pStyle w:val="ListParagraph"/>
        <w:numPr>
          <w:ilvl w:val="0"/>
          <w:numId w:val="7"/>
        </w:numPr>
        <w:spacing w:after="80"/>
      </w:pPr>
      <w:r>
        <w:rPr>
          <w:rFonts w:ascii="Arial" w:cs="Arial" w:eastAsia="Arial" w:hAnsi="Arial"/>
          <w:sz w:val="22"/>
          <w:szCs w:val="22"/>
        </w:rPr>
        <w:t xml:space="preserve">Research whether card skin products existed before CUCU’s earliest filing date. If prior art exists, their patents may be invalid.</w:t>
      </w:r>
    </w:p>
    <w:p>
      <w:pPr>
        <w:pStyle w:val="Heading3"/>
      </w:pPr>
      <w:r>
        <w:t xml:space="preserve">Attorney’s Fees Petition</w:t>
      </w:r>
    </w:p>
    <w:p>
      <w:pPr>
        <w:pStyle w:val="ListParagraph"/>
        <w:numPr>
          <w:ilvl w:val="0"/>
          <w:numId w:val="8"/>
        </w:numPr>
        <w:spacing w:after="60"/>
      </w:pPr>
      <w:r>
        <w:rPr>
          <w:rFonts w:ascii="Arial" w:cs="Arial" w:eastAsia="Arial" w:hAnsi="Arial"/>
          <w:sz w:val="22"/>
          <w:szCs w:val="22"/>
        </w:rPr>
        <w:t xml:space="preserve">Under 35 U.S.C. § 285, in “exceptional cases,” the prevailing party can recover attorney’s fees. If CUCU brings a frivolous or bad-faith design patent claim, make clear early that you will pursue fee-shifting.</w:t>
      </w:r>
    </w:p>
    <w:p>
      <w:pPr>
        <w:pStyle w:val="ListParagraph"/>
        <w:numPr>
          <w:ilvl w:val="0"/>
          <w:numId w:val="8"/>
        </w:numPr>
        <w:spacing w:after="120"/>
      </w:pPr>
      <w:r>
        <w:rPr>
          <w:rFonts w:ascii="Arial" w:cs="Arial" w:eastAsia="Arial" w:hAnsi="Arial"/>
          <w:sz w:val="22"/>
          <w:szCs w:val="22"/>
        </w:rPr>
        <w:t xml:space="preserve">The threat of paying YOUR legal fees in addition to their own is a powerful deterrent against meritless claims.</w:t>
      </w:r>
    </w:p>
    <w:p>
      <w:pPr>
        <w:pStyle w:val="Heading2"/>
      </w:pPr>
      <w:r>
        <w:t xml:space="preserve">4.5 Filing Your Own Patent</w:t>
      </w:r>
    </w:p>
    <w:p>
      <w:pPr>
        <w:spacing w:after="80"/>
      </w:pPr>
      <w:r>
        <w:rPr>
          <w:rFonts w:ascii="Arial" w:cs="Arial" w:eastAsia="Arial" w:hAnsi="Arial"/>
          <w:sz w:val="22"/>
          <w:szCs w:val="22"/>
        </w:rPr>
        <w:t xml:space="preserve">Whether to file your own patent depends on what you’re trying to protect: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Protection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patent (your skin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$1K–$3.5K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your unique cutout/template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defensive + deters copying of your specific look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patent (functional innovation)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$8K–$15K+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HOW it works (materials, adhesive, application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could block competitors from your method entirely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Trademark (brand name/logo)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$250–$1K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brand identity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essential for any serious business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Copyright (artwork)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specific artistic designs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cheap insurance; enables statutory damages</w:t>
            </w:r>
          </w:p>
        </w:tc>
      </w:tr>
    </w:tbl>
    <w:p>
      <w:pPr>
        <w:spacing w:before="160" w:after="120"/>
      </w:pPr>
      <w:r>
        <w:rPr>
          <w:rFonts w:ascii="Arial" w:cs="Arial" w:eastAsia="Arial" w:hAnsi="Arial"/>
          <w:b/>
          <w:bCs/>
          <w:sz w:val="22"/>
          <w:szCs w:val="22"/>
        </w:rPr>
        <w:t xml:space="preserve">Recommendation: At minimum, register your trademark and copyrights. If your skin template has a distinctive shape, filing a design patent is a relatively low-cost way to build a defensive IP position.</w:t>
      </w:r>
    </w:p>
    <w:p>
      <w:r>
        <w:br w:type="page"/>
      </w:r>
    </w:p>
    <w:p>
      <w:pPr>
        <w:pStyle w:val="Heading1"/>
      </w:pPr>
      <w:r>
        <w:t xml:space="preserve">5. 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60"/>
        <w:gridCol w:w="21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CUCU’s design patents on Google Patents; ensure your skin template is visually distinct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(DIY) or $500–$1,500 (attorney opinion)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your business trademark with the USPTO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$250–$1,000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30 days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copyrights for your original artwork designs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per registration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30 days</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 an IP attorney for a design-around opinion letter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$1,000–$3,000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60 days</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 design patent for your unique skin template shape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$1,000–$3,500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90 days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prior art for card skins predating CUCU’s patents (for potential invalidity defense)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(DIY)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bl>
    <w:p>
      <w:pPr>
        <w:spacing w:before="300"/>
      </w:pPr>
    </w:p>
    <w:p>
      <w:pPr>
        <w:pStyle w:val="Heading1"/>
      </w:pPr>
      <w:r>
        <w:t xml:space="preserve">6. Key Takeaway</w:t>
      </w:r>
    </w:p>
    <w:p>
      <w:pPr>
        <w:spacing w:after="120"/>
      </w:pPr>
      <w:r>
        <w:rPr>
          <w:rFonts w:ascii="Arial" w:cs="Arial" w:eastAsia="Arial" w:hAnsi="Arial"/>
          <w:sz w:val="22"/>
          <w:szCs w:val="22"/>
        </w:rPr>
        <w:t xml:space="preserve">CUCU’s “patented” marketing is more bark than bite. Their design patents protect specific ornamental designs, not the business of selling card skins. By differentiating your product’s appearance, building your own IP, and preparing a credible legal response strategy, you can make it economically irrational for CUCU to pursue you in court. The cost of litigating a design patent case typically runs $300,000–$1,000,000+ through trial. If you demonstrate that you have resources, knowledge, and willingness to fight, the math simply won’t work for them.</w:t>
      </w:r>
    </w:p>
    <w:p>
      <w:pPr>
        <w:pBdr>
          <w:top w:val="single" w:color="CCCCCC" w:sz="4" w:space="8"/>
        </w:pBdr>
        <w:spacing w:before="200"/>
      </w:pPr>
      <w:r>
        <w:rPr>
          <w:rFonts w:ascii="Arial" w:cs="Arial" w:eastAsia="Arial" w:hAnsi="Arial"/>
          <w:b/>
          <w:bCs/>
          <w:color w:val="888888"/>
          <w:sz w:val="18"/>
          <w:szCs w:val="18"/>
        </w:rPr>
        <w:t xml:space="preserve">DISCLAIMER: </w:t>
      </w:r>
      <w:r>
        <w:rPr>
          <w:rFonts w:ascii="Arial" w:cs="Arial" w:eastAsia="Arial" w:hAnsi="Arial"/>
          <w:i/>
          <w:iCs/>
          <w:color w:val="888888"/>
          <w:sz w:val="18"/>
          <w:szCs w:val="18"/>
        </w:rPr>
        <w:t xml:space="preserve">This document is for informational purposes only and does not constitute legal advice. The risk assessments and strategies described are general in nature and may not apply to your specific situation. You should consult with a qualified intellectual property attorney before making any legal decisions or taking any actions described in this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20"/>
    </w:pPr>
    <w:r>
      <w:rPr>
        <w:rFonts w:ascii="Arial" w:cs="Arial" w:eastAsia="Arial" w:hAnsi="Arial"/>
        <w:color w:val="888888"/>
        <w:sz w:val="18"/>
        <w:szCs w:val="18"/>
      </w:rPr>
      <w:t xml:space="preserve">LEGAL RISK ASSESSMENT</w:t>
    </w:r>
    <w:r>
      <w:rPr>
        <w:rFonts w:ascii="Arial" w:cs="Arial" w:eastAsia="Arial" w:hAnsi="Arial"/>
        <w:color w:val="AAAAAA"/>
        <w:sz w:val="16"/>
        <w:szCs w:val="16"/>
      </w:rPr>
      <w:t xml:space="preserve">  |  CONFIDENTIAL  |  FOR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3"/>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2026-03-24T17:26:34.646Z</dcterms:created>
  <dcterms:modified xsi:type="dcterms:W3CDTF">2026-03-24T17:26:34.647Z</dcterms:modified>
</cp:coreProperties>
</file>

<file path=docProps/custom.xml><?xml version="1.0" encoding="utf-8"?>
<Properties xmlns="http://schemas.openxmlformats.org/officeDocument/2006/custom-properties" xmlns:vt="http://schemas.openxmlformats.org/officeDocument/2006/docPropsVTypes"/>
</file>