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layfair Display" w:cs="Playfair Display" w:eastAsia="Playfair Display" w:hAnsi="Playfair Display"/>
          <w:sz w:val="26"/>
          <w:szCs w:val="26"/>
        </w:rPr>
      </w:pPr>
      <w:r w:rsidDel="00000000" w:rsidR="00000000" w:rsidRPr="00000000">
        <w:rPr>
          <w:rFonts w:ascii="Playfair Display" w:cs="Playfair Display" w:eastAsia="Playfair Display" w:hAnsi="Playfair Display"/>
          <w:sz w:val="26"/>
          <w:szCs w:val="26"/>
          <w:rtl w:val="0"/>
        </w:rPr>
        <w:t xml:space="preserve">EXAMPLES OF INITIAL QUOTE ANALYSIS:</w:t>
      </w:r>
    </w:p>
    <w:p w:rsidR="00000000" w:rsidDel="00000000" w:rsidP="00000000" w:rsidRDefault="00000000" w:rsidRPr="00000000" w14:paraId="00000002">
      <w:pPr>
        <w:rPr>
          <w:rFonts w:ascii="Alegreya" w:cs="Alegreya" w:eastAsia="Alegreya" w:hAnsi="Alegreya"/>
          <w:sz w:val="26"/>
          <w:szCs w:val="26"/>
        </w:rPr>
      </w:pPr>
      <w:r w:rsidDel="00000000" w:rsidR="00000000" w:rsidRPr="00000000">
        <w:rPr>
          <w:rtl w:val="0"/>
        </w:rPr>
      </w:r>
    </w:p>
    <w:p w:rsidR="00000000" w:rsidDel="00000000" w:rsidP="00000000" w:rsidRDefault="00000000" w:rsidRPr="00000000" w14:paraId="00000003">
      <w:pPr>
        <w:rPr>
          <w:rFonts w:ascii="Alegreya" w:cs="Alegreya" w:eastAsia="Alegreya" w:hAnsi="Alegreya"/>
          <w:sz w:val="26"/>
          <w:szCs w:val="26"/>
        </w:rPr>
      </w:pPr>
      <w:r w:rsidDel="00000000" w:rsidR="00000000" w:rsidRPr="00000000">
        <w:rPr>
          <w:rtl w:val="0"/>
        </w:rPr>
      </w:r>
    </w:p>
    <w:p w:rsidR="00000000" w:rsidDel="00000000" w:rsidP="00000000" w:rsidRDefault="00000000" w:rsidRPr="00000000" w14:paraId="00000004">
      <w:pPr>
        <w:rPr>
          <w:rFonts w:ascii="Alegreya" w:cs="Alegreya" w:eastAsia="Alegreya" w:hAnsi="Alegreya"/>
          <w:sz w:val="26"/>
          <w:szCs w:val="26"/>
        </w:rPr>
      </w:pPr>
      <w:r w:rsidDel="00000000" w:rsidR="00000000" w:rsidRPr="00000000">
        <w:rPr>
          <w:rFonts w:ascii="Alegreya" w:cs="Alegreya" w:eastAsia="Alegreya" w:hAnsi="Alegreya"/>
          <w:sz w:val="26"/>
          <w:szCs w:val="26"/>
          <w:rtl w:val="0"/>
        </w:rPr>
        <w:t xml:space="preserve">Jem says, Atticus is a gentleman, just like me!” after he shoots the dog, which comes after a stretch of time in which Jem was not proud of Atticus because he was old and wouldn’t play for the Methodists. Jem’s point in saying this quote is that he thinks Atticus is kind, caring, and a good man, and how he wants to be link him and be a good man. This matters because in the last few chapters Jem didn’t really care for his dad (didn’t get along with this dad), and now he is so they can get along and support each other through the case. </w:t>
      </w:r>
    </w:p>
    <w:p w:rsidR="00000000" w:rsidDel="00000000" w:rsidP="00000000" w:rsidRDefault="00000000" w:rsidRPr="00000000" w14:paraId="00000005">
      <w:pPr>
        <w:rPr>
          <w:rFonts w:ascii="Alegreya" w:cs="Alegreya" w:eastAsia="Alegreya" w:hAnsi="Alegreya"/>
          <w:sz w:val="26"/>
          <w:szCs w:val="26"/>
        </w:rPr>
      </w:pPr>
      <w:r w:rsidDel="00000000" w:rsidR="00000000" w:rsidRPr="00000000">
        <w:rPr>
          <w:rtl w:val="0"/>
        </w:rPr>
      </w:r>
    </w:p>
    <w:p w:rsidR="00000000" w:rsidDel="00000000" w:rsidP="00000000" w:rsidRDefault="00000000" w:rsidRPr="00000000" w14:paraId="00000006">
      <w:pPr>
        <w:rPr>
          <w:rFonts w:ascii="Abril Fatface" w:cs="Abril Fatface" w:eastAsia="Abril Fatface" w:hAnsi="Abril Fatface"/>
          <w:sz w:val="26"/>
          <w:szCs w:val="26"/>
        </w:rPr>
      </w:pPr>
      <w:r w:rsidDel="00000000" w:rsidR="00000000" w:rsidRPr="00000000">
        <w:rPr>
          <w:rFonts w:ascii="Abril Fatface" w:cs="Abril Fatface" w:eastAsia="Abril Fatface" w:hAnsi="Abril Fatface"/>
          <w:sz w:val="26"/>
          <w:szCs w:val="26"/>
          <w:rtl w:val="0"/>
        </w:rPr>
        <w:t xml:space="preserve">Say - Jem says, “Atticus is a gentleman just like me!” </w:t>
      </w:r>
    </w:p>
    <w:p w:rsidR="00000000" w:rsidDel="00000000" w:rsidP="00000000" w:rsidRDefault="00000000" w:rsidRPr="00000000" w14:paraId="00000007">
      <w:pPr>
        <w:rPr>
          <w:rFonts w:ascii="Abril Fatface" w:cs="Abril Fatface" w:eastAsia="Abril Fatface" w:hAnsi="Abril Fatface"/>
          <w:sz w:val="26"/>
          <w:szCs w:val="26"/>
        </w:rPr>
      </w:pPr>
      <w:r w:rsidDel="00000000" w:rsidR="00000000" w:rsidRPr="00000000">
        <w:rPr>
          <w:rFonts w:ascii="Abril Fatface" w:cs="Abril Fatface" w:eastAsia="Abril Fatface" w:hAnsi="Abril Fatface"/>
          <w:sz w:val="26"/>
          <w:szCs w:val="26"/>
          <w:rtl w:val="0"/>
        </w:rPr>
        <w:t xml:space="preserve">Mean - This means Jem is starting to look up to his father and wants to be like him. He realizes that being strong doesn’t mean fighting but staying calm and respectful like Atticus.</w:t>
      </w:r>
    </w:p>
    <w:p w:rsidR="00000000" w:rsidDel="00000000" w:rsidP="00000000" w:rsidRDefault="00000000" w:rsidRPr="00000000" w14:paraId="00000008">
      <w:pPr>
        <w:rPr>
          <w:rFonts w:ascii="Alegreya" w:cs="Alegreya" w:eastAsia="Alegreya" w:hAnsi="Alegreya"/>
          <w:sz w:val="26"/>
          <w:szCs w:val="26"/>
        </w:rPr>
      </w:pPr>
      <w:r w:rsidDel="00000000" w:rsidR="00000000" w:rsidRPr="00000000">
        <w:rPr>
          <w:rFonts w:ascii="Abril Fatface" w:cs="Abril Fatface" w:eastAsia="Abril Fatface" w:hAnsi="Abril Fatface"/>
          <w:sz w:val="26"/>
          <w:szCs w:val="26"/>
          <w:rtl w:val="0"/>
        </w:rPr>
        <w:t xml:space="preserve">Matter - It matters because it shows Jem is growing up and understanding real courage and maturity. It connects to the book’s theme about learning what true strength and goodness look like. </w:t>
      </w:r>
      <w:r w:rsidDel="00000000" w:rsidR="00000000" w:rsidRPr="00000000">
        <w:br w:type="page"/>
      </w:r>
      <w:r w:rsidDel="00000000" w:rsidR="00000000" w:rsidRPr="00000000">
        <w:rPr>
          <w:rtl w:val="0"/>
        </w:rPr>
      </w:r>
    </w:p>
    <w:p w:rsidR="00000000" w:rsidDel="00000000" w:rsidP="00000000" w:rsidRDefault="00000000" w:rsidRPr="00000000" w14:paraId="00000009">
      <w:pPr>
        <w:rPr>
          <w:rFonts w:ascii="Playfair Display" w:cs="Playfair Display" w:eastAsia="Playfair Display" w:hAnsi="Playfair Display"/>
          <w:sz w:val="26"/>
          <w:szCs w:val="26"/>
        </w:rPr>
      </w:pPr>
      <w:r w:rsidDel="00000000" w:rsidR="00000000" w:rsidRPr="00000000">
        <w:rPr>
          <w:rFonts w:ascii="Playfair Display" w:cs="Playfair Display" w:eastAsia="Playfair Display" w:hAnsi="Playfair Display"/>
          <w:sz w:val="26"/>
          <w:szCs w:val="26"/>
          <w:rtl w:val="0"/>
        </w:rPr>
        <w:t xml:space="preserve">EXAMPLES OF ARTICLE ANALYSIS:</w:t>
      </w:r>
    </w:p>
    <w:p w:rsidR="00000000" w:rsidDel="00000000" w:rsidP="00000000" w:rsidRDefault="00000000" w:rsidRPr="00000000" w14:paraId="0000000A">
      <w:pPr>
        <w:rPr>
          <w:rFonts w:ascii="Playfair Display" w:cs="Playfair Display" w:eastAsia="Playfair Display" w:hAnsi="Playfair Display"/>
          <w:sz w:val="26"/>
          <w:szCs w:val="26"/>
        </w:rPr>
      </w:pPr>
      <w:r w:rsidDel="00000000" w:rsidR="00000000" w:rsidRPr="00000000">
        <w:rPr>
          <w:rtl w:val="0"/>
        </w:rPr>
      </w:r>
    </w:p>
    <w:p w:rsidR="00000000" w:rsidDel="00000000" w:rsidP="00000000" w:rsidRDefault="00000000" w:rsidRPr="00000000" w14:paraId="0000000B">
      <w:pPr>
        <w:rPr>
          <w:rFonts w:ascii="Alegreya" w:cs="Alegreya" w:eastAsia="Alegreya" w:hAnsi="Alegreya"/>
          <w:sz w:val="26"/>
          <w:szCs w:val="26"/>
        </w:rPr>
      </w:pPr>
      <w:r w:rsidDel="00000000" w:rsidR="00000000" w:rsidRPr="00000000">
        <w:rPr>
          <w:rFonts w:ascii="Alegreya" w:cs="Alegreya" w:eastAsia="Alegreya" w:hAnsi="Alegreya"/>
          <w:sz w:val="26"/>
          <w:szCs w:val="26"/>
          <w:rtl w:val="0"/>
        </w:rPr>
        <w:t xml:space="preserve">Say -” What some saw as a years-long ruse or proof he sympathized with the enemy in World War II, he saw as an act of solidarity.”</w:t>
      </w:r>
    </w:p>
    <w:p w:rsidR="00000000" w:rsidDel="00000000" w:rsidP="00000000" w:rsidRDefault="00000000" w:rsidRPr="00000000" w14:paraId="0000000C">
      <w:pPr>
        <w:rPr>
          <w:rFonts w:ascii="Alegreya" w:cs="Alegreya" w:eastAsia="Alegreya" w:hAnsi="Alegreya"/>
          <w:sz w:val="26"/>
          <w:szCs w:val="26"/>
        </w:rPr>
      </w:pPr>
      <w:r w:rsidDel="00000000" w:rsidR="00000000" w:rsidRPr="00000000">
        <w:rPr>
          <w:rtl w:val="0"/>
        </w:rPr>
      </w:r>
    </w:p>
    <w:p w:rsidR="00000000" w:rsidDel="00000000" w:rsidP="00000000" w:rsidRDefault="00000000" w:rsidRPr="00000000" w14:paraId="0000000D">
      <w:pPr>
        <w:rPr>
          <w:rFonts w:ascii="Alegreya" w:cs="Alegreya" w:eastAsia="Alegreya" w:hAnsi="Alegreya"/>
          <w:sz w:val="26"/>
          <w:szCs w:val="26"/>
        </w:rPr>
      </w:pPr>
      <w:r w:rsidDel="00000000" w:rsidR="00000000" w:rsidRPr="00000000">
        <w:rPr>
          <w:rFonts w:ascii="Alegreya" w:cs="Alegreya" w:eastAsia="Alegreya" w:hAnsi="Alegreya"/>
          <w:sz w:val="26"/>
          <w:szCs w:val="26"/>
          <w:rtl w:val="0"/>
        </w:rPr>
        <w:t xml:space="preserve">Mean - Some people viewed Ralph Lazo’s actions as evidence that he supported the enemy during World War II, while he saw it as an act of  solidarity. Ralph related with the enemy in many ways and had much sympathy for them. He has grown up his whole life being segregated from others so he knew how it felt.</w:t>
      </w:r>
    </w:p>
    <w:p w:rsidR="00000000" w:rsidDel="00000000" w:rsidP="00000000" w:rsidRDefault="00000000" w:rsidRPr="00000000" w14:paraId="0000000E">
      <w:pPr>
        <w:rPr>
          <w:rFonts w:ascii="Alegreya" w:cs="Alegreya" w:eastAsia="Alegreya" w:hAnsi="Alegreya"/>
          <w:sz w:val="26"/>
          <w:szCs w:val="26"/>
        </w:rPr>
      </w:pPr>
      <w:r w:rsidDel="00000000" w:rsidR="00000000" w:rsidRPr="00000000">
        <w:rPr>
          <w:rFonts w:ascii="Alegreya" w:cs="Alegreya" w:eastAsia="Alegreya" w:hAnsi="Alegreya"/>
          <w:sz w:val="26"/>
          <w:szCs w:val="26"/>
          <w:rtl w:val="0"/>
        </w:rPr>
        <w:t xml:space="preserve">  </w:t>
      </w:r>
    </w:p>
    <w:p w:rsidR="00000000" w:rsidDel="00000000" w:rsidP="00000000" w:rsidRDefault="00000000" w:rsidRPr="00000000" w14:paraId="0000000F">
      <w:pPr>
        <w:rPr>
          <w:rFonts w:ascii="Alegreya" w:cs="Alegreya" w:eastAsia="Alegreya" w:hAnsi="Alegreya"/>
          <w:sz w:val="26"/>
          <w:szCs w:val="26"/>
        </w:rPr>
      </w:pPr>
      <w:r w:rsidDel="00000000" w:rsidR="00000000" w:rsidRPr="00000000">
        <w:rPr>
          <w:rFonts w:ascii="Alegreya" w:cs="Alegreya" w:eastAsia="Alegreya" w:hAnsi="Alegreya"/>
          <w:sz w:val="26"/>
          <w:szCs w:val="26"/>
          <w:rtl w:val="0"/>
        </w:rPr>
        <w:t xml:space="preserve">Matter - This quote matters because it shows us the different ways certain people view things, in the times of conflict. Some people thought that Ralph’s choice to live in the internment camp was disloyal or suspicious, while others thought it was the right thing to do and he was just a kind soul. Understanding these different perspectives helps us to understand the significance of this certain situation.</w:t>
      </w:r>
    </w:p>
    <w:p w:rsidR="00000000" w:rsidDel="00000000" w:rsidP="00000000" w:rsidRDefault="00000000" w:rsidRPr="00000000" w14:paraId="00000010">
      <w:pPr>
        <w:rPr>
          <w:sz w:val="14"/>
          <w:szCs w:val="14"/>
        </w:rPr>
      </w:pPr>
      <w:r w:rsidDel="00000000" w:rsidR="00000000" w:rsidRPr="00000000">
        <w:rPr>
          <w:rtl w:val="0"/>
        </w:rPr>
      </w:r>
    </w:p>
    <w:p w:rsidR="00000000" w:rsidDel="00000000" w:rsidP="00000000" w:rsidRDefault="00000000" w:rsidRPr="00000000" w14:paraId="00000011">
      <w:pPr>
        <w:rPr>
          <w:sz w:val="14"/>
          <w:szCs w:val="14"/>
        </w:rPr>
      </w:pPr>
      <w:r w:rsidDel="00000000" w:rsidR="00000000" w:rsidRPr="00000000">
        <w:rPr>
          <w:rtl w:val="0"/>
        </w:rPr>
      </w:r>
    </w:p>
    <w:p w:rsidR="00000000" w:rsidDel="00000000" w:rsidP="00000000" w:rsidRDefault="00000000" w:rsidRPr="00000000" w14:paraId="00000012">
      <w:pPr>
        <w:rPr>
          <w:sz w:val="14"/>
          <w:szCs w:val="14"/>
        </w:rPr>
      </w:pPr>
      <w:r w:rsidDel="00000000" w:rsidR="00000000" w:rsidRPr="00000000">
        <w:rPr>
          <w:rtl w:val="0"/>
        </w:rPr>
      </w:r>
    </w:p>
    <w:p w:rsidR="00000000" w:rsidDel="00000000" w:rsidP="00000000" w:rsidRDefault="00000000" w:rsidRPr="00000000" w14:paraId="00000013">
      <w:pPr>
        <w:rPr>
          <w:sz w:val="14"/>
          <w:szCs w:val="14"/>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t xml:space="preserve">Say, Mean, Matter: Japanese Internment Camps</w:t>
      </w:r>
    </w:p>
    <w:p w:rsidR="00000000" w:rsidDel="00000000" w:rsidP="00000000" w:rsidRDefault="00000000" w:rsidRPr="00000000" w14:paraId="00000015">
      <w:pPr>
        <w:rPr/>
      </w:pPr>
      <w:r w:rsidDel="00000000" w:rsidR="00000000" w:rsidRPr="00000000">
        <w:rPr>
          <w:b w:val="1"/>
          <w:bCs w:val="1"/>
          <w:rtl w:val="0"/>
        </w:rPr>
        <w:t xml:space="preserve">Say:</w:t>
      </w:r>
      <w:r w:rsidDel="00000000" w:rsidR="00000000" w:rsidRPr="00000000">
        <w:rPr>
          <w:rtl w:val="0"/>
        </w:rPr>
        <w:t xml:space="preserve"> In summary, this article is about a teen Mexican-American boy that volunteered to go to the internment camp Manzanar with his Japanese American Friends after the Japanese attacked Pearl harbor. It goes in depth about his time there and his beliefs on how internment camps were immoral and wrong. Lazo (the Mexican-American) chose to leave and come back several times and left his family to be there. He did not think that just because they were not Americans strictly meant that they were a threat to the country.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Mean: </w:t>
      </w:r>
      <w:r w:rsidDel="00000000" w:rsidR="00000000" w:rsidRPr="00000000">
        <w:rPr>
          <w:rtl w:val="0"/>
        </w:rPr>
        <w:t xml:space="preserve">This means that though Lazo was not forced to leave and go to an internment camp, he knew it was wrong and wanted to be there for his friends. He did know that this would come with suffering, uncomfortability, and pain, but it was what was important to him.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Matter: </w:t>
      </w:r>
      <w:r w:rsidDel="00000000" w:rsidR="00000000" w:rsidRPr="00000000">
        <w:rPr>
          <w:rtl w:val="0"/>
        </w:rPr>
        <w:t xml:space="preserve">This matters because it shows the good in people, that they care about others no matter the circumstance. It also advocates for equality and fair treatment, it shows that it is wrong to treat othersother differently due to race. </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bril Fatface">
    <w:embedRegular w:fontKey="{00000000-0000-0000-0000-000000000000}" r:id="rId5" w:subsetted="0"/>
  </w:font>
  <w:font w:name="Alegreya">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9" Type="http://schemas.openxmlformats.org/officeDocument/2006/relationships/font" Target="fonts/Alegreya-boldItalic.ttf"/><Relationship Id="rId5" Type="http://schemas.openxmlformats.org/officeDocument/2006/relationships/font" Target="fonts/AbrilFatface-regular.ttf"/><Relationship Id="rId6" Type="http://schemas.openxmlformats.org/officeDocument/2006/relationships/font" Target="fonts/Alegreya-regular.ttf"/><Relationship Id="rId7" Type="http://schemas.openxmlformats.org/officeDocument/2006/relationships/font" Target="fonts/Alegreya-bold.ttf"/><Relationship Id="rId8" Type="http://schemas.openxmlformats.org/officeDocument/2006/relationships/font" Target="fonts/Alegreya-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