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BAA6" w14:textId="77777777" w:rsidR="00574432" w:rsidRDefault="00574432">
      <w:pPr>
        <w:spacing w:after="480" w:line="240" w:lineRule="auto"/>
        <w:jc w:val="center"/>
        <w:rPr>
          <w:rFonts w:ascii="Arial Black" w:eastAsia="Times New Roman" w:hAnsi="Arial Black" w:cs="Times New Roman"/>
          <w:b/>
          <w:bCs/>
          <w:kern w:val="0"/>
          <w:sz w:val="72"/>
          <w:szCs w:val="72"/>
          <w:lang w:eastAsia="en-IN"/>
          <w14:ligatures w14:val="none"/>
        </w:rPr>
      </w:pPr>
    </w:p>
    <w:p w14:paraId="782B3D74" w14:textId="77777777" w:rsidR="00574432" w:rsidRDefault="00574432">
      <w:pPr>
        <w:spacing w:after="480" w:line="240" w:lineRule="auto"/>
        <w:jc w:val="both"/>
        <w:rPr>
          <w:rFonts w:ascii="Arial Black" w:eastAsia="Times New Roman" w:hAnsi="Arial Black" w:cs="Times New Roman"/>
          <w:b/>
          <w:bCs/>
          <w:kern w:val="0"/>
          <w:sz w:val="72"/>
          <w:szCs w:val="72"/>
          <w:lang w:eastAsia="en-IN"/>
          <w14:ligatures w14:val="none"/>
        </w:rPr>
      </w:pPr>
    </w:p>
    <w:p w14:paraId="2DE19276" w14:textId="77777777" w:rsidR="00574432" w:rsidRDefault="00574432">
      <w:pPr>
        <w:spacing w:after="480" w:line="240" w:lineRule="auto"/>
        <w:jc w:val="center"/>
        <w:rPr>
          <w:rFonts w:ascii="Arial Black" w:eastAsia="Times New Roman" w:hAnsi="Arial Black" w:cs="Times New Roman"/>
          <w:b/>
          <w:bCs/>
          <w:kern w:val="0"/>
          <w:sz w:val="72"/>
          <w:szCs w:val="72"/>
          <w:lang w:eastAsia="en-IN"/>
          <w14:ligatures w14:val="none"/>
        </w:rPr>
      </w:pPr>
    </w:p>
    <w:p w14:paraId="41BC9481" w14:textId="77777777" w:rsidR="00574432" w:rsidRDefault="00000000">
      <w:pPr>
        <w:spacing w:after="480" w:line="240" w:lineRule="auto"/>
        <w:jc w:val="center"/>
        <w:rPr>
          <w:rFonts w:ascii="Arial Black" w:eastAsia="Times New Roman" w:hAnsi="Arial Black" w:cs="Times New Roman"/>
          <w:b/>
          <w:bCs/>
          <w:kern w:val="0"/>
          <w:sz w:val="96"/>
          <w:szCs w:val="96"/>
          <w:lang w:val="en-US" w:eastAsia="en-IN"/>
          <w14:ligatures w14:val="none"/>
        </w:rPr>
      </w:pPr>
      <w:r>
        <w:rPr>
          <w:rFonts w:ascii="Arial Black" w:eastAsia="Times New Roman" w:hAnsi="Arial Black" w:cs="Times New Roman"/>
          <w:b/>
          <w:bCs/>
          <w:kern w:val="0"/>
          <w:sz w:val="96"/>
          <w:szCs w:val="96"/>
          <w:lang w:eastAsia="en-IN"/>
          <w14:ligatures w14:val="none"/>
        </w:rPr>
        <w:t>N</w:t>
      </w:r>
      <w:r>
        <w:rPr>
          <w:rFonts w:ascii="Arial Black" w:eastAsia="Times New Roman" w:hAnsi="Arial Black" w:cs="Times New Roman"/>
          <w:b/>
          <w:bCs/>
          <w:kern w:val="0"/>
          <w:sz w:val="96"/>
          <w:szCs w:val="96"/>
          <w:lang w:val="en-US" w:eastAsia="en-IN"/>
          <w14:ligatures w14:val="none"/>
        </w:rPr>
        <w:t>earby</w:t>
      </w:r>
      <w:r>
        <w:rPr>
          <w:rFonts w:ascii="Arial Black" w:eastAsia="Times New Roman" w:hAnsi="Arial Black" w:cs="Times New Roman"/>
          <w:b/>
          <w:bCs/>
          <w:kern w:val="0"/>
          <w:sz w:val="96"/>
          <w:szCs w:val="96"/>
          <w:lang w:eastAsia="en-IN"/>
          <w14:ligatures w14:val="none"/>
        </w:rPr>
        <w:t>N</w:t>
      </w:r>
      <w:r>
        <w:rPr>
          <w:rFonts w:ascii="Arial Black" w:eastAsia="Times New Roman" w:hAnsi="Arial Black" w:cs="Times New Roman"/>
          <w:b/>
          <w:bCs/>
          <w:kern w:val="0"/>
          <w:sz w:val="96"/>
          <w:szCs w:val="96"/>
          <w:lang w:val="en-US" w:eastAsia="en-IN"/>
          <w14:ligatures w14:val="none"/>
        </w:rPr>
        <w:t>exus</w:t>
      </w:r>
    </w:p>
    <w:p w14:paraId="7A99F852" w14:textId="77777777" w:rsidR="00574432" w:rsidRDefault="00000000">
      <w:pPr>
        <w:jc w:val="center"/>
        <w:rPr>
          <w:rFonts w:ascii="Times New Roman" w:eastAsia="Times New Roman" w:hAnsi="Times New Roman" w:cs="Times New Roman"/>
          <w:b/>
          <w:bCs/>
          <w:kern w:val="0"/>
          <w:sz w:val="40"/>
          <w:szCs w:val="40"/>
          <w:lang w:eastAsia="en-IN"/>
          <w14:ligatures w14:val="none"/>
        </w:rPr>
      </w:pPr>
      <w:proofErr w:type="gramStart"/>
      <w:r>
        <w:rPr>
          <w:rFonts w:ascii="Arial Black" w:eastAsia="Times New Roman" w:hAnsi="Arial Black" w:cs="Times New Roman"/>
          <w:b/>
          <w:bCs/>
          <w:kern w:val="0"/>
          <w:sz w:val="28"/>
          <w:szCs w:val="28"/>
          <w:lang w:val="en-US" w:eastAsia="en-IN"/>
          <w14:ligatures w14:val="none"/>
        </w:rPr>
        <w:t>Topic :</w:t>
      </w:r>
      <w:proofErr w:type="gramEnd"/>
      <w:r>
        <w:rPr>
          <w:rFonts w:ascii="Arial Black" w:eastAsia="Times New Roman" w:hAnsi="Arial Black" w:cs="Times New Roman"/>
          <w:b/>
          <w:bCs/>
          <w:kern w:val="0"/>
          <w:sz w:val="28"/>
          <w:szCs w:val="28"/>
          <w:lang w:val="en-US" w:eastAsia="en-IN"/>
          <w14:ligatures w14:val="none"/>
        </w:rPr>
        <w:t xml:space="preserve"> </w:t>
      </w:r>
      <w:r>
        <w:rPr>
          <w:rFonts w:ascii="Arial Black" w:eastAsia="Times New Roman" w:hAnsi="Arial Black" w:cs="Times New Roman"/>
          <w:kern w:val="0"/>
          <w:sz w:val="28"/>
          <w:szCs w:val="28"/>
          <w:lang w:val="en-US" w:eastAsia="en-IN"/>
          <w14:ligatures w14:val="none"/>
        </w:rPr>
        <w:t>Feasibility Study</w:t>
      </w:r>
    </w:p>
    <w:p w14:paraId="7FD84B5C" w14:textId="77777777" w:rsidR="00574432" w:rsidRDefault="00000000">
      <w:pPr>
        <w:spacing w:after="480" w:line="240" w:lineRule="auto"/>
        <w:jc w:val="center"/>
        <w:rPr>
          <w:rFonts w:ascii="Arial Black" w:eastAsia="Times New Roman" w:hAnsi="Arial Black" w:cs="Times New Roman"/>
          <w:b/>
          <w:bCs/>
          <w:kern w:val="0"/>
          <w:sz w:val="28"/>
          <w:szCs w:val="28"/>
          <w:lang w:eastAsia="en-IN"/>
          <w14:ligatures w14:val="none"/>
        </w:rPr>
      </w:pPr>
      <w:r>
        <w:rPr>
          <w:rFonts w:ascii="Arial Black" w:eastAsia="Times New Roman" w:hAnsi="Arial Black" w:cs="Times New Roman"/>
          <w:b/>
          <w:bCs/>
          <w:kern w:val="0"/>
          <w:sz w:val="28"/>
          <w:szCs w:val="28"/>
          <w:lang w:eastAsia="en-IN"/>
          <w14:ligatures w14:val="none"/>
        </w:rPr>
        <w:br/>
      </w:r>
    </w:p>
    <w:p w14:paraId="7285F844" w14:textId="77777777" w:rsidR="00574432" w:rsidRDefault="00574432" w:rsidP="00583101">
      <w:pPr>
        <w:spacing w:after="480" w:line="240" w:lineRule="auto"/>
        <w:rPr>
          <w:rFonts w:ascii="Arial Black" w:eastAsia="Times New Roman" w:hAnsi="Arial Black" w:cs="Times New Roman"/>
          <w:b/>
          <w:bCs/>
          <w:kern w:val="0"/>
          <w:sz w:val="28"/>
          <w:szCs w:val="28"/>
          <w:lang w:val="en-US" w:eastAsia="en-IN"/>
          <w14:ligatures w14:val="none"/>
        </w:rPr>
      </w:pPr>
    </w:p>
    <w:p w14:paraId="18924217" w14:textId="77777777" w:rsidR="00574432" w:rsidRDefault="00574432">
      <w:pPr>
        <w:spacing w:after="480" w:line="240" w:lineRule="auto"/>
        <w:jc w:val="both"/>
        <w:rPr>
          <w:rFonts w:ascii="Arial Black" w:eastAsia="Times New Roman" w:hAnsi="Arial Black" w:cs="Times New Roman"/>
          <w:b/>
          <w:bCs/>
          <w:kern w:val="0"/>
          <w:sz w:val="96"/>
          <w:szCs w:val="96"/>
          <w:lang w:val="en-US" w:eastAsia="en-IN"/>
          <w14:ligatures w14:val="none"/>
        </w:rPr>
      </w:pPr>
    </w:p>
    <w:p w14:paraId="3DFE29B9" w14:textId="77777777" w:rsidR="00574432" w:rsidRDefault="00000000">
      <w:pPr>
        <w:spacing w:after="0" w:line="240" w:lineRule="auto"/>
        <w:rPr>
          <w:rFonts w:ascii="Times New Roman" w:eastAsia="Times New Roman" w:hAnsi="Times New Roman" w:cs="Times New Roman"/>
          <w:kern w:val="0"/>
          <w:sz w:val="24"/>
          <w:szCs w:val="24"/>
          <w:lang w:eastAsia="en-IN"/>
          <w14:ligatures w14:val="none"/>
        </w:rPr>
      </w:pPr>
      <w:r>
        <w:rPr>
          <w:rFonts w:ascii="Libre Franklin" w:eastAsia="Times New Roman" w:hAnsi="Libre Franklin" w:cs="Times New Roman"/>
          <w:b/>
          <w:bCs/>
          <w:color w:val="0D0D0D"/>
          <w:kern w:val="0"/>
          <w:sz w:val="28"/>
          <w:szCs w:val="28"/>
          <w:lang w:eastAsia="en-IN"/>
          <w14:ligatures w14:val="none"/>
        </w:rPr>
        <w:t>Date</w:t>
      </w:r>
      <w:r>
        <w:rPr>
          <w:rFonts w:ascii="Libre Franklin" w:eastAsia="Times New Roman" w:hAnsi="Libre Franklin" w:cs="Times New Roman"/>
          <w:color w:val="0D0D0D"/>
          <w:kern w:val="0"/>
          <w:sz w:val="28"/>
          <w:szCs w:val="28"/>
          <w:lang w:eastAsia="en-IN"/>
          <w14:ligatures w14:val="none"/>
        </w:rPr>
        <w:t xml:space="preserve">: </w:t>
      </w:r>
    </w:p>
    <w:p w14:paraId="5A936EFA" w14:textId="77777777" w:rsidR="00574432" w:rsidRDefault="00000000" w:rsidP="00583101">
      <w:pPr>
        <w:spacing w:after="0" w:line="276" w:lineRule="auto"/>
        <w:rPr>
          <w:rFonts w:ascii="Libre Franklin" w:eastAsia="Times New Roman" w:hAnsi="Libre Franklin" w:cs="Times New Roman"/>
          <w:color w:val="0D0D0D"/>
          <w:kern w:val="0"/>
          <w:sz w:val="28"/>
          <w:szCs w:val="28"/>
          <w:lang w:eastAsia="en-IN"/>
          <w14:ligatures w14:val="none"/>
        </w:rPr>
      </w:pPr>
      <w:r>
        <w:rPr>
          <w:rFonts w:ascii="Libre Franklin" w:eastAsia="Times New Roman" w:hAnsi="Libre Franklin" w:cs="Times New Roman"/>
          <w:b/>
          <w:bCs/>
          <w:color w:val="0D0D0D"/>
          <w:kern w:val="0"/>
          <w:sz w:val="28"/>
          <w:szCs w:val="28"/>
          <w:lang w:eastAsia="en-IN"/>
          <w14:ligatures w14:val="none"/>
        </w:rPr>
        <w:t>Guide</w:t>
      </w:r>
      <w:r>
        <w:rPr>
          <w:rFonts w:ascii="Libre Franklin" w:eastAsia="Times New Roman" w:hAnsi="Libre Franklin" w:cs="Times New Roman"/>
          <w:color w:val="0D0D0D"/>
          <w:kern w:val="0"/>
          <w:sz w:val="28"/>
          <w:szCs w:val="28"/>
          <w:lang w:eastAsia="en-IN"/>
          <w14:ligatures w14:val="none"/>
        </w:rPr>
        <w:t>: Binumon Joseph</w:t>
      </w:r>
    </w:p>
    <w:p w14:paraId="651565AD" w14:textId="77777777" w:rsidR="00574432" w:rsidRDefault="00000000" w:rsidP="00583101">
      <w:pPr>
        <w:spacing w:after="0" w:line="276" w:lineRule="auto"/>
        <w:jc w:val="right"/>
        <w:rPr>
          <w:rFonts w:ascii="Times New Roman" w:eastAsia="Times New Roman" w:hAnsi="Times New Roman" w:cs="Times New Roman"/>
          <w:kern w:val="0"/>
          <w:sz w:val="24"/>
          <w:szCs w:val="24"/>
          <w:lang w:eastAsia="en-IN"/>
          <w14:ligatures w14:val="none"/>
        </w:rPr>
      </w:pPr>
      <w:r>
        <w:rPr>
          <w:rFonts w:ascii="Libre Franklin" w:eastAsia="Times New Roman" w:hAnsi="Libre Franklin" w:cs="Times New Roman"/>
          <w:b/>
          <w:bCs/>
          <w:color w:val="0D0D0D"/>
          <w:kern w:val="0"/>
          <w:sz w:val="28"/>
          <w:szCs w:val="28"/>
          <w:lang w:val="en-US" w:eastAsia="en-IN"/>
          <w14:ligatures w14:val="none"/>
        </w:rPr>
        <w:t xml:space="preserve">Submitted </w:t>
      </w:r>
      <w:proofErr w:type="gramStart"/>
      <w:r>
        <w:rPr>
          <w:rFonts w:ascii="Libre Franklin" w:eastAsia="Times New Roman" w:hAnsi="Libre Franklin" w:cs="Times New Roman"/>
          <w:b/>
          <w:bCs/>
          <w:color w:val="0D0D0D"/>
          <w:kern w:val="0"/>
          <w:sz w:val="28"/>
          <w:szCs w:val="28"/>
          <w:lang w:val="en-US" w:eastAsia="en-IN"/>
          <w14:ligatures w14:val="none"/>
        </w:rPr>
        <w:t xml:space="preserve">by </w:t>
      </w:r>
      <w:r>
        <w:rPr>
          <w:rFonts w:ascii="Libre Franklin" w:eastAsia="Times New Roman" w:hAnsi="Libre Franklin" w:cs="Times New Roman"/>
          <w:color w:val="0D0D0D"/>
          <w:kern w:val="0"/>
          <w:sz w:val="28"/>
          <w:szCs w:val="28"/>
          <w:lang w:eastAsia="en-IN"/>
          <w14:ligatures w14:val="none"/>
        </w:rPr>
        <w:t>:</w:t>
      </w:r>
      <w:proofErr w:type="gramEnd"/>
      <w:r>
        <w:rPr>
          <w:rFonts w:ascii="Libre Franklin" w:eastAsia="Times New Roman" w:hAnsi="Libre Franklin" w:cs="Times New Roman"/>
          <w:color w:val="0D0D0D"/>
          <w:kern w:val="0"/>
          <w:sz w:val="28"/>
          <w:szCs w:val="28"/>
          <w:lang w:val="en-US" w:eastAsia="en-IN"/>
          <w14:ligatures w14:val="none"/>
        </w:rPr>
        <w:t xml:space="preserve"> Don Benny</w:t>
      </w:r>
      <w:r>
        <w:rPr>
          <w:rFonts w:ascii="Libre Franklin" w:eastAsia="Times New Roman" w:hAnsi="Libre Franklin" w:cs="Times New Roman"/>
          <w:color w:val="0D0D0D"/>
          <w:kern w:val="0"/>
          <w:sz w:val="28"/>
          <w:szCs w:val="28"/>
          <w:lang w:eastAsia="en-IN"/>
          <w14:ligatures w14:val="none"/>
        </w:rPr>
        <w:t xml:space="preserve"> </w:t>
      </w:r>
    </w:p>
    <w:p w14:paraId="7ACC1053" w14:textId="2584FD09" w:rsidR="00583101" w:rsidRDefault="00583101" w:rsidP="00583101">
      <w:pPr>
        <w:spacing w:after="0" w:line="276" w:lineRule="auto"/>
        <w:jc w:val="right"/>
        <w:rPr>
          <w:rFonts w:ascii="Libre Franklin" w:eastAsia="Times New Roman" w:hAnsi="Libre Franklin" w:cs="Times New Roman"/>
          <w:color w:val="0D0D0D"/>
          <w:kern w:val="0"/>
          <w:sz w:val="28"/>
          <w:szCs w:val="28"/>
          <w:lang w:val="en-US" w:eastAsia="en-IN"/>
          <w14:ligatures w14:val="none"/>
        </w:rPr>
      </w:pPr>
      <w:r w:rsidRPr="00583101">
        <w:rPr>
          <w:rFonts w:ascii="Libre Franklin" w:eastAsia="Times New Roman" w:hAnsi="Libre Franklin" w:cs="Times New Roman"/>
          <w:b/>
          <w:bCs/>
          <w:color w:val="0D0D0D"/>
          <w:kern w:val="0"/>
          <w:sz w:val="28"/>
          <w:szCs w:val="28"/>
          <w:lang w:val="en-US" w:eastAsia="en-IN"/>
          <w14:ligatures w14:val="none"/>
        </w:rPr>
        <w:t xml:space="preserve">University </w:t>
      </w:r>
      <w:proofErr w:type="gramStart"/>
      <w:r w:rsidRPr="00583101">
        <w:rPr>
          <w:rFonts w:ascii="Libre Franklin" w:eastAsia="Times New Roman" w:hAnsi="Libre Franklin" w:cs="Times New Roman"/>
          <w:b/>
          <w:bCs/>
          <w:color w:val="0D0D0D"/>
          <w:kern w:val="0"/>
          <w:sz w:val="28"/>
          <w:szCs w:val="28"/>
          <w:lang w:val="en-US" w:eastAsia="en-IN"/>
          <w14:ligatures w14:val="none"/>
        </w:rPr>
        <w:t>No :</w:t>
      </w:r>
      <w:proofErr w:type="gramEnd"/>
      <w:r>
        <w:rPr>
          <w:rFonts w:ascii="Libre Franklin" w:eastAsia="Times New Roman" w:hAnsi="Libre Franklin" w:cs="Times New Roman"/>
          <w:color w:val="0D0D0D"/>
          <w:kern w:val="0"/>
          <w:sz w:val="28"/>
          <w:szCs w:val="28"/>
          <w:lang w:val="en-US" w:eastAsia="en-IN"/>
          <w14:ligatures w14:val="none"/>
        </w:rPr>
        <w:t xml:space="preserve"> </w:t>
      </w:r>
      <w:r w:rsidRPr="00583101">
        <w:rPr>
          <w:rFonts w:ascii="Libre Franklin" w:eastAsia="Times New Roman" w:hAnsi="Libre Franklin" w:cs="Times New Roman"/>
          <w:color w:val="0D0D0D"/>
          <w:kern w:val="0"/>
          <w:sz w:val="28"/>
          <w:szCs w:val="28"/>
          <w:lang w:val="en-US" w:eastAsia="en-IN"/>
          <w14:ligatures w14:val="none"/>
        </w:rPr>
        <w:t>AJC19MCA-I022</w:t>
      </w:r>
    </w:p>
    <w:p w14:paraId="43AA0B4D" w14:textId="77777777" w:rsidR="00574432" w:rsidRDefault="00000000" w:rsidP="00583101">
      <w:pPr>
        <w:spacing w:after="0" w:line="276" w:lineRule="auto"/>
        <w:jc w:val="right"/>
        <w:rPr>
          <w:rFonts w:ascii="Libre Franklin" w:eastAsia="Times New Roman" w:hAnsi="Libre Franklin" w:cs="Times New Roman"/>
          <w:color w:val="0D0D0D"/>
          <w:kern w:val="0"/>
          <w:sz w:val="28"/>
          <w:szCs w:val="28"/>
          <w:lang w:val="en-US" w:eastAsia="en-IN"/>
          <w14:ligatures w14:val="none"/>
        </w:rPr>
      </w:pPr>
      <w:r>
        <w:rPr>
          <w:rFonts w:ascii="Libre Franklin" w:eastAsia="Times New Roman" w:hAnsi="Libre Franklin" w:cs="Times New Roman"/>
          <w:b/>
          <w:bCs/>
          <w:color w:val="0D0D0D"/>
          <w:kern w:val="0"/>
          <w:sz w:val="28"/>
          <w:szCs w:val="28"/>
          <w:lang w:val="en-US" w:eastAsia="en-IN"/>
          <w14:ligatures w14:val="none"/>
        </w:rPr>
        <w:t xml:space="preserve">INTMCA </w:t>
      </w:r>
      <w:r>
        <w:rPr>
          <w:rFonts w:ascii="Libre Franklin" w:eastAsia="Times New Roman" w:hAnsi="Libre Franklin" w:cs="Times New Roman"/>
          <w:color w:val="0D0D0D"/>
          <w:kern w:val="0"/>
          <w:sz w:val="28"/>
          <w:szCs w:val="28"/>
          <w:lang w:eastAsia="en-IN"/>
          <w14:ligatures w14:val="none"/>
        </w:rPr>
        <w:t>:</w:t>
      </w:r>
      <w:r>
        <w:rPr>
          <w:rFonts w:ascii="Libre Franklin" w:eastAsia="Times New Roman" w:hAnsi="Libre Franklin" w:cs="Times New Roman"/>
          <w:color w:val="0D0D0D"/>
          <w:kern w:val="0"/>
          <w:sz w:val="28"/>
          <w:szCs w:val="28"/>
          <w:lang w:val="en-US" w:eastAsia="en-IN"/>
          <w14:ligatures w14:val="none"/>
        </w:rPr>
        <w:t>19-24</w:t>
      </w:r>
    </w:p>
    <w:p w14:paraId="7502A51B" w14:textId="77777777" w:rsidR="00583101" w:rsidRDefault="00583101" w:rsidP="00583101">
      <w:pPr>
        <w:spacing w:after="0" w:line="276" w:lineRule="auto"/>
        <w:jc w:val="right"/>
        <w:rPr>
          <w:rFonts w:ascii="Libre Franklin" w:eastAsia="Times New Roman" w:hAnsi="Libre Franklin" w:cs="Times New Roman"/>
          <w:color w:val="0D0D0D"/>
          <w:kern w:val="0"/>
          <w:sz w:val="28"/>
          <w:szCs w:val="28"/>
          <w:lang w:val="en-US" w:eastAsia="en-IN"/>
          <w14:ligatures w14:val="none"/>
        </w:rPr>
      </w:pPr>
      <w:proofErr w:type="gramStart"/>
      <w:r>
        <w:rPr>
          <w:rFonts w:ascii="Libre Franklin" w:eastAsia="Times New Roman" w:hAnsi="Libre Franklin" w:cs="Times New Roman"/>
          <w:b/>
          <w:bCs/>
          <w:color w:val="0D0D0D"/>
          <w:kern w:val="0"/>
          <w:sz w:val="28"/>
          <w:szCs w:val="28"/>
          <w:lang w:val="en-US" w:eastAsia="en-IN"/>
          <w14:ligatures w14:val="none"/>
        </w:rPr>
        <w:t xml:space="preserve">RollNo </w:t>
      </w:r>
      <w:r>
        <w:rPr>
          <w:rFonts w:ascii="Libre Franklin" w:eastAsia="Times New Roman" w:hAnsi="Libre Franklin" w:cs="Times New Roman"/>
          <w:color w:val="0D0D0D"/>
          <w:kern w:val="0"/>
          <w:sz w:val="28"/>
          <w:szCs w:val="28"/>
          <w:lang w:eastAsia="en-IN"/>
          <w14:ligatures w14:val="none"/>
        </w:rPr>
        <w:t>:</w:t>
      </w:r>
      <w:proofErr w:type="gramEnd"/>
      <w:r>
        <w:rPr>
          <w:rFonts w:ascii="Libre Franklin" w:eastAsia="Times New Roman" w:hAnsi="Libre Franklin" w:cs="Times New Roman"/>
          <w:color w:val="0D0D0D"/>
          <w:kern w:val="0"/>
          <w:sz w:val="28"/>
          <w:szCs w:val="28"/>
          <w:lang w:eastAsia="en-IN"/>
          <w14:ligatures w14:val="none"/>
        </w:rPr>
        <w:t xml:space="preserve"> </w:t>
      </w:r>
      <w:r>
        <w:rPr>
          <w:rFonts w:ascii="Libre Franklin" w:eastAsia="Times New Roman" w:hAnsi="Libre Franklin" w:cs="Times New Roman"/>
          <w:color w:val="0D0D0D"/>
          <w:kern w:val="0"/>
          <w:sz w:val="28"/>
          <w:szCs w:val="28"/>
          <w:lang w:val="en-US" w:eastAsia="en-IN"/>
          <w14:ligatures w14:val="none"/>
        </w:rPr>
        <w:t>21</w:t>
      </w:r>
    </w:p>
    <w:p w14:paraId="6E740C24" w14:textId="77777777" w:rsidR="00583101" w:rsidRDefault="00583101">
      <w:pPr>
        <w:spacing w:after="0" w:line="240" w:lineRule="auto"/>
        <w:jc w:val="right"/>
        <w:rPr>
          <w:rFonts w:ascii="Libre Franklin" w:eastAsia="Times New Roman" w:hAnsi="Libre Franklin" w:cs="Times New Roman"/>
          <w:color w:val="0D0D0D"/>
          <w:kern w:val="0"/>
          <w:sz w:val="28"/>
          <w:szCs w:val="28"/>
          <w:lang w:val="en-US" w:eastAsia="en-IN"/>
          <w14:ligatures w14:val="none"/>
        </w:rPr>
      </w:pPr>
    </w:p>
    <w:p w14:paraId="6D8058D8" w14:textId="77777777" w:rsidR="00574432" w:rsidRDefault="00000000">
      <w:pPr>
        <w:rPr>
          <w:rFonts w:ascii="Libre Franklin" w:eastAsia="Times New Roman" w:hAnsi="Libre Franklin" w:cs="Times New Roman"/>
          <w:color w:val="0D0D0D"/>
          <w:kern w:val="0"/>
          <w:sz w:val="28"/>
          <w:szCs w:val="28"/>
          <w:lang w:eastAsia="en-IN"/>
          <w14:ligatures w14:val="none"/>
        </w:rPr>
      </w:pPr>
      <w:r>
        <w:rPr>
          <w:rFonts w:ascii="Libre Franklin" w:eastAsia="Times New Roman" w:hAnsi="Libre Franklin" w:cs="Times New Roman"/>
          <w:color w:val="0D0D0D"/>
          <w:kern w:val="0"/>
          <w:sz w:val="28"/>
          <w:szCs w:val="28"/>
          <w:lang w:eastAsia="en-IN"/>
          <w14:ligatures w14:val="none"/>
        </w:rPr>
        <w:br w:type="page"/>
      </w:r>
    </w:p>
    <w:p w14:paraId="6FDD53E5" w14:textId="77777777" w:rsidR="00574432" w:rsidRDefault="00574432">
      <w:pPr>
        <w:spacing w:after="0" w:line="240" w:lineRule="auto"/>
        <w:rPr>
          <w:rFonts w:ascii="Libre Franklin" w:eastAsia="Times New Roman" w:hAnsi="Libre Franklin" w:cs="Times New Roman"/>
          <w:color w:val="0D0D0D"/>
          <w:kern w:val="0"/>
          <w:sz w:val="28"/>
          <w:szCs w:val="28"/>
          <w:lang w:eastAsia="en-IN"/>
          <w14:ligatures w14:val="none"/>
        </w:rPr>
      </w:pPr>
    </w:p>
    <w:p w14:paraId="18E87B18" w14:textId="77777777" w:rsidR="00574432" w:rsidRDefault="00574432">
      <w:pPr>
        <w:spacing w:after="0" w:line="240" w:lineRule="auto"/>
        <w:jc w:val="both"/>
        <w:rPr>
          <w:rFonts w:ascii="Times New Roman" w:eastAsia="Times New Roman" w:hAnsi="Times New Roman" w:cs="Times New Roman"/>
          <w:kern w:val="0"/>
          <w:sz w:val="24"/>
          <w:szCs w:val="24"/>
          <w:lang w:eastAsia="en-IN"/>
          <w14:ligatures w14:val="none"/>
        </w:rPr>
      </w:pPr>
    </w:p>
    <w:p w14:paraId="29C707C9" w14:textId="77777777" w:rsidR="00574432" w:rsidRDefault="00000000">
      <w:pPr>
        <w:jc w:val="cente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Feasibility Study</w:t>
      </w:r>
    </w:p>
    <w:p w14:paraId="5382691C" w14:textId="77777777" w:rsidR="00574432" w:rsidRDefault="00000000">
      <w:pPr>
        <w:pStyle w:val="NormalWeb"/>
        <w:jc w:val="both"/>
      </w:pPr>
      <w:r>
        <w:t>This examination plays a crucial role in gauging whether a project is capable of achieving the organization's goals, considering the allocation of resources, workforce, and time. It serves as a guiding compass for developers to explore the project's potential benefits and possibilities in the long term. To ascertain the viability and worthiness of proceeding with a proposed system, a comprehensive feasibility study must be undertaken.</w:t>
      </w:r>
    </w:p>
    <w:p w14:paraId="4D072EC3" w14:textId="77777777" w:rsidR="00574432" w:rsidRDefault="00000000">
      <w:pPr>
        <w:pStyle w:val="NormalWeb"/>
        <w:jc w:val="both"/>
      </w:pPr>
      <w:r>
        <w:t xml:space="preserve">During the feasibility study, the proposed system's impact on the organization is carefully evaluated, along with its ability to meet customer demands and optimize resource utilization. This rigorous evaluation process is a prerequisite before granting approval for the development of a new </w:t>
      </w:r>
      <w:proofErr w:type="gramStart"/>
      <w:r>
        <w:t>application.Numerous</w:t>
      </w:r>
      <w:proofErr w:type="gramEnd"/>
      <w:r>
        <w:t xml:space="preserve"> factors are thoroughly considered in the feasibility study, encompassing technical, financial, and operational aspects. This comprehensive approach ensures that all angles are meticulously assessed and documented in the feasibility study report. The result is an informed decision that charts the path for the project's successful realization while aligning with the organization's strategic objectives.</w:t>
      </w:r>
    </w:p>
    <w:p w14:paraId="2799D5A5" w14:textId="77777777" w:rsidR="00574432" w:rsidRDefault="00574432">
      <w:pPr>
        <w:pStyle w:val="NormalWeb"/>
        <w:jc w:val="both"/>
      </w:pPr>
    </w:p>
    <w:p w14:paraId="53A5D682" w14:textId="77777777" w:rsidR="00574432" w:rsidRDefault="00000000">
      <w:pPr>
        <w:pStyle w:val="NormalWeb"/>
        <w:numPr>
          <w:ilvl w:val="0"/>
          <w:numId w:val="1"/>
        </w:numPr>
        <w:jc w:val="both"/>
        <w:rPr>
          <w:b/>
          <w:bCs/>
        </w:rPr>
      </w:pPr>
      <w:r>
        <w:rPr>
          <w:b/>
          <w:bCs/>
        </w:rPr>
        <w:t>Economic Feasibility</w:t>
      </w:r>
    </w:p>
    <w:p w14:paraId="1C232294" w14:textId="77777777" w:rsidR="00574432" w:rsidRDefault="00000000">
      <w:pPr>
        <w:pStyle w:val="NormalWeb"/>
        <w:ind w:left="720"/>
        <w:jc w:val="both"/>
      </w:pPr>
      <w:r>
        <w:t>Conducting an economic feasibility analysis is of utmost importance when assessing the viability of a new project, considering both the cost and time investment involved. This meticulous process involves a comprehensive examination of all relevant factors that can significantly impact the project's success.</w:t>
      </w:r>
    </w:p>
    <w:p w14:paraId="0C10B198" w14:textId="77777777" w:rsidR="00574432" w:rsidRDefault="00000000">
      <w:pPr>
        <w:pStyle w:val="NormalWeb"/>
        <w:ind w:left="720"/>
        <w:jc w:val="both"/>
      </w:pPr>
      <w:r>
        <w:t>By thoroughly evaluating the economic aspects of the project, including potential expenses, returns, and anticipated benefits, the organization gains a clearer understanding of the project's financial feasibility. This empowers decision-makers to move forward with confidence, knowing that the investment aligns with the organization's goals and is likely to yield desirable results.</w:t>
      </w:r>
    </w:p>
    <w:p w14:paraId="6BD95C51" w14:textId="6D09A7AF" w:rsidR="00867994" w:rsidRPr="00867994" w:rsidRDefault="00867994" w:rsidP="00867994">
      <w:pPr>
        <w:pStyle w:val="NormalWeb"/>
        <w:ind w:left="720"/>
        <w:jc w:val="both"/>
        <w:rPr>
          <w:b/>
          <w:bCs/>
        </w:rPr>
      </w:pPr>
      <w:r>
        <w:t>NearbyNexus can explore various revenue streams, such as charging service providers for premium listings, offering subscription-based services to vendors or users, or earning a commission on transactions made through the application. By diversifying revenue sources, the project can reduce dependency on a single income stream and increase economic resilience.</w:t>
      </w:r>
    </w:p>
    <w:p w14:paraId="2CA03952" w14:textId="5134E891" w:rsidR="00583101" w:rsidRDefault="00583101" w:rsidP="00583101">
      <w:pPr>
        <w:pStyle w:val="NormalWeb"/>
        <w:ind w:left="720"/>
        <w:jc w:val="both"/>
      </w:pPr>
      <w:r>
        <w:t>In the case of the proposed system, NearbyNexus, a rigorous cost-benefit analysis has been conducted. The results of this analysis indicate that the project is not only feasible but also economically viable, remaining within the pre-established budgetary constraints. This positive outcome reaffirms the potential value and profitability of the initiative.</w:t>
      </w:r>
    </w:p>
    <w:p w14:paraId="7779BCE7" w14:textId="77777777" w:rsidR="00574432" w:rsidRDefault="00000000">
      <w:pPr>
        <w:pStyle w:val="NormalWeb"/>
        <w:ind w:left="720"/>
        <w:jc w:val="both"/>
      </w:pPr>
      <w:r>
        <w:t xml:space="preserve">Conducting a thorough market analysis is crucial to determine the economic viability of NearbyNexus. Evaluating the demand for location-based service applications and understanding user preferences will help gauge the potential user base. Identifying the </w:t>
      </w:r>
      <w:r>
        <w:lastRenderedPageBreak/>
        <w:t>target market segments, such as tourists, newcomers, or residents seeking local services, will provide valuable insights into revenue generation opportunities. Positive market demand and a sizable target audience increase the project's economic feasibility.</w:t>
      </w:r>
    </w:p>
    <w:p w14:paraId="7D133186" w14:textId="77777777" w:rsidR="00574432" w:rsidRDefault="00000000">
      <w:pPr>
        <w:pStyle w:val="NormalWeb"/>
        <w:numPr>
          <w:ilvl w:val="0"/>
          <w:numId w:val="1"/>
        </w:numPr>
        <w:jc w:val="both"/>
        <w:rPr>
          <w:b/>
          <w:bCs/>
        </w:rPr>
      </w:pPr>
      <w:r>
        <w:rPr>
          <w:b/>
          <w:bCs/>
        </w:rPr>
        <w:t>Technical Feasibility</w:t>
      </w:r>
    </w:p>
    <w:p w14:paraId="645FD49E" w14:textId="77777777" w:rsidR="00574432" w:rsidRDefault="00000000">
      <w:pPr>
        <w:pStyle w:val="NormalWeb"/>
        <w:ind w:left="720"/>
        <w:jc w:val="both"/>
      </w:pPr>
      <w:r>
        <w:t>Technical feasibility involves evaluating whether a product or service can be developed and executed using the existing technology and available resources. The analysis assesses the viability of the proposed plan by examining factors such as tools, materials, labour, logistics, and technology. It plays a vital role in identifying and resolving potential project challenges before commencing the work. Creating a flowchart to visualize the product or service's evolution can aid in understanding the system's process during the technical feasibility assessment.</w:t>
      </w:r>
    </w:p>
    <w:p w14:paraId="4B6CA3D0" w14:textId="77777777" w:rsidR="00574432" w:rsidRDefault="00000000">
      <w:pPr>
        <w:pStyle w:val="NormalWeb"/>
        <w:ind w:left="720"/>
        <w:jc w:val="both"/>
      </w:pPr>
      <w:r>
        <w:t>Enabling service providers to create and manage their services within the application demands a well-structured database architecture. An efficient backend system is necessary to store and retrieve service details accurately.</w:t>
      </w:r>
    </w:p>
    <w:p w14:paraId="21D54A6A" w14:textId="77777777" w:rsidR="00574432" w:rsidRDefault="00000000">
      <w:pPr>
        <w:pStyle w:val="NormalWeb"/>
        <w:ind w:left="720"/>
        <w:jc w:val="both"/>
      </w:pPr>
      <w:r>
        <w:t>Accurate geolocation and mapping functionalities provide NearbyNexus to identify the user's location and nearby service providers. Integration with mapping APIs, such as Google Maps, is crucial for displaying service providers on a map. Developing an in-app messaging feature requires real-time communication capabilities. In NearbyNexus implementing a messaging system using WebSocket or similar technologies will enable direct communication between users and service providers.</w:t>
      </w:r>
    </w:p>
    <w:p w14:paraId="0E9494E9" w14:textId="77777777" w:rsidR="00574432" w:rsidRDefault="00000000">
      <w:pPr>
        <w:pStyle w:val="NormalWeb"/>
        <w:numPr>
          <w:ilvl w:val="0"/>
          <w:numId w:val="1"/>
        </w:numPr>
        <w:jc w:val="both"/>
        <w:rPr>
          <w:b/>
          <w:bCs/>
        </w:rPr>
      </w:pPr>
      <w:r>
        <w:rPr>
          <w:b/>
          <w:bCs/>
          <w:lang w:val="en-US"/>
        </w:rPr>
        <w:t>Behavioral</w:t>
      </w:r>
      <w:r>
        <w:rPr>
          <w:b/>
          <w:bCs/>
        </w:rPr>
        <w:t xml:space="preserve"> Feasibility</w:t>
      </w:r>
    </w:p>
    <w:p w14:paraId="75215E4C" w14:textId="77777777" w:rsidR="00574432" w:rsidRDefault="00000000">
      <w:pPr>
        <w:pStyle w:val="NormalWeb"/>
        <w:ind w:left="720"/>
        <w:jc w:val="both"/>
      </w:pPr>
      <w:r>
        <w:t xml:space="preserve">The </w:t>
      </w:r>
      <w:r>
        <w:rPr>
          <w:lang w:val="en-US"/>
        </w:rPr>
        <w:t>behavioral</w:t>
      </w:r>
      <w:r>
        <w:t xml:space="preserve"> feasibility of NearbyNexus focuses on the acceptance and adoption of the application by its target users, both service providers and service seekers. Understanding the </w:t>
      </w:r>
      <w:r>
        <w:rPr>
          <w:lang w:val="en-US"/>
        </w:rPr>
        <w:t>behavioral</w:t>
      </w:r>
      <w:r>
        <w:t xml:space="preserve"> aspects of the project is crucial to ensure that the application aligns with user preferences, addresses their needs, and encourages active </w:t>
      </w:r>
      <w:proofErr w:type="gramStart"/>
      <w:r>
        <w:t>engagement.</w:t>
      </w:r>
      <w:r>
        <w:rPr>
          <w:lang w:val="en-US"/>
        </w:rPr>
        <w:t>Behavioral</w:t>
      </w:r>
      <w:proofErr w:type="gramEnd"/>
      <w:r>
        <w:t xml:space="preserve"> feasibility necessitates establishing trust and safety measures to ensure that users feel secure while using NearbyNexus. Implementing user verification processes, user reviews, and a reporting system for inappropriate behaviour or service quality concerns will build trust and confidence in the application.</w:t>
      </w:r>
    </w:p>
    <w:p w14:paraId="1C2B7788" w14:textId="77777777" w:rsidR="00574432" w:rsidRDefault="00000000">
      <w:pPr>
        <w:pStyle w:val="NormalWeb"/>
        <w:ind w:left="720"/>
        <w:jc w:val="both"/>
      </w:pPr>
      <w:r>
        <w:t>The behavioural feasibility assessment assures that NearbyNexus is designed with a user-centric approach, meeting the preferences and requirements of its target audience. By prioritizing user experience, safety, engagement, and effective communication, the application is more likely to be embraced and used by users and service providers alike. Ensuring behavioural feasibility will lead to higher user adoption rates, increased user retention, and long-term success for NearbyNexus in the competitive market.</w:t>
      </w:r>
    </w:p>
    <w:sectPr w:rsidR="005744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75BB" w14:textId="77777777" w:rsidR="004B19EB" w:rsidRDefault="004B19EB">
      <w:pPr>
        <w:spacing w:line="240" w:lineRule="auto"/>
      </w:pPr>
      <w:r>
        <w:separator/>
      </w:r>
    </w:p>
  </w:endnote>
  <w:endnote w:type="continuationSeparator" w:id="0">
    <w:p w14:paraId="32AB62D5" w14:textId="77777777" w:rsidR="004B19EB" w:rsidRDefault="004B1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re Franklin">
    <w:altName w:val="Calibri"/>
    <w:charset w:val="00"/>
    <w:family w:val="auto"/>
    <w:pitch w:val="variable"/>
    <w:sig w:usb0="A00000FF" w:usb1="4000205B" w:usb2="00000000" w:usb3="00000000" w:csb0="000001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98AB2" w14:textId="77777777" w:rsidR="004B19EB" w:rsidRDefault="004B19EB">
      <w:pPr>
        <w:spacing w:after="0"/>
      </w:pPr>
      <w:r>
        <w:separator/>
      </w:r>
    </w:p>
  </w:footnote>
  <w:footnote w:type="continuationSeparator" w:id="0">
    <w:p w14:paraId="038CFCB5" w14:textId="77777777" w:rsidR="004B19EB" w:rsidRDefault="004B19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00845"/>
    <w:multiLevelType w:val="multilevel"/>
    <w:tmpl w:val="74E008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867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412"/>
    <w:rsid w:val="00073E2E"/>
    <w:rsid w:val="001513FA"/>
    <w:rsid w:val="004B1838"/>
    <w:rsid w:val="004B19EB"/>
    <w:rsid w:val="00574432"/>
    <w:rsid w:val="005745BF"/>
    <w:rsid w:val="00583101"/>
    <w:rsid w:val="007C37B1"/>
    <w:rsid w:val="00867994"/>
    <w:rsid w:val="008F5A80"/>
    <w:rsid w:val="00B56B8E"/>
    <w:rsid w:val="00D17266"/>
    <w:rsid w:val="00D304D0"/>
    <w:rsid w:val="00E04412"/>
    <w:rsid w:val="00F1688B"/>
    <w:rsid w:val="00F94B97"/>
    <w:rsid w:val="0E245572"/>
    <w:rsid w:val="209B7C04"/>
    <w:rsid w:val="30B928AB"/>
    <w:rsid w:val="5CC94568"/>
    <w:rsid w:val="5E332504"/>
    <w:rsid w:val="6C2814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0027"/>
  <w15:docId w15:val="{67B7CD37-834F-458E-B117-6093DCF2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02747-D5BB-473C-B8DB-D811E79F5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Benny</dc:creator>
  <cp:lastModifiedBy>Don Benny</cp:lastModifiedBy>
  <cp:revision>4</cp:revision>
  <dcterms:created xsi:type="dcterms:W3CDTF">2023-07-31T05:43:00Z</dcterms:created>
  <dcterms:modified xsi:type="dcterms:W3CDTF">2023-07-31T10:49:00Z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3082DCCE66A146C989B2727BE3286FF6_12</vt:lpwstr>
  </property>
</Properties>
</file>