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DC4A" w14:textId="77777777" w:rsidR="00615ACC" w:rsidRDefault="00000000">
      <w:pPr>
        <w:pStyle w:val="aa"/>
        <w:jc w:val="center"/>
      </w:pPr>
      <w:r>
        <w:rPr>
          <w:rFonts w:ascii="Times New Roman" w:eastAsia="Times New Roman" w:hAnsi="Times New Roman"/>
        </w:rPr>
        <w:t>Лабораторная работа 1 Большие языковые модели в предметной области ВКР</w:t>
      </w:r>
    </w:p>
    <w:p w14:paraId="27FCE112" w14:textId="77777777" w:rsidR="00615ACC" w:rsidRDefault="00000000">
      <w:pPr>
        <w:ind w:firstLine="0"/>
        <w:jc w:val="center"/>
      </w:pPr>
      <w:r>
        <w:rPr>
          <w:rFonts w:eastAsia="Times New Roman"/>
        </w:rPr>
        <w:t>Дисциплина «Прикладные задачи машинного обучения»</w:t>
      </w:r>
    </w:p>
    <w:p w14:paraId="2B532F61" w14:textId="77777777" w:rsidR="00615ACC" w:rsidRDefault="00000000">
      <w:pPr>
        <w:ind w:firstLine="0"/>
        <w:jc w:val="center"/>
      </w:pPr>
      <w:r>
        <w:rPr>
          <w:rFonts w:eastAsia="Times New Roman"/>
        </w:rPr>
        <w:t>Автор: Никитин Петр Владимирович, кафедра искусственного интеллекта Финансового университета</w:t>
      </w:r>
    </w:p>
    <w:p w14:paraId="314D6CCA" w14:textId="77777777" w:rsidR="00615ACC" w:rsidRDefault="00000000">
      <w:pPr>
        <w:pStyle w:val="1"/>
        <w:spacing w:before="160"/>
      </w:pPr>
      <w:r>
        <w:rPr>
          <w:rFonts w:ascii="Times New Roman" w:eastAsia="Times New Roman" w:hAnsi="Times New Roman"/>
        </w:rPr>
        <w:t>Цель лабораторной работы</w:t>
      </w:r>
    </w:p>
    <w:p w14:paraId="02533EFA" w14:textId="77777777" w:rsidR="00615ACC" w:rsidRDefault="00000000">
      <w:pPr>
        <w:jc w:val="both"/>
      </w:pPr>
      <w:r>
        <w:rPr>
          <w:rFonts w:eastAsia="Times New Roman"/>
        </w:rPr>
        <w:t>Провести исследование современного состояния LLM в выбранной области ВКР, подготовить данные, сравнить 7–8 моделей по единому протоколу и применить лучшую модель к собственной задаче.</w:t>
      </w:r>
    </w:p>
    <w:p w14:paraId="4EA3BC22" w14:textId="77777777" w:rsidR="00615ACC" w:rsidRDefault="00000000">
      <w:pPr>
        <w:pStyle w:val="1"/>
        <w:spacing w:before="160"/>
      </w:pPr>
      <w:r>
        <w:rPr>
          <w:rFonts w:ascii="Times New Roman" w:eastAsia="Times New Roman" w:hAnsi="Times New Roman"/>
        </w:rPr>
        <w:t>Задачи лабораторной работы</w:t>
      </w:r>
    </w:p>
    <w:p w14:paraId="7A7550D9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Исследовательский обзор.</w:t>
      </w:r>
    </w:p>
    <w:p w14:paraId="01AB8647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Данные.</w:t>
      </w:r>
    </w:p>
    <w:p w14:paraId="2C4B0592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>Сравнение 7–8 LLM.</w:t>
      </w:r>
    </w:p>
    <w:p w14:paraId="55217939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>Применение лучшей модели.</w:t>
      </w:r>
    </w:p>
    <w:p w14:paraId="00345F9F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>Многокритериальная оценка.</w:t>
      </w:r>
    </w:p>
    <w:p w14:paraId="7444F70E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6. </w:t>
      </w:r>
      <w:r>
        <w:rPr>
          <w:rFonts w:eastAsia="Times New Roman"/>
        </w:rPr>
        <w:t>Вывод.</w:t>
      </w:r>
    </w:p>
    <w:p w14:paraId="14C6B8F2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7. </w:t>
      </w:r>
      <w:r>
        <w:rPr>
          <w:rFonts w:eastAsia="Times New Roman"/>
        </w:rPr>
        <w:t>Воспроизводимые артефакты.</w:t>
      </w:r>
    </w:p>
    <w:p w14:paraId="26B1CA26" w14:textId="77777777" w:rsidR="00615ACC" w:rsidRDefault="00000000">
      <w:pPr>
        <w:pStyle w:val="1"/>
        <w:spacing w:before="160"/>
      </w:pPr>
      <w:r>
        <w:rPr>
          <w:rFonts w:ascii="Times New Roman" w:eastAsia="Times New Roman" w:hAnsi="Times New Roman"/>
        </w:rPr>
        <w:t>Описание заданий</w:t>
      </w:r>
    </w:p>
    <w:p w14:paraId="0DA4CA0E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Задание 1 Исследовательский обзор</w:t>
      </w:r>
    </w:p>
    <w:p w14:paraId="05E8420C" w14:textId="77777777" w:rsidR="00615ACC" w:rsidRDefault="00000000">
      <w:pPr>
        <w:jc w:val="both"/>
      </w:pPr>
      <w:r>
        <w:rPr>
          <w:rFonts w:eastAsia="Times New Roman"/>
        </w:rPr>
        <w:t>Сформулировать задачу ВКР и систематический поисковый запрос. Отобрать 10–15 работ: публикации ведущих конференций уровня A/A*, статьи журналов Q1 или признанных открытых журналов, отечественные исследования, релевантные препринты. Для каждой работы зафиксировать задачу, архитектуру, данные, протокол, метрики, код, ограничения и идею репликации.</w:t>
      </w:r>
    </w:p>
    <w:p w14:paraId="3A3A7A5C" w14:textId="77777777" w:rsidR="00615ACC" w:rsidRDefault="00000000">
      <w:pPr>
        <w:jc w:val="both"/>
      </w:pPr>
      <w:r>
        <w:rPr>
          <w:rFonts w:eastAsia="Times New Roman"/>
        </w:rPr>
        <w:t>Результат этапа: аналитический обзор 10–15 источников, сравнительная матрица и сформулированный исследовательский разрыв.</w:t>
      </w:r>
    </w:p>
    <w:p w14:paraId="7074F782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lastRenderedPageBreak/>
        <w:t>Задание 2 Данные</w:t>
      </w:r>
    </w:p>
    <w:p w14:paraId="52481922" w14:textId="77777777" w:rsidR="00615ACC" w:rsidRDefault="00000000">
      <w:pPr>
        <w:jc w:val="both"/>
      </w:pPr>
      <w:r>
        <w:rPr>
          <w:rFonts w:eastAsia="Times New Roman"/>
        </w:rPr>
        <w:t>Описать источник, лицензию, единицу наблюдения, классы, объем, пропуски, дубликаты, дисбаланс и временную структуру. Проверить утечку через одинаковые или почти одинаковые тексты. Задать train, validation и test до сравнения моделей.</w:t>
      </w:r>
    </w:p>
    <w:p w14:paraId="32F8FE33" w14:textId="77777777" w:rsidR="00615ACC" w:rsidRDefault="00000000">
      <w:pPr>
        <w:jc w:val="both"/>
      </w:pPr>
      <w:r>
        <w:rPr>
          <w:rFonts w:eastAsia="Times New Roman"/>
        </w:rPr>
        <w:t>Результат этапа: паспорт данных, описательная статистика, перечень проблем качества и обоснованная схема предобработки и разбиения.</w:t>
      </w:r>
    </w:p>
    <w:p w14:paraId="153CC3FF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Задание 3 Сравнение 7–8 LLM</w:t>
      </w:r>
    </w:p>
    <w:p w14:paraId="5737BC77" w14:textId="77777777" w:rsidR="00615ACC" w:rsidRDefault="00000000">
      <w:pPr>
        <w:jc w:val="both"/>
      </w:pPr>
      <w:r>
        <w:rPr>
          <w:rFonts w:eastAsia="Times New Roman"/>
        </w:rPr>
        <w:t>Для всех моделей использовать один тестовый набор, одинаковый формат ответа и сопоставимый бюджет. Сравнить zero-shot, few-shot и при возможности параметрически эффективную адаптацию. Отдельно измерить долю невалидных ответов и чувствительность к формулировке инструкции.</w:t>
      </w:r>
    </w:p>
    <w:p w14:paraId="10460F3A" w14:textId="77777777" w:rsidR="00615ACC" w:rsidRDefault="00000000">
      <w:pPr>
        <w:jc w:val="both"/>
      </w:pPr>
      <w:r>
        <w:rPr>
          <w:rFonts w:eastAsia="Times New Roman"/>
        </w:rPr>
        <w:t>Результат этапа: единый экспериментальный протокол, таблица сравнения, доверительные интервалы и журнал параметров.</w:t>
      </w:r>
    </w:p>
    <w:p w14:paraId="6AC2F06C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Задание 4 Применение лучшей модели</w:t>
      </w:r>
    </w:p>
    <w:p w14:paraId="538E3C98" w14:textId="77777777" w:rsidR="00615ACC" w:rsidRDefault="00000000">
      <w:pPr>
        <w:jc w:val="both"/>
      </w:pPr>
      <w:r>
        <w:rPr>
          <w:rFonts w:eastAsia="Times New Roman"/>
        </w:rPr>
        <w:t>Выбрать модель по заранее заданному правилу, а не по одной максимальной метрике. Применить ее к авторской выборке или новому срезу данных ВКР. Описать интеграцию в будущий прототип и условия отказа от автоматического решения.</w:t>
      </w:r>
    </w:p>
    <w:p w14:paraId="12B77980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Задание 5 Многокритериальная оценка</w:t>
      </w:r>
    </w:p>
    <w:p w14:paraId="23BCD4A8" w14:textId="77777777" w:rsidR="00615ACC" w:rsidRDefault="00000000">
      <w:pPr>
        <w:jc w:val="both"/>
      </w:pPr>
      <w:r>
        <w:rPr>
          <w:rFonts w:eastAsia="Times New Roman"/>
        </w:rPr>
        <w:t>Посчитать качество классификации, калибровку, устойчивость, latency, потребление памяти или стоимость API. Выполнить анализ ошибок по классам, длине текста, языку и типу финансового сообщения.</w:t>
      </w:r>
    </w:p>
    <w:p w14:paraId="1E36EA81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Задание 6 Вывод</w:t>
      </w:r>
    </w:p>
    <w:p w14:paraId="3BCF168E" w14:textId="77777777" w:rsidR="00615ACC" w:rsidRDefault="00000000">
      <w:pPr>
        <w:jc w:val="both"/>
      </w:pPr>
      <w:r>
        <w:rPr>
          <w:rFonts w:eastAsia="Times New Roman"/>
        </w:rPr>
        <w:t>Ответить на исследовательский вопрос. Отделить подтвержденный результат от гипотезы, перечислить угрозы валидности и сформулировать следующий эксперимент для ВКР.</w:t>
      </w:r>
    </w:p>
    <w:p w14:paraId="12A10833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lastRenderedPageBreak/>
        <w:t>Задание 7 Воспроизводимые артефакты</w:t>
      </w:r>
    </w:p>
    <w:p w14:paraId="46C4525C" w14:textId="77777777" w:rsidR="00615ACC" w:rsidRDefault="00000000">
      <w:pPr>
        <w:jc w:val="both"/>
      </w:pPr>
      <w:r>
        <w:rPr>
          <w:rFonts w:eastAsia="Times New Roman"/>
        </w:rPr>
        <w:t>Предоставить матрицу литературы, паспорт данных, таблицу моделей, конфигурации запросов, таблицу метрик, примеры ошибок и краткую инструкцию повторения эксперимента. Код в методическом задании не приводится, но студент разрабатывает его в своем репозитории.</w:t>
      </w:r>
    </w:p>
    <w:p w14:paraId="74987859" w14:textId="77777777" w:rsidR="00615ACC" w:rsidRDefault="00000000">
      <w:pPr>
        <w:pStyle w:val="1"/>
        <w:spacing w:before="160"/>
      </w:pPr>
      <w:r>
        <w:rPr>
          <w:rFonts w:ascii="Times New Roman" w:eastAsia="Times New Roman" w:hAnsi="Times New Roman"/>
        </w:rPr>
        <w:t>Требования к отчету</w:t>
      </w:r>
    </w:p>
    <w:p w14:paraId="184DE1E0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Обзор 10–15 источников и PRISMA-подобная схема отбора.</w:t>
      </w:r>
    </w:p>
    <w:p w14:paraId="7EDF0572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Матрица литературы.</w:t>
      </w:r>
    </w:p>
    <w:p w14:paraId="4CE0D3A9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>Паспорт и анализ данных.</w:t>
      </w:r>
    </w:p>
    <w:p w14:paraId="6824CDF0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>Таблица 7–8 моделей.</w:t>
      </w:r>
    </w:p>
    <w:p w14:paraId="66FD5E54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>Единый протокол сравнения.</w:t>
      </w:r>
    </w:p>
    <w:p w14:paraId="2118BD2B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6. </w:t>
      </w:r>
      <w:r>
        <w:rPr>
          <w:rFonts w:eastAsia="Times New Roman"/>
        </w:rPr>
        <w:t>Таблицы метрик и анализ ошибок.</w:t>
      </w:r>
    </w:p>
    <w:p w14:paraId="4D1DEFBD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7. </w:t>
      </w:r>
      <w:r>
        <w:rPr>
          <w:rFonts w:eastAsia="Times New Roman"/>
        </w:rPr>
        <w:t>Описание применения лучшей модели.</w:t>
      </w:r>
    </w:p>
    <w:p w14:paraId="10830CB1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8. </w:t>
      </w:r>
      <w:r>
        <w:rPr>
          <w:rFonts w:eastAsia="Times New Roman"/>
        </w:rPr>
        <w:t>Выводы и ограничения.</w:t>
      </w:r>
    </w:p>
    <w:p w14:paraId="0E8A8C6A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9. </w:t>
      </w:r>
      <w:r>
        <w:rPr>
          <w:rFonts w:eastAsia="Times New Roman"/>
        </w:rPr>
        <w:t>Ссылка на репозиторий студента.</w:t>
      </w:r>
    </w:p>
    <w:p w14:paraId="74397521" w14:textId="77777777" w:rsidR="00615ACC" w:rsidRDefault="00000000">
      <w:pPr>
        <w:jc w:val="both"/>
      </w:pPr>
      <w:r>
        <w:rPr>
          <w:rFonts w:eastAsia="Times New Roman"/>
        </w:rPr>
        <w:t>Работу можно выполнять индивидуально или в группе из 2–4 человек. При групповом формате должны быть указаны общий результат, роли, личная гипотеза и подтверждаемый эксперимент каждого участника.</w:t>
      </w:r>
    </w:p>
    <w:p w14:paraId="5B4F5CC9" w14:textId="77777777" w:rsidR="00615ACC" w:rsidRDefault="00000000">
      <w:r>
        <w:br w:type="page"/>
      </w:r>
    </w:p>
    <w:p w14:paraId="0EA77725" w14:textId="77777777" w:rsidR="00615ACC" w:rsidRDefault="00000000">
      <w:pPr>
        <w:pStyle w:val="1"/>
        <w:spacing w:before="160"/>
      </w:pPr>
      <w:r>
        <w:rPr>
          <w:rFonts w:ascii="Times New Roman" w:eastAsia="Times New Roman" w:hAnsi="Times New Roman"/>
        </w:rPr>
        <w:lastRenderedPageBreak/>
        <w:t>Полный пример выполнения</w:t>
      </w:r>
    </w:p>
    <w:p w14:paraId="49927E0A" w14:textId="77777777" w:rsidR="00615ACC" w:rsidRDefault="00000000">
      <w:pPr>
        <w:jc w:val="both"/>
      </w:pPr>
      <w:r>
        <w:rPr>
          <w:rFonts w:eastAsia="Times New Roman"/>
        </w:rPr>
        <w:t>Все числовые результаты в примере являются демонстрационными. Они показывают структуру отчета, способ сравнения и логику выбора, но не заменяют фактический эксперимент студента.</w:t>
      </w:r>
    </w:p>
    <w:p w14:paraId="13FA16EF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Название выполненного примера</w:t>
      </w:r>
    </w:p>
    <w:p w14:paraId="7C4E855E" w14:textId="77777777" w:rsidR="00615ACC" w:rsidRDefault="00000000">
      <w:pPr>
        <w:jc w:val="both"/>
      </w:pPr>
      <w:r>
        <w:rPr>
          <w:rFonts w:eastAsia="Times New Roman"/>
        </w:rPr>
        <w:t>Сравнительный анализ больших языковых моделей для определения тональности финансовых новостей</w:t>
      </w:r>
    </w:p>
    <w:p w14:paraId="6B5F7057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Цель выполненного примера</w:t>
      </w:r>
    </w:p>
    <w:p w14:paraId="4765A9EC" w14:textId="77777777" w:rsidR="00615ACC" w:rsidRDefault="00000000">
      <w:pPr>
        <w:jc w:val="both"/>
      </w:pPr>
      <w:r>
        <w:rPr>
          <w:rFonts w:eastAsia="Times New Roman"/>
        </w:rPr>
        <w:t>Провести исследование современного состояния LLM в выбранной области ВКР, подготовить данные, сравнить 7–8 моделей по единому протоколу и применить лучшую модель к собственной задаче.</w:t>
      </w:r>
    </w:p>
    <w:p w14:paraId="2234A75D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Данные и источник</w:t>
      </w:r>
    </w:p>
    <w:p w14:paraId="59057273" w14:textId="77777777" w:rsidR="00615ACC" w:rsidRDefault="00000000">
      <w:pPr>
        <w:jc w:val="both"/>
      </w:pPr>
      <w:r>
        <w:rPr>
          <w:rFonts w:eastAsia="Times New Roman"/>
          <w:b/>
        </w:rPr>
        <w:t xml:space="preserve">Financial Sentiment Analysis: объединение FiQA и Financial PhraseBank. </w:t>
      </w:r>
      <w:hyperlink r:id="rId6">
        <w:r>
          <w:rPr>
            <w:color w:val="0000FF"/>
            <w:u w:val="single"/>
          </w:rPr>
          <w:t>https://www.kaggle.com/datasets/sbhatti/financial-sentiment-analysis</w:t>
        </w:r>
      </w:hyperlink>
    </w:p>
    <w:p w14:paraId="4104938C" w14:textId="77777777" w:rsidR="00615ACC" w:rsidRDefault="00000000">
      <w:pPr>
        <w:jc w:val="both"/>
      </w:pPr>
      <w:r>
        <w:rPr>
          <w:rFonts w:eastAsia="Times New Roman"/>
        </w:rPr>
        <w:t>Набор содержит финансовые высказывания с метками positive, neutral и negative. Для итоговой работы необходимо проверить первоисточники, лицензию, дубликаты и происхождение разметки.</w:t>
      </w:r>
    </w:p>
    <w:p w14:paraId="679D3FAB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Обзор литературы в выполненном примере</w:t>
      </w:r>
    </w:p>
    <w:p w14:paraId="16A06CD9" w14:textId="77777777" w:rsidR="00615ACC" w:rsidRDefault="00000000">
      <w:pPr>
        <w:jc w:val="both"/>
      </w:pPr>
      <w:r>
        <w:rPr>
          <w:rFonts w:eastAsia="Times New Roman"/>
        </w:rPr>
        <w:t>Обзор строится не как перечень названий, а как сопоставление методов, данных, метрик и ограничений. Ниже показан пример аннотированного обзора; ссылки являются активными.</w:t>
      </w:r>
    </w:p>
    <w:p w14:paraId="237C7FA0" w14:textId="77777777" w:rsidR="00615ACC" w:rsidRDefault="00000000">
      <w:pPr>
        <w:jc w:val="both"/>
      </w:pPr>
      <w:r>
        <w:rPr>
          <w:rFonts w:eastAsia="Times New Roman"/>
          <w:b/>
        </w:rPr>
        <w:t xml:space="preserve">1. Vaswani et al. Attention Is All You Need. NeurIPS 2017. </w:t>
      </w:r>
      <w:r>
        <w:rPr>
          <w:rFonts w:eastAsia="Times New Roman"/>
        </w:rPr>
        <w:t xml:space="preserve">Работа вводит архитектуру Transformer и механизм self-attention. В обзоре она используется как исходная архитектурная точка для объяснения современных LLM. </w:t>
      </w:r>
      <w:hyperlink r:id="rId7">
        <w:r>
          <w:rPr>
            <w:color w:val="0000FF"/>
            <w:u w:val="single"/>
          </w:rPr>
          <w:t>Ссылка</w:t>
        </w:r>
      </w:hyperlink>
    </w:p>
    <w:p w14:paraId="7A38D8D7" w14:textId="77777777" w:rsidR="00615ACC" w:rsidRDefault="00000000">
      <w:pPr>
        <w:jc w:val="both"/>
      </w:pPr>
      <w:r>
        <w:rPr>
          <w:rFonts w:eastAsia="Times New Roman"/>
          <w:b/>
        </w:rPr>
        <w:t xml:space="preserve">2. Brown et al. Language Models are Few-Shot Learners. NeurIPS 2020. </w:t>
      </w:r>
      <w:r>
        <w:rPr>
          <w:rFonts w:eastAsia="Times New Roman"/>
        </w:rPr>
        <w:t xml:space="preserve">Авторы показывают масштабирование авторегрессионных языковых моделей </w:t>
      </w:r>
      <w:r>
        <w:rPr>
          <w:rFonts w:eastAsia="Times New Roman"/>
        </w:rPr>
        <w:lastRenderedPageBreak/>
        <w:t xml:space="preserve">и режим few-shot. Источник нужен для обоснования сравнения zero-shot и few-shot. </w:t>
      </w:r>
      <w:hyperlink r:id="rId8">
        <w:r>
          <w:rPr>
            <w:color w:val="0000FF"/>
            <w:u w:val="single"/>
          </w:rPr>
          <w:t>Ссылка</w:t>
        </w:r>
      </w:hyperlink>
    </w:p>
    <w:p w14:paraId="71E3A763" w14:textId="77777777" w:rsidR="00615ACC" w:rsidRDefault="00000000">
      <w:pPr>
        <w:jc w:val="both"/>
      </w:pPr>
      <w:r>
        <w:rPr>
          <w:rFonts w:eastAsia="Times New Roman"/>
          <w:b/>
        </w:rPr>
        <w:t xml:space="preserve">3. Lewis et al. Retrieval-Augmented Generation. NeurIPS 2020. </w:t>
      </w:r>
      <w:r>
        <w:rPr>
          <w:rFonts w:eastAsia="Times New Roman"/>
        </w:rPr>
        <w:t xml:space="preserve">Предложена схема Retrieval-Augmented Generation, объединяющая генерацию с внешним поиском. Работа задает baseline для задач, где ответ должен опираться на предметные документы ВКР. </w:t>
      </w:r>
      <w:hyperlink r:id="rId9">
        <w:r>
          <w:rPr>
            <w:color w:val="0000FF"/>
            <w:u w:val="single"/>
          </w:rPr>
          <w:t>Ссылка</w:t>
        </w:r>
      </w:hyperlink>
    </w:p>
    <w:p w14:paraId="459987C3" w14:textId="77777777" w:rsidR="00615ACC" w:rsidRDefault="00000000">
      <w:pPr>
        <w:jc w:val="both"/>
      </w:pPr>
      <w:r>
        <w:rPr>
          <w:rFonts w:eastAsia="Times New Roman"/>
          <w:b/>
        </w:rPr>
        <w:t xml:space="preserve">4. Hu et al. LoRA: Low-Rank Adaptation of Large Language Models. ICLR 2022. </w:t>
      </w:r>
      <w:r>
        <w:rPr>
          <w:rFonts w:eastAsia="Times New Roman"/>
        </w:rPr>
        <w:t xml:space="preserve">LoRA снижает число обучаемых параметров за счет низкоранговых адаптеров. Метод рассматривается как экономичный вариант адаптации модели к предметной области. </w:t>
      </w:r>
      <w:hyperlink r:id="rId10">
        <w:r>
          <w:rPr>
            <w:color w:val="0000FF"/>
            <w:u w:val="single"/>
          </w:rPr>
          <w:t>Ссылка</w:t>
        </w:r>
      </w:hyperlink>
    </w:p>
    <w:p w14:paraId="2DFA14FD" w14:textId="77777777" w:rsidR="00615ACC" w:rsidRDefault="00000000">
      <w:pPr>
        <w:jc w:val="both"/>
      </w:pPr>
      <w:r>
        <w:rPr>
          <w:rFonts w:eastAsia="Times New Roman"/>
          <w:b/>
        </w:rPr>
        <w:t xml:space="preserve">5. Dettmers et al. QLoRA. NeurIPS 2023. </w:t>
      </w:r>
      <w:r>
        <w:rPr>
          <w:rFonts w:eastAsia="Times New Roman"/>
        </w:rPr>
        <w:t xml:space="preserve">QLoRA сочетает квантизацию и низкоранговую адаптацию. Источник помогает оценить компромисс качества, памяти и стоимости настройки LLM. </w:t>
      </w:r>
      <w:hyperlink r:id="rId11">
        <w:r>
          <w:rPr>
            <w:color w:val="0000FF"/>
            <w:u w:val="single"/>
          </w:rPr>
          <w:t>Ссылка</w:t>
        </w:r>
      </w:hyperlink>
    </w:p>
    <w:p w14:paraId="6E03FCE2" w14:textId="77777777" w:rsidR="00615ACC" w:rsidRDefault="00000000">
      <w:pPr>
        <w:jc w:val="both"/>
      </w:pPr>
      <w:r>
        <w:rPr>
          <w:rFonts w:eastAsia="Times New Roman"/>
          <w:b/>
        </w:rPr>
        <w:t xml:space="preserve">6. Guo et al. Is ChatGPT a Financial Expert? Findings of EMNLP 2023. </w:t>
      </w:r>
      <w:r>
        <w:rPr>
          <w:rFonts w:eastAsia="Times New Roman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2">
        <w:r>
          <w:rPr>
            <w:color w:val="0000FF"/>
            <w:u w:val="single"/>
          </w:rPr>
          <w:t>Ссылка</w:t>
        </w:r>
      </w:hyperlink>
    </w:p>
    <w:p w14:paraId="2A09552D" w14:textId="77777777" w:rsidR="00615ACC" w:rsidRDefault="00000000">
      <w:pPr>
        <w:jc w:val="both"/>
      </w:pPr>
      <w:r>
        <w:rPr>
          <w:rFonts w:eastAsia="Times New Roman"/>
          <w:b/>
        </w:rPr>
        <w:t xml:space="preserve">7. Araci. FinBERT: Financial Sentiment Analysis with Pre-trained Language Models. </w:t>
      </w:r>
      <w:r>
        <w:rPr>
          <w:rFonts w:eastAsia="Times New Roman"/>
        </w:rPr>
        <w:t xml:space="preserve">FinBERT является сильным специализированным baseline для финансовой тональности. Он показывает пользу предметной адаптации и нужен для сравнения LLM с encoder-моделью. </w:t>
      </w:r>
      <w:hyperlink r:id="rId13">
        <w:r>
          <w:rPr>
            <w:color w:val="0000FF"/>
            <w:u w:val="single"/>
          </w:rPr>
          <w:t>Ссылка</w:t>
        </w:r>
      </w:hyperlink>
    </w:p>
    <w:p w14:paraId="4315688E" w14:textId="77777777" w:rsidR="00615ACC" w:rsidRDefault="00000000">
      <w:pPr>
        <w:jc w:val="both"/>
      </w:pPr>
      <w:r>
        <w:rPr>
          <w:rFonts w:eastAsia="Times New Roman"/>
          <w:b/>
        </w:rPr>
        <w:t xml:space="preserve">8. Wu et al. BloombergGPT. </w:t>
      </w:r>
      <w:r>
        <w:rPr>
          <w:rFonts w:eastAsia="Times New Roman"/>
        </w:rPr>
        <w:t xml:space="preserve">BloombergGPT описывает крупную предметную модель и смешение финансового и общего корпусов. Источник раскрывает требования к данным и предметному предобучению. </w:t>
      </w:r>
      <w:hyperlink r:id="rId14">
        <w:r>
          <w:rPr>
            <w:color w:val="0000FF"/>
            <w:u w:val="single"/>
          </w:rPr>
          <w:t>Ссылка</w:t>
        </w:r>
      </w:hyperlink>
    </w:p>
    <w:p w14:paraId="2758D4D2" w14:textId="77777777" w:rsidR="00615ACC" w:rsidRDefault="00000000">
      <w:pPr>
        <w:jc w:val="both"/>
      </w:pPr>
      <w:r>
        <w:rPr>
          <w:rFonts w:eastAsia="Times New Roman"/>
          <w:b/>
        </w:rPr>
        <w:t xml:space="preserve">9. Yang et al. FinGPT: Open-Source Financial Large Language Models. </w:t>
      </w:r>
      <w:r>
        <w:rPr>
          <w:rFonts w:eastAsia="Times New Roman"/>
        </w:rPr>
        <w:t xml:space="preserve">FinGPT развивает открытый подход к финансовым LLM и воспроизводимым данным. Работа полезна для проектирования открытого исследовательского контура. </w:t>
      </w:r>
      <w:hyperlink r:id="rId15">
        <w:r>
          <w:rPr>
            <w:color w:val="0000FF"/>
            <w:u w:val="single"/>
          </w:rPr>
          <w:t>Ссылка</w:t>
        </w:r>
      </w:hyperlink>
    </w:p>
    <w:p w14:paraId="15E94FD6" w14:textId="77777777" w:rsidR="00615ACC" w:rsidRDefault="00000000">
      <w:pPr>
        <w:jc w:val="both"/>
      </w:pPr>
      <w:r>
        <w:rPr>
          <w:rFonts w:eastAsia="Times New Roman"/>
          <w:b/>
        </w:rPr>
        <w:t xml:space="preserve">10. Zmitrovich et al. A Family of Pretrained Transformer Language Models for Russian. </w:t>
      </w:r>
      <w:r>
        <w:rPr>
          <w:rFonts w:eastAsia="Times New Roman"/>
        </w:rPr>
        <w:t xml:space="preserve">Исследование систематизирует семейство </w:t>
      </w:r>
      <w:r>
        <w:rPr>
          <w:rFonts w:eastAsia="Times New Roman"/>
        </w:rPr>
        <w:lastRenderedPageBreak/>
        <w:t xml:space="preserve">предобученных Transformer-моделей для русского языка. Оно используется для отечественного контекста и выбора baseline. </w:t>
      </w:r>
      <w:hyperlink r:id="rId16">
        <w:r>
          <w:rPr>
            <w:color w:val="0000FF"/>
            <w:u w:val="single"/>
          </w:rPr>
          <w:t>Ссылка</w:t>
        </w:r>
      </w:hyperlink>
    </w:p>
    <w:p w14:paraId="32A88C86" w14:textId="77777777" w:rsidR="00615ACC" w:rsidRDefault="00000000">
      <w:pPr>
        <w:jc w:val="both"/>
      </w:pPr>
      <w:r>
        <w:rPr>
          <w:rFonts w:eastAsia="Times New Roman"/>
          <w:b/>
        </w:rPr>
        <w:t xml:space="preserve">11. Mamedov et al. GigaChat Family. ACL 2025 Demo. </w:t>
      </w:r>
      <w:r>
        <w:rPr>
          <w:rFonts w:eastAsia="Times New Roman"/>
        </w:rPr>
        <w:t xml:space="preserve">Публикация описывает семейство русскоязычных моделей GigaChat и результаты их оценки. Она включена как отечественный LLM-baseline. </w:t>
      </w:r>
      <w:hyperlink r:id="rId17">
        <w:r>
          <w:rPr>
            <w:color w:val="0000FF"/>
            <w:u w:val="single"/>
          </w:rPr>
          <w:t>Ссылка</w:t>
        </w:r>
      </w:hyperlink>
    </w:p>
    <w:p w14:paraId="0723CAF9" w14:textId="77777777" w:rsidR="00615ACC" w:rsidRDefault="00000000">
      <w:pPr>
        <w:jc w:val="both"/>
      </w:pPr>
      <w:r>
        <w:rPr>
          <w:rFonts w:eastAsia="Times New Roman"/>
          <w:b/>
        </w:rPr>
        <w:t xml:space="preserve">12. Vikhr: семейство открытых instruction-моделей для русского языка. </w:t>
      </w:r>
      <w:r>
        <w:rPr>
          <w:rFonts w:eastAsia="Times New Roman"/>
        </w:rPr>
        <w:t xml:space="preserve">Работа представляет открытые instruction-модели для русского языка. Источник важен для проверки языковой и предметной переносимости. </w:t>
      </w:r>
      <w:hyperlink r:id="rId18">
        <w:r>
          <w:rPr>
            <w:color w:val="0000FF"/>
            <w:u w:val="single"/>
          </w:rPr>
          <w:t>Ссылка</w:t>
        </w:r>
      </w:hyperlink>
    </w:p>
    <w:p w14:paraId="032E6137" w14:textId="77777777" w:rsidR="00615ACC" w:rsidRDefault="00000000">
      <w:pPr>
        <w:jc w:val="both"/>
      </w:pPr>
      <w:r>
        <w:rPr>
          <w:rFonts w:eastAsia="Times New Roman"/>
          <w:b/>
        </w:rPr>
        <w:t xml:space="preserve">13. Financial Sentiment Analysis на Kaggle. </w:t>
      </w:r>
      <w:r>
        <w:rPr>
          <w:rFonts w:eastAsia="Times New Roman"/>
        </w:rPr>
        <w:t xml:space="preserve">Карточка открытого набора фиксирует состав, версии и условия доступа. Перед использованием студент отдельно проверяет лицензию и ограничения выборки. </w:t>
      </w:r>
      <w:hyperlink r:id="rId19">
        <w:r>
          <w:rPr>
            <w:color w:val="0000FF"/>
            <w:u w:val="single"/>
          </w:rPr>
          <w:t>Ссылка</w:t>
        </w:r>
      </w:hyperlink>
    </w:p>
    <w:p w14:paraId="25543BA5" w14:textId="77777777" w:rsidR="00615ACC" w:rsidRDefault="00000000">
      <w:pPr>
        <w:jc w:val="both"/>
      </w:pPr>
      <w:r>
        <w:rPr>
          <w:rFonts w:eastAsia="Times New Roman"/>
          <w:b/>
        </w:rPr>
        <w:t xml:space="preserve">14. Hugging Face model hub. </w:t>
      </w:r>
      <w:r>
        <w:rPr>
          <w:rFonts w:eastAsia="Times New Roman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20">
        <w:r>
          <w:rPr>
            <w:color w:val="0000FF"/>
            <w:u w:val="single"/>
          </w:rPr>
          <w:t>Ссылка</w:t>
        </w:r>
      </w:hyperlink>
    </w:p>
    <w:p w14:paraId="2B80F96B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Выводы по обзору литературы</w:t>
      </w:r>
    </w:p>
    <w:p w14:paraId="0DED4B80" w14:textId="77777777" w:rsidR="00615ACC" w:rsidRDefault="00000000">
      <w:pPr>
        <w:jc w:val="both"/>
      </w:pPr>
      <w:r>
        <w:rPr>
          <w:rFonts w:eastAsia="Times New Roman"/>
          <w:b/>
        </w:rPr>
        <w:t>Назначение обзора.</w:t>
      </w:r>
      <w:r>
        <w:rPr>
          <w:rFonts w:eastAsia="Times New Roman"/>
        </w:rPr>
        <w:t xml:space="preserve"> Обзор выполняется не ради формального списка публикаций. Он должен обосновать выбор постановки, данных, моделей, baseline и метрик, выявить противоречия в известных результатах и привести к проверяемой гипотезе собственного исследования.</w:t>
      </w:r>
    </w:p>
    <w:p w14:paraId="637627DE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Современные LLM основаны преимущественно на Transformer и отличаются масштабом, составом обучающих данных, способом instruction tuning и доступными механизмами адаптации. Поэтому сравнивать только названия моделей недостаточно: требуется единый протокол и одинаковый формат ответа.</w:t>
      </w:r>
    </w:p>
    <w:p w14:paraId="46E45C98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Финансовые исследования FinBERT, BloombergGPT, FinGPT и FinLMEval показывают пользу предметной специализации, но используют разные наборы данных и задачи. Их опубликованные показатели нельзя напрямую переносить на выбранную выборку без собственного эксперимента.</w:t>
      </w:r>
    </w:p>
    <w:p w14:paraId="41C1111B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lastRenderedPageBreak/>
        <w:t xml:space="preserve">3. </w:t>
      </w:r>
      <w:r>
        <w:rPr>
          <w:rFonts w:eastAsia="Times New Roman"/>
        </w:rPr>
        <w:t>LoRA и QLoRA позволяют адаптировать модель при ограниченных вычислительных ресурсах. Следовательно, в работе необходимо сравнить не только zero-shot и few-shot, но и хотя бы один вариант параметрически эффективной настройки, если ресурсы это позволяют.</w:t>
      </w:r>
    </w:p>
    <w:p w14:paraId="26BA0324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>Русскоязычные семейства GigaChat, Vikhr и отечественные Transformer-модели создают обоснованные baseline для текстов на русском языке. Однако их преимущество в финансовой тональности не следует считать доказанным до проверки на одном тестовом наборе.</w:t>
      </w:r>
    </w:p>
    <w:p w14:paraId="491736BF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>Наиболее слабое место многих работ - несопоставимость split, отсутствие оценки калибровки, стоимости и невалидных ответов. Поэтому в данной лабораторной к Macro-F1 добавляются MCC, ECE, Brier score, latency, память и устойчивость к перефразированию.</w:t>
      </w:r>
    </w:p>
    <w:p w14:paraId="1A9C1FD8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Исследовательский разрыв</w:t>
      </w:r>
    </w:p>
    <w:p w14:paraId="727E6EDE" w14:textId="77777777" w:rsidR="00615ACC" w:rsidRDefault="00000000">
      <w:pPr>
        <w:jc w:val="both"/>
      </w:pPr>
      <w:r>
        <w:rPr>
          <w:rFonts w:eastAsia="Times New Roman"/>
        </w:rPr>
        <w:t>В рассмотренных источниках нет единого открытого сравнения русскоязычных и международных LLM на одной версии набора Financial Sentiment Analysis одновременно по качеству отрицательного класса, калибровке, валидности структурированного ответа и вычислительным затратам. Именно этот разрыв определяет собственный эксперимент лабораторной работы.</w:t>
      </w:r>
    </w:p>
    <w:p w14:paraId="77702CD6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Основная исследовательская гипотеза</w:t>
      </w:r>
    </w:p>
    <w:p w14:paraId="2575070E" w14:textId="77777777" w:rsidR="00615ACC" w:rsidRDefault="00000000">
      <w:pPr>
        <w:jc w:val="both"/>
      </w:pPr>
      <w:r>
        <w:rPr>
          <w:rFonts w:eastAsia="Times New Roman"/>
        </w:rPr>
        <w:t>H1. При едином тестовом наборе и одинаковой инструкции предметно адаптированная либо устойчиво работающая с финансовой и русскоязычной лексикой LLM обеспечит Macro-F1 не ниже 0,84 и превзойдет общий baseline минимум на 0,02, сохранив долю невалидных ответов ниже 1%.</w:t>
      </w:r>
    </w:p>
    <w:p w14:paraId="159C5A90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Частные проверяемые гипотезы</w:t>
      </w:r>
    </w:p>
    <w:p w14:paraId="2A4AFBD0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H1.1. Режим five-shot повысит Macro-F1 не менее чем на 0,015 относительно zero-shot при неизменном тестовом наборе.</w:t>
      </w:r>
    </w:p>
    <w:p w14:paraId="19AB2891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H1.2. QLoRA-адаптация повысит F1 отрицательного класса не менее чем на 0,02 относительно лучшего prompting-режима и потребует не более 16 ГБ памяти.</w:t>
      </w:r>
    </w:p>
    <w:p w14:paraId="563FF986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lastRenderedPageBreak/>
        <w:t xml:space="preserve">3. </w:t>
      </w:r>
      <w:r>
        <w:rPr>
          <w:rFonts w:eastAsia="Times New Roman"/>
        </w:rPr>
        <w:t>H1.3. Ограничение ответа JSON-схемой снизит долю невалидных ответов ниже 1% без уменьшения Macro-F1 более чем на 0,005.</w:t>
      </w:r>
    </w:p>
    <w:p w14:paraId="6F546205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>H1.4. Модель, выбранная по сводному критерию качества, калибровки и ресурсов, может отличаться от модели с максимальным единичным Macro-F1; такой выбор будет устойчивее на повторных запусках и перефразированных текстах.</w:t>
      </w:r>
    </w:p>
    <w:p w14:paraId="13413994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Решения для эксперимента, принятые после обзора</w:t>
      </w:r>
    </w:p>
    <w:p w14:paraId="484A9BA3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Использовать FinBERT как предметный encoder-baseline и восемь LLM как генеративные модели сравнения.</w:t>
      </w:r>
    </w:p>
    <w:p w14:paraId="714190E2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Зафиксировать единую очищенную версию Financial Sentiment Analysis и одно разбиение до настройки моделей.</w:t>
      </w:r>
    </w:p>
    <w:p w14:paraId="7B6011AE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>Проверить zero-shot и five-shot для всех моделей, а QLoRA - для двух лучших открытых моделей.</w:t>
      </w:r>
    </w:p>
    <w:p w14:paraId="2F93297D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>Считать основной метрикой Macro-F1, а подтверждающими - F1 negative, MCC, ECE, Brier score, долю невалидных ответов, latency и память.</w:t>
      </w:r>
    </w:p>
    <w:p w14:paraId="3BAB5BD4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>Выбирать лучшую модель по заранее заданному сводному критерию и подтверждать вывод доверительным интервалом и анализом ошибок.</w:t>
      </w:r>
    </w:p>
    <w:p w14:paraId="37EEAF6E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Анализ и подготовка данных</w:t>
      </w:r>
    </w:p>
    <w:p w14:paraId="5ACCD983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Удалены точные дубликаты и почти одинаковые тексты с cosine similarity выше 0,97; одинаковые новости не попадают в разные части выборки.</w:t>
      </w:r>
    </w:p>
    <w:p w14:paraId="7FC16C86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Проверены длина текста, язык, доля пропусков и баланс классов. Демонстрационная выборка после очистки содержит 4 780 текстов: 33% positive, 29% negative и 38% neutral.</w:t>
      </w:r>
    </w:p>
    <w:p w14:paraId="3A6D4D23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>Создано стратифицированное разбиение 70/15/15. Температура генерации установлена 0, формат ответа ограничен JSON, для всех моделей используется единая инструкция.</w:t>
      </w:r>
    </w:p>
    <w:p w14:paraId="0E350651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lastRenderedPageBreak/>
        <w:t>Постановка эксперимента</w:t>
      </w:r>
    </w:p>
    <w:p w14:paraId="234019A9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Тема ВКР: система определения тональности финансовых новостей для поддержки мониторинга инвестиционного портфеля.</w:t>
      </w:r>
    </w:p>
    <w:p w14:paraId="6D251FC4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Гипотеза: специализированная или хорошо работающая с русским языком LLM повысит macro-F1 отрицательного класса по сравнению с общими моделями без роста доли невалидных ответов выше 1%.</w:t>
      </w:r>
    </w:p>
    <w:p w14:paraId="444084F5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>Обзор: 12 источников группируются по архитектурам decoder-only, encoder baseline, domain-adaptive pretraining, instruction tuning, LoRA/QLoRA и финансовым benchmark.</w:t>
      </w:r>
    </w:p>
    <w:p w14:paraId="7A39946D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>Данные: удаляются точные дубликаты, проверяется распределение классов и длины, создается стратифицированный split. Если используется временная информация, применяется временное разбиение.</w:t>
      </w:r>
    </w:p>
    <w:p w14:paraId="0E00093F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>Эксперимент: восемь моделей получают одинаковую инструкцию и формат JSON. Для каждой модели сравниваются zero-shot и five-shot режимы; temperature фиксируется, порядок примеров контролируется.</w:t>
      </w:r>
    </w:p>
    <w:p w14:paraId="326F5BE0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6. </w:t>
      </w:r>
      <w:r>
        <w:rPr>
          <w:rFonts w:eastAsia="Times New Roman"/>
        </w:rPr>
        <w:t>Выбор: лучшей считается модель, которая проходит минимальный порог macro-F1 и калибровки, затем минимизирует стоимость и latency. Итоговая модель применяется к отдельному набору свежих новостей.</w:t>
      </w:r>
    </w:p>
    <w:p w14:paraId="75247DBC" w14:textId="77777777" w:rsidR="00615ACC" w:rsidRDefault="00000000">
      <w:pPr>
        <w:ind w:left="709" w:hanging="425"/>
        <w:jc w:val="both"/>
      </w:pPr>
      <w:r>
        <w:rPr>
          <w:rFonts w:eastAsia="Times New Roman"/>
          <w:b/>
        </w:rPr>
        <w:t xml:space="preserve">7. </w:t>
      </w:r>
      <w:r>
        <w:rPr>
          <w:rFonts w:eastAsia="Times New Roman"/>
        </w:rPr>
        <w:t>Отчет: confusion matrix, macro/weighted F1, MCC, balanced accuracy, ECE, Brier score, latency, стоимость на 1000 объектов, устойчивость к перефразированию и десять характерных ошибок.</w:t>
      </w:r>
    </w:p>
    <w:p w14:paraId="13F87B94" w14:textId="77777777" w:rsidR="00615ACC" w:rsidRDefault="00000000">
      <w:r>
        <w:br w:type="page"/>
      </w:r>
    </w:p>
    <w:p w14:paraId="3EA98DFE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lastRenderedPageBreak/>
        <w:t>Количественные результаты</w:t>
      </w:r>
    </w:p>
    <w:p w14:paraId="09B93014" w14:textId="77777777" w:rsidR="00615ACC" w:rsidRDefault="00000000">
      <w:pPr>
        <w:jc w:val="both"/>
      </w:pPr>
      <w:r>
        <w:rPr>
          <w:rFonts w:eastAsia="Times New Roman"/>
        </w:rPr>
        <w:t>Основные показатели качества представлены в таблице. Направление улучшения фиксируется до эксперимента: для F1, MCC, AUROC, доходности и Sharpe больше означает лучше; для ECE, Brier, просадки, нарушений, задержки и разброса меньше означает лучше.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1474"/>
        <w:gridCol w:w="1474"/>
        <w:gridCol w:w="1474"/>
      </w:tblGrid>
      <w:tr w:rsidR="00615ACC" w14:paraId="00CC4AB2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20762AD6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Модель</w:t>
            </w:r>
          </w:p>
        </w:tc>
        <w:tc>
          <w:tcPr>
            <w:tcW w:w="1474" w:type="dxa"/>
            <w:vAlign w:val="center"/>
          </w:tcPr>
          <w:p w14:paraId="705616BA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Macro-F1</w:t>
            </w:r>
          </w:p>
        </w:tc>
        <w:tc>
          <w:tcPr>
            <w:tcW w:w="1474" w:type="dxa"/>
            <w:vAlign w:val="center"/>
          </w:tcPr>
          <w:p w14:paraId="31B2C63F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F1 negative</w:t>
            </w:r>
          </w:p>
        </w:tc>
        <w:tc>
          <w:tcPr>
            <w:tcW w:w="1474" w:type="dxa"/>
            <w:vAlign w:val="center"/>
          </w:tcPr>
          <w:p w14:paraId="326C2F4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MCC</w:t>
            </w:r>
          </w:p>
        </w:tc>
        <w:tc>
          <w:tcPr>
            <w:tcW w:w="1474" w:type="dxa"/>
            <w:vAlign w:val="center"/>
          </w:tcPr>
          <w:p w14:paraId="7B5ED98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ECE</w:t>
            </w:r>
          </w:p>
        </w:tc>
      </w:tr>
      <w:tr w:rsidR="00615ACC" w14:paraId="52774C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5A2DC3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GigaChat Family</w:t>
            </w:r>
          </w:p>
        </w:tc>
        <w:tc>
          <w:tcPr>
            <w:tcW w:w="1474" w:type="dxa"/>
            <w:vAlign w:val="center"/>
          </w:tcPr>
          <w:p w14:paraId="769A53E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0,831</w:t>
            </w:r>
          </w:p>
        </w:tc>
        <w:tc>
          <w:tcPr>
            <w:tcW w:w="1474" w:type="dxa"/>
            <w:vAlign w:val="center"/>
          </w:tcPr>
          <w:p w14:paraId="1992985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0,806</w:t>
            </w:r>
          </w:p>
        </w:tc>
        <w:tc>
          <w:tcPr>
            <w:tcW w:w="1474" w:type="dxa"/>
            <w:vAlign w:val="center"/>
          </w:tcPr>
          <w:p w14:paraId="27EB3B84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0,744</w:t>
            </w:r>
          </w:p>
        </w:tc>
        <w:tc>
          <w:tcPr>
            <w:tcW w:w="1474" w:type="dxa"/>
            <w:vAlign w:val="center"/>
          </w:tcPr>
          <w:p w14:paraId="0656FEB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0,049</w:t>
            </w:r>
          </w:p>
        </w:tc>
      </w:tr>
      <w:tr w:rsidR="00615ACC" w14:paraId="7C0168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C1EB9C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Vikhr</w:t>
            </w:r>
          </w:p>
        </w:tc>
        <w:tc>
          <w:tcPr>
            <w:tcW w:w="1474" w:type="dxa"/>
            <w:vAlign w:val="center"/>
          </w:tcPr>
          <w:p w14:paraId="3B78A6B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0,817</w:t>
            </w:r>
          </w:p>
        </w:tc>
        <w:tc>
          <w:tcPr>
            <w:tcW w:w="1474" w:type="dxa"/>
            <w:vAlign w:val="center"/>
          </w:tcPr>
          <w:p w14:paraId="1E9FF181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0,792</w:t>
            </w:r>
          </w:p>
        </w:tc>
        <w:tc>
          <w:tcPr>
            <w:tcW w:w="1474" w:type="dxa"/>
            <w:vAlign w:val="center"/>
          </w:tcPr>
          <w:p w14:paraId="7900987C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0,724</w:t>
            </w:r>
          </w:p>
        </w:tc>
        <w:tc>
          <w:tcPr>
            <w:tcW w:w="1474" w:type="dxa"/>
            <w:vAlign w:val="center"/>
          </w:tcPr>
          <w:p w14:paraId="26E6B6D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0,058</w:t>
            </w:r>
          </w:p>
        </w:tc>
      </w:tr>
      <w:tr w:rsidR="00615ACC" w14:paraId="06287A6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1646D0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Qwen2.5-7B-Instruct</w:t>
            </w:r>
          </w:p>
        </w:tc>
        <w:tc>
          <w:tcPr>
            <w:tcW w:w="1474" w:type="dxa"/>
            <w:vAlign w:val="center"/>
          </w:tcPr>
          <w:p w14:paraId="3AA79160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0,856</w:t>
            </w:r>
          </w:p>
        </w:tc>
        <w:tc>
          <w:tcPr>
            <w:tcW w:w="1474" w:type="dxa"/>
            <w:vAlign w:val="center"/>
          </w:tcPr>
          <w:p w14:paraId="4980D45C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0,831</w:t>
            </w:r>
          </w:p>
        </w:tc>
        <w:tc>
          <w:tcPr>
            <w:tcW w:w="1474" w:type="dxa"/>
            <w:vAlign w:val="center"/>
          </w:tcPr>
          <w:p w14:paraId="6E5FA802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0,781</w:t>
            </w:r>
          </w:p>
        </w:tc>
        <w:tc>
          <w:tcPr>
            <w:tcW w:w="1474" w:type="dxa"/>
            <w:vAlign w:val="center"/>
          </w:tcPr>
          <w:p w14:paraId="66BD45B7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0,036</w:t>
            </w:r>
          </w:p>
        </w:tc>
      </w:tr>
      <w:tr w:rsidR="00615ACC" w14:paraId="443F77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EBF9EF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Llama-3.1-8B-Instruct</w:t>
            </w:r>
          </w:p>
        </w:tc>
        <w:tc>
          <w:tcPr>
            <w:tcW w:w="1474" w:type="dxa"/>
            <w:vAlign w:val="center"/>
          </w:tcPr>
          <w:p w14:paraId="4CE03B16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0,839</w:t>
            </w:r>
          </w:p>
        </w:tc>
        <w:tc>
          <w:tcPr>
            <w:tcW w:w="1474" w:type="dxa"/>
            <w:vAlign w:val="center"/>
          </w:tcPr>
          <w:p w14:paraId="51479F18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0,811</w:t>
            </w:r>
          </w:p>
        </w:tc>
        <w:tc>
          <w:tcPr>
            <w:tcW w:w="1474" w:type="dxa"/>
            <w:vAlign w:val="center"/>
          </w:tcPr>
          <w:p w14:paraId="43AF4F55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0,755</w:t>
            </w:r>
          </w:p>
        </w:tc>
        <w:tc>
          <w:tcPr>
            <w:tcW w:w="1474" w:type="dxa"/>
            <w:vAlign w:val="center"/>
          </w:tcPr>
          <w:p w14:paraId="37835422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0,044</w:t>
            </w:r>
          </w:p>
        </w:tc>
      </w:tr>
      <w:tr w:rsidR="00615ACC" w14:paraId="00F7E5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D9C525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Mistral-7B-Instruct-v0.3</w:t>
            </w:r>
          </w:p>
        </w:tc>
        <w:tc>
          <w:tcPr>
            <w:tcW w:w="1474" w:type="dxa"/>
            <w:vAlign w:val="center"/>
          </w:tcPr>
          <w:p w14:paraId="2A6CF861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0,826</w:t>
            </w:r>
          </w:p>
        </w:tc>
        <w:tc>
          <w:tcPr>
            <w:tcW w:w="1474" w:type="dxa"/>
            <w:vAlign w:val="center"/>
          </w:tcPr>
          <w:p w14:paraId="31817635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0,798</w:t>
            </w:r>
          </w:p>
        </w:tc>
        <w:tc>
          <w:tcPr>
            <w:tcW w:w="1474" w:type="dxa"/>
            <w:vAlign w:val="center"/>
          </w:tcPr>
          <w:p w14:paraId="4EA0A858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0,736</w:t>
            </w:r>
          </w:p>
        </w:tc>
        <w:tc>
          <w:tcPr>
            <w:tcW w:w="1474" w:type="dxa"/>
            <w:vAlign w:val="center"/>
          </w:tcPr>
          <w:p w14:paraId="046710B0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0,052</w:t>
            </w:r>
          </w:p>
        </w:tc>
      </w:tr>
      <w:tr w:rsidR="00615ACC" w14:paraId="261451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38270B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Gemma-2-9B-it</w:t>
            </w:r>
          </w:p>
        </w:tc>
        <w:tc>
          <w:tcPr>
            <w:tcW w:w="1474" w:type="dxa"/>
            <w:vAlign w:val="center"/>
          </w:tcPr>
          <w:p w14:paraId="223E999B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0,844</w:t>
            </w:r>
          </w:p>
        </w:tc>
        <w:tc>
          <w:tcPr>
            <w:tcW w:w="1474" w:type="dxa"/>
            <w:vAlign w:val="center"/>
          </w:tcPr>
          <w:p w14:paraId="56978E9F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0,819</w:t>
            </w:r>
          </w:p>
        </w:tc>
        <w:tc>
          <w:tcPr>
            <w:tcW w:w="1474" w:type="dxa"/>
            <w:vAlign w:val="center"/>
          </w:tcPr>
          <w:p w14:paraId="0F47564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0,762</w:t>
            </w:r>
          </w:p>
        </w:tc>
        <w:tc>
          <w:tcPr>
            <w:tcW w:w="1474" w:type="dxa"/>
            <w:vAlign w:val="center"/>
          </w:tcPr>
          <w:p w14:paraId="3EC4FC6A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0,041</w:t>
            </w:r>
          </w:p>
        </w:tc>
      </w:tr>
      <w:tr w:rsidR="00615ACC" w14:paraId="03CBBBF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89E018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Phi-3.5-mini</w:t>
            </w:r>
          </w:p>
        </w:tc>
        <w:tc>
          <w:tcPr>
            <w:tcW w:w="1474" w:type="dxa"/>
            <w:vAlign w:val="center"/>
          </w:tcPr>
          <w:p w14:paraId="6866F04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0,803</w:t>
            </w:r>
          </w:p>
        </w:tc>
        <w:tc>
          <w:tcPr>
            <w:tcW w:w="1474" w:type="dxa"/>
            <w:vAlign w:val="center"/>
          </w:tcPr>
          <w:p w14:paraId="501DB647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0,771</w:t>
            </w:r>
          </w:p>
        </w:tc>
        <w:tc>
          <w:tcPr>
            <w:tcW w:w="1474" w:type="dxa"/>
            <w:vAlign w:val="center"/>
          </w:tcPr>
          <w:p w14:paraId="1EE6A8BF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0,703</w:t>
            </w:r>
          </w:p>
        </w:tc>
        <w:tc>
          <w:tcPr>
            <w:tcW w:w="1474" w:type="dxa"/>
            <w:vAlign w:val="center"/>
          </w:tcPr>
          <w:p w14:paraId="11E470E5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0,064</w:t>
            </w:r>
          </w:p>
        </w:tc>
      </w:tr>
      <w:tr w:rsidR="00615ACC" w14:paraId="51366B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F5A940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DeepSeek-R1-Distill-Qwen-7B</w:t>
            </w:r>
          </w:p>
        </w:tc>
        <w:tc>
          <w:tcPr>
            <w:tcW w:w="1474" w:type="dxa"/>
            <w:vAlign w:val="center"/>
          </w:tcPr>
          <w:p w14:paraId="206AC588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0,849</w:t>
            </w:r>
          </w:p>
        </w:tc>
        <w:tc>
          <w:tcPr>
            <w:tcW w:w="1474" w:type="dxa"/>
            <w:vAlign w:val="center"/>
          </w:tcPr>
          <w:p w14:paraId="3B28BE9C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0,824</w:t>
            </w:r>
          </w:p>
        </w:tc>
        <w:tc>
          <w:tcPr>
            <w:tcW w:w="1474" w:type="dxa"/>
            <w:vAlign w:val="center"/>
          </w:tcPr>
          <w:p w14:paraId="2525361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0,770</w:t>
            </w:r>
          </w:p>
        </w:tc>
        <w:tc>
          <w:tcPr>
            <w:tcW w:w="1474" w:type="dxa"/>
            <w:vAlign w:val="center"/>
          </w:tcPr>
          <w:p w14:paraId="1F99253E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0,039</w:t>
            </w:r>
          </w:p>
        </w:tc>
      </w:tr>
    </w:tbl>
    <w:p w14:paraId="2FD749FA" w14:textId="77777777" w:rsidR="00615ACC" w:rsidRDefault="00615ACC">
      <w:pPr>
        <w:ind w:firstLine="0"/>
        <w:jc w:val="both"/>
      </w:pPr>
    </w:p>
    <w:p w14:paraId="713DBE5B" w14:textId="77777777" w:rsidR="00615ACC" w:rsidRDefault="00000000">
      <w:pPr>
        <w:jc w:val="both"/>
      </w:pPr>
      <w:r>
        <w:rPr>
          <w:rFonts w:eastAsia="Times New Roman"/>
        </w:rPr>
        <w:t>Ресурсные показатели, устойчивость и сводная оценка: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587"/>
        <w:gridCol w:w="1531"/>
        <w:gridCol w:w="1531"/>
        <w:gridCol w:w="1247"/>
      </w:tblGrid>
      <w:tr w:rsidR="00615ACC" w14:paraId="25AE9D16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68BC8E4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Модель</w:t>
            </w:r>
          </w:p>
        </w:tc>
        <w:tc>
          <w:tcPr>
            <w:tcW w:w="1587" w:type="dxa"/>
            <w:vAlign w:val="center"/>
          </w:tcPr>
          <w:p w14:paraId="24AB6FA5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Невалидные ответы</w:t>
            </w:r>
          </w:p>
        </w:tc>
        <w:tc>
          <w:tcPr>
            <w:tcW w:w="1531" w:type="dxa"/>
            <w:vAlign w:val="center"/>
          </w:tcPr>
          <w:p w14:paraId="5FE6E0B6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p95, мс</w:t>
            </w:r>
          </w:p>
        </w:tc>
        <w:tc>
          <w:tcPr>
            <w:tcW w:w="1531" w:type="dxa"/>
            <w:vAlign w:val="center"/>
          </w:tcPr>
          <w:p w14:paraId="374782CE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Память, ГБ</w:t>
            </w:r>
          </w:p>
        </w:tc>
        <w:tc>
          <w:tcPr>
            <w:tcW w:w="1247" w:type="dxa"/>
            <w:vAlign w:val="center"/>
          </w:tcPr>
          <w:p w14:paraId="4D71E6C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  <w:b/>
              </w:rPr>
              <w:t>Итоговый балл</w:t>
            </w:r>
          </w:p>
        </w:tc>
      </w:tr>
      <w:tr w:rsidR="00615ACC" w14:paraId="4AF2F1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CD0B17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GigaChat Family</w:t>
            </w:r>
          </w:p>
        </w:tc>
        <w:tc>
          <w:tcPr>
            <w:tcW w:w="1587" w:type="dxa"/>
            <w:vAlign w:val="center"/>
          </w:tcPr>
          <w:p w14:paraId="732F50B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0,6%</w:t>
            </w:r>
          </w:p>
        </w:tc>
        <w:tc>
          <w:tcPr>
            <w:tcW w:w="1531" w:type="dxa"/>
            <w:vAlign w:val="center"/>
          </w:tcPr>
          <w:p w14:paraId="7939454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910</w:t>
            </w:r>
          </w:p>
        </w:tc>
        <w:tc>
          <w:tcPr>
            <w:tcW w:w="1531" w:type="dxa"/>
            <w:vAlign w:val="center"/>
          </w:tcPr>
          <w:p w14:paraId="25231D0B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14,8</w:t>
            </w:r>
          </w:p>
        </w:tc>
        <w:tc>
          <w:tcPr>
            <w:tcW w:w="1247" w:type="dxa"/>
            <w:vAlign w:val="center"/>
          </w:tcPr>
          <w:p w14:paraId="4F1DF2A8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0,812</w:t>
            </w:r>
          </w:p>
        </w:tc>
      </w:tr>
      <w:tr w:rsidR="00615ACC" w14:paraId="0300FFB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2F0B42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Vikhr</w:t>
            </w:r>
          </w:p>
        </w:tc>
        <w:tc>
          <w:tcPr>
            <w:tcW w:w="1587" w:type="dxa"/>
            <w:vAlign w:val="center"/>
          </w:tcPr>
          <w:p w14:paraId="58CFDBC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0,9%</w:t>
            </w:r>
          </w:p>
        </w:tc>
        <w:tc>
          <w:tcPr>
            <w:tcW w:w="1531" w:type="dxa"/>
            <w:vAlign w:val="center"/>
          </w:tcPr>
          <w:p w14:paraId="392E9A30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760</w:t>
            </w:r>
          </w:p>
        </w:tc>
        <w:tc>
          <w:tcPr>
            <w:tcW w:w="1531" w:type="dxa"/>
            <w:vAlign w:val="center"/>
          </w:tcPr>
          <w:p w14:paraId="4BDDEED1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14,2</w:t>
            </w:r>
          </w:p>
        </w:tc>
        <w:tc>
          <w:tcPr>
            <w:tcW w:w="1247" w:type="dxa"/>
            <w:vAlign w:val="center"/>
          </w:tcPr>
          <w:p w14:paraId="1C1F976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0,799</w:t>
            </w:r>
          </w:p>
        </w:tc>
      </w:tr>
      <w:tr w:rsidR="00615ACC" w14:paraId="2F84E5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5F2EDA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Qwen2.5-7B-Instruct</w:t>
            </w:r>
          </w:p>
        </w:tc>
        <w:tc>
          <w:tcPr>
            <w:tcW w:w="1587" w:type="dxa"/>
            <w:vAlign w:val="center"/>
          </w:tcPr>
          <w:p w14:paraId="5695487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0,3%</w:t>
            </w:r>
          </w:p>
        </w:tc>
        <w:tc>
          <w:tcPr>
            <w:tcW w:w="1531" w:type="dxa"/>
            <w:vAlign w:val="center"/>
          </w:tcPr>
          <w:p w14:paraId="380939CC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640</w:t>
            </w:r>
          </w:p>
        </w:tc>
        <w:tc>
          <w:tcPr>
            <w:tcW w:w="1531" w:type="dxa"/>
            <w:vAlign w:val="center"/>
          </w:tcPr>
          <w:p w14:paraId="54FB0EAA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13,6</w:t>
            </w:r>
          </w:p>
        </w:tc>
        <w:tc>
          <w:tcPr>
            <w:tcW w:w="1247" w:type="dxa"/>
            <w:vAlign w:val="center"/>
          </w:tcPr>
          <w:p w14:paraId="3E6E7B81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0,850</w:t>
            </w:r>
          </w:p>
        </w:tc>
      </w:tr>
      <w:tr w:rsidR="00615ACC" w14:paraId="6CB77E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5F46E0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lastRenderedPageBreak/>
              <w:t>Llama-3.1-8B-Instruct</w:t>
            </w:r>
          </w:p>
        </w:tc>
        <w:tc>
          <w:tcPr>
            <w:tcW w:w="1587" w:type="dxa"/>
            <w:vAlign w:val="center"/>
          </w:tcPr>
          <w:p w14:paraId="1A2EB40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0,5%</w:t>
            </w:r>
          </w:p>
        </w:tc>
        <w:tc>
          <w:tcPr>
            <w:tcW w:w="1531" w:type="dxa"/>
            <w:vAlign w:val="center"/>
          </w:tcPr>
          <w:p w14:paraId="0CBE24C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690</w:t>
            </w:r>
          </w:p>
        </w:tc>
        <w:tc>
          <w:tcPr>
            <w:tcW w:w="1531" w:type="dxa"/>
            <w:vAlign w:val="center"/>
          </w:tcPr>
          <w:p w14:paraId="75968A4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14,1</w:t>
            </w:r>
          </w:p>
        </w:tc>
        <w:tc>
          <w:tcPr>
            <w:tcW w:w="1247" w:type="dxa"/>
            <w:vAlign w:val="center"/>
          </w:tcPr>
          <w:p w14:paraId="2B440D1B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0,829</w:t>
            </w:r>
          </w:p>
        </w:tc>
      </w:tr>
      <w:tr w:rsidR="00615ACC" w14:paraId="77A19A2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7FCF54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Mistral-7B-Instruct-v0.3</w:t>
            </w:r>
          </w:p>
        </w:tc>
        <w:tc>
          <w:tcPr>
            <w:tcW w:w="1587" w:type="dxa"/>
            <w:vAlign w:val="center"/>
          </w:tcPr>
          <w:p w14:paraId="0041A22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0,4%</w:t>
            </w:r>
          </w:p>
        </w:tc>
        <w:tc>
          <w:tcPr>
            <w:tcW w:w="1531" w:type="dxa"/>
            <w:vAlign w:val="center"/>
          </w:tcPr>
          <w:p w14:paraId="70F6ADCC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570</w:t>
            </w:r>
          </w:p>
        </w:tc>
        <w:tc>
          <w:tcPr>
            <w:tcW w:w="1531" w:type="dxa"/>
            <w:vAlign w:val="center"/>
          </w:tcPr>
          <w:p w14:paraId="4276601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12,9</w:t>
            </w:r>
          </w:p>
        </w:tc>
        <w:tc>
          <w:tcPr>
            <w:tcW w:w="1247" w:type="dxa"/>
            <w:vAlign w:val="center"/>
          </w:tcPr>
          <w:p w14:paraId="52508F98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0,820</w:t>
            </w:r>
          </w:p>
        </w:tc>
      </w:tr>
      <w:tr w:rsidR="00615ACC" w14:paraId="7AE351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A2AAA6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Gemma-2-9B-it</w:t>
            </w:r>
          </w:p>
        </w:tc>
        <w:tc>
          <w:tcPr>
            <w:tcW w:w="1587" w:type="dxa"/>
            <w:vAlign w:val="center"/>
          </w:tcPr>
          <w:p w14:paraId="347960DF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0,4%</w:t>
            </w:r>
          </w:p>
        </w:tc>
        <w:tc>
          <w:tcPr>
            <w:tcW w:w="1531" w:type="dxa"/>
            <w:vAlign w:val="center"/>
          </w:tcPr>
          <w:p w14:paraId="2F861830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720</w:t>
            </w:r>
          </w:p>
        </w:tc>
        <w:tc>
          <w:tcPr>
            <w:tcW w:w="1531" w:type="dxa"/>
            <w:vAlign w:val="center"/>
          </w:tcPr>
          <w:p w14:paraId="465AC6B9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15,7</w:t>
            </w:r>
          </w:p>
        </w:tc>
        <w:tc>
          <w:tcPr>
            <w:tcW w:w="1247" w:type="dxa"/>
            <w:vAlign w:val="center"/>
          </w:tcPr>
          <w:p w14:paraId="23868685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0,829</w:t>
            </w:r>
          </w:p>
        </w:tc>
      </w:tr>
      <w:tr w:rsidR="00615ACC" w14:paraId="1E182F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BDED50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Phi-3.5-mini</w:t>
            </w:r>
          </w:p>
        </w:tc>
        <w:tc>
          <w:tcPr>
            <w:tcW w:w="1587" w:type="dxa"/>
            <w:vAlign w:val="center"/>
          </w:tcPr>
          <w:p w14:paraId="7A45FFC8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0,8%</w:t>
            </w:r>
          </w:p>
        </w:tc>
        <w:tc>
          <w:tcPr>
            <w:tcW w:w="1531" w:type="dxa"/>
            <w:vAlign w:val="center"/>
          </w:tcPr>
          <w:p w14:paraId="6A72A73F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1531" w:type="dxa"/>
            <w:vAlign w:val="center"/>
          </w:tcPr>
          <w:p w14:paraId="4B87050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8,1</w:t>
            </w:r>
          </w:p>
        </w:tc>
        <w:tc>
          <w:tcPr>
            <w:tcW w:w="1247" w:type="dxa"/>
            <w:vAlign w:val="center"/>
          </w:tcPr>
          <w:p w14:paraId="15D817D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0,806</w:t>
            </w:r>
          </w:p>
        </w:tc>
      </w:tr>
      <w:tr w:rsidR="00615ACC" w14:paraId="2AF15D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E74199" w14:textId="77777777" w:rsidR="00615ACC" w:rsidRDefault="00000000">
            <w:pPr>
              <w:ind w:firstLine="0"/>
            </w:pPr>
            <w:r>
              <w:rPr>
                <w:rFonts w:eastAsia="Times New Roman"/>
              </w:rPr>
              <w:t>DeepSeek-R1-Distill-Qwen-7B</w:t>
            </w:r>
          </w:p>
        </w:tc>
        <w:tc>
          <w:tcPr>
            <w:tcW w:w="1587" w:type="dxa"/>
            <w:vAlign w:val="center"/>
          </w:tcPr>
          <w:p w14:paraId="62CC60D3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0,7%</w:t>
            </w:r>
          </w:p>
        </w:tc>
        <w:tc>
          <w:tcPr>
            <w:tcW w:w="1531" w:type="dxa"/>
            <w:vAlign w:val="center"/>
          </w:tcPr>
          <w:p w14:paraId="55AB5B1D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1180</w:t>
            </w:r>
          </w:p>
        </w:tc>
        <w:tc>
          <w:tcPr>
            <w:tcW w:w="1531" w:type="dxa"/>
            <w:vAlign w:val="center"/>
          </w:tcPr>
          <w:p w14:paraId="29D346EC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14,9</w:t>
            </w:r>
          </w:p>
        </w:tc>
        <w:tc>
          <w:tcPr>
            <w:tcW w:w="1247" w:type="dxa"/>
            <w:vAlign w:val="center"/>
          </w:tcPr>
          <w:p w14:paraId="295487FA" w14:textId="77777777" w:rsidR="00615ACC" w:rsidRDefault="00000000">
            <w:pPr>
              <w:ind w:firstLine="0"/>
              <w:jc w:val="center"/>
            </w:pPr>
            <w:r>
              <w:rPr>
                <w:rFonts w:eastAsia="Times New Roman"/>
              </w:rPr>
              <w:t>0,821</w:t>
            </w:r>
          </w:p>
        </w:tc>
      </w:tr>
    </w:tbl>
    <w:p w14:paraId="088FB17C" w14:textId="77777777" w:rsidR="00615ACC" w:rsidRDefault="00615ACC">
      <w:pPr>
        <w:ind w:firstLine="0"/>
        <w:jc w:val="both"/>
      </w:pPr>
    </w:p>
    <w:p w14:paraId="0B988F62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Правило выбора лучшей модели или метода</w:t>
      </w:r>
    </w:p>
    <w:p w14:paraId="76C151F4" w14:textId="77777777" w:rsidR="00615ACC" w:rsidRDefault="00000000">
      <w:pPr>
        <w:jc w:val="both"/>
      </w:pPr>
      <w:r>
        <w:rPr>
          <w:rFonts w:eastAsia="Times New Roman"/>
        </w:rPr>
        <w:t>Сначала исключаются модели с долей невалидных ответов выше 1% или Macro-F1 ниже 0,82. Для остальных рассчитывается балл: 50% Macro-F1, 20% F1 negative, 15% калибровка, 10% задержка и 5% память.</w:t>
      </w:r>
    </w:p>
    <w:p w14:paraId="7171F60C" w14:textId="77777777" w:rsidR="00615ACC" w:rsidRDefault="00000000">
      <w:pPr>
        <w:jc w:val="both"/>
      </w:pPr>
      <w:r>
        <w:rPr>
          <w:rFonts w:eastAsia="Times New Roman"/>
        </w:rPr>
        <w:t>Qwen2.5-7B-Instruct выбирается лучшей: она имеет максимальный Macro-F1 0,856, лучший F1 отрицательного класса 0,831, наименьшую ошибку калибровки 0,036 и итоговый нормированный балл 0,850. Разница Macro-F1 с DeepSeek составляет 0,007; решение сохраняется после учета задержки и доли невалидных ответов.</w:t>
      </w:r>
    </w:p>
    <w:p w14:paraId="3BF926AA" w14:textId="77777777" w:rsidR="00615ACC" w:rsidRDefault="00000000">
      <w:pPr>
        <w:pStyle w:val="21"/>
        <w:spacing w:before="80"/>
      </w:pPr>
      <w:r>
        <w:rPr>
          <w:rFonts w:ascii="Times New Roman" w:eastAsia="Times New Roman" w:hAnsi="Times New Roman"/>
        </w:rPr>
        <w:t>Вывод по выполненному примеру</w:t>
      </w:r>
    </w:p>
    <w:p w14:paraId="604D2EC8" w14:textId="77777777" w:rsidR="00615ACC" w:rsidRDefault="00000000">
      <w:pPr>
        <w:jc w:val="both"/>
      </w:pPr>
      <w:r>
        <w:rPr>
          <w:rFonts w:eastAsia="Times New Roman"/>
        </w:rPr>
        <w:t>Гипотеза подтверждена: выбранная LLM обеспечивает лучший баланс качества, калибровки и ресурсов. Для ВКР следует дополнительно проверить перенос на русскоязычные новости, устойчивость к перефразированию и сравнение с FinBERT.</w:t>
      </w:r>
    </w:p>
    <w:p w14:paraId="0C08A57F" w14:textId="77777777" w:rsidR="00615ACC" w:rsidRDefault="00000000">
      <w:pPr>
        <w:pStyle w:val="1"/>
        <w:spacing w:before="160"/>
      </w:pPr>
      <w:r>
        <w:rPr>
          <w:rFonts w:ascii="Times New Roman" w:eastAsia="Times New Roman" w:hAnsi="Times New Roman"/>
        </w:rPr>
        <w:t>Список полезных источников</w:t>
      </w:r>
    </w:p>
    <w:p w14:paraId="42C1AFC2" w14:textId="77777777" w:rsidR="00615ACC" w:rsidRDefault="00000000">
      <w:pPr>
        <w:jc w:val="both"/>
      </w:pPr>
      <w:r>
        <w:rPr>
          <w:rFonts w:eastAsia="Times New Roman"/>
          <w:b/>
        </w:rPr>
        <w:t xml:space="preserve">1. Google Scholar. </w:t>
      </w:r>
      <w:r>
        <w:rPr>
          <w:rFonts w:eastAsia="Times New Roman"/>
        </w:rPr>
        <w:t xml:space="preserve">Поиск цитирующих работ, связанных статей и версий публикации. </w:t>
      </w:r>
      <w:hyperlink r:id="rId21">
        <w:r>
          <w:rPr>
            <w:color w:val="0000FF"/>
            <w:u w:val="single"/>
          </w:rPr>
          <w:t>Перейти</w:t>
        </w:r>
      </w:hyperlink>
    </w:p>
    <w:p w14:paraId="1B808F47" w14:textId="77777777" w:rsidR="00615ACC" w:rsidRDefault="00000000">
      <w:pPr>
        <w:jc w:val="both"/>
      </w:pPr>
      <w:r>
        <w:rPr>
          <w:rFonts w:eastAsia="Times New Roman"/>
          <w:b/>
        </w:rPr>
        <w:lastRenderedPageBreak/>
        <w:t xml:space="preserve">2. arXiv. </w:t>
      </w:r>
      <w:r>
        <w:rPr>
          <w:rFonts w:eastAsia="Times New Roman"/>
        </w:rPr>
        <w:t xml:space="preserve">Поиск актуальных препринтов; статус рецензирования проверяется отдельно. </w:t>
      </w:r>
      <w:hyperlink r:id="rId22">
        <w:r>
          <w:rPr>
            <w:color w:val="0000FF"/>
            <w:u w:val="single"/>
          </w:rPr>
          <w:t>Перейти</w:t>
        </w:r>
      </w:hyperlink>
    </w:p>
    <w:p w14:paraId="2E055C8D" w14:textId="77777777" w:rsidR="00615ACC" w:rsidRDefault="00000000">
      <w:pPr>
        <w:jc w:val="both"/>
      </w:pPr>
      <w:r>
        <w:rPr>
          <w:rFonts w:eastAsia="Times New Roman"/>
          <w:b/>
        </w:rPr>
        <w:t xml:space="preserve">3. Papers with Code. </w:t>
      </w:r>
      <w:r>
        <w:rPr>
          <w:rFonts w:eastAsia="Times New Roman"/>
        </w:rPr>
        <w:t xml:space="preserve">Связь статей с задачами, наборами данных, метриками и репозиториями. </w:t>
      </w:r>
      <w:hyperlink r:id="rId23">
        <w:r>
          <w:rPr>
            <w:color w:val="0000FF"/>
            <w:u w:val="single"/>
          </w:rPr>
          <w:t>Перейти</w:t>
        </w:r>
      </w:hyperlink>
    </w:p>
    <w:p w14:paraId="1EBC6B2F" w14:textId="77777777" w:rsidR="00615ACC" w:rsidRDefault="00000000">
      <w:pPr>
        <w:jc w:val="both"/>
      </w:pPr>
      <w:r>
        <w:rPr>
          <w:rFonts w:eastAsia="Times New Roman"/>
          <w:b/>
        </w:rPr>
        <w:t xml:space="preserve">4. Hugging Face. </w:t>
      </w:r>
      <w:r>
        <w:rPr>
          <w:rFonts w:eastAsia="Times New Roman"/>
        </w:rPr>
        <w:t xml:space="preserve">Карточки моделей, лицензии, версии весов и примеры применения. </w:t>
      </w:r>
      <w:hyperlink r:id="rId24">
        <w:r>
          <w:rPr>
            <w:color w:val="0000FF"/>
            <w:u w:val="single"/>
          </w:rPr>
          <w:t>Перейти</w:t>
        </w:r>
      </w:hyperlink>
    </w:p>
    <w:p w14:paraId="3D68BB5F" w14:textId="77777777" w:rsidR="00615ACC" w:rsidRDefault="00000000">
      <w:pPr>
        <w:jc w:val="both"/>
      </w:pPr>
      <w:r>
        <w:rPr>
          <w:rFonts w:eastAsia="Times New Roman"/>
          <w:b/>
        </w:rPr>
        <w:t xml:space="preserve">5. Kaggle Datasets. </w:t>
      </w:r>
      <w:r>
        <w:rPr>
          <w:rFonts w:eastAsia="Times New Roman"/>
        </w:rPr>
        <w:t xml:space="preserve">Открытые наборы данных и их версии; лицензия проверяется в карточке набора. </w:t>
      </w:r>
      <w:hyperlink r:id="rId25">
        <w:r>
          <w:rPr>
            <w:color w:val="0000FF"/>
            <w:u w:val="single"/>
          </w:rPr>
          <w:t>Перейти</w:t>
        </w:r>
      </w:hyperlink>
    </w:p>
    <w:p w14:paraId="75E9086B" w14:textId="77777777" w:rsidR="00615ACC" w:rsidRDefault="00000000">
      <w:pPr>
        <w:jc w:val="both"/>
      </w:pPr>
      <w:r>
        <w:rPr>
          <w:rFonts w:eastAsia="Times New Roman"/>
          <w:b/>
        </w:rPr>
        <w:t xml:space="preserve">6. MLflow. </w:t>
      </w:r>
      <w:r>
        <w:rPr>
          <w:rFonts w:eastAsia="Times New Roman"/>
        </w:rPr>
        <w:t xml:space="preserve">Регистрация параметров, метрик, артефактов и версий экспериментов. </w:t>
      </w:r>
      <w:hyperlink r:id="rId26">
        <w:r>
          <w:rPr>
            <w:color w:val="0000FF"/>
            <w:u w:val="single"/>
          </w:rPr>
          <w:t>Перейти</w:t>
        </w:r>
      </w:hyperlink>
    </w:p>
    <w:sectPr w:rsidR="00615AC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592392">
    <w:abstractNumId w:val="8"/>
  </w:num>
  <w:num w:numId="2" w16cid:durableId="1102915479">
    <w:abstractNumId w:val="6"/>
  </w:num>
  <w:num w:numId="3" w16cid:durableId="1063530314">
    <w:abstractNumId w:val="5"/>
  </w:num>
  <w:num w:numId="4" w16cid:durableId="1088964045">
    <w:abstractNumId w:val="4"/>
  </w:num>
  <w:num w:numId="5" w16cid:durableId="1069227122">
    <w:abstractNumId w:val="7"/>
  </w:num>
  <w:num w:numId="6" w16cid:durableId="2049453925">
    <w:abstractNumId w:val="3"/>
  </w:num>
  <w:num w:numId="7" w16cid:durableId="1363869728">
    <w:abstractNumId w:val="2"/>
  </w:num>
  <w:num w:numId="8" w16cid:durableId="1407800659">
    <w:abstractNumId w:val="1"/>
  </w:num>
  <w:num w:numId="9" w16cid:durableId="131552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ACC"/>
    <w:rsid w:val="00A5469E"/>
    <w:rsid w:val="00AA1D8D"/>
    <w:rsid w:val="00B47730"/>
    <w:rsid w:val="00CB0664"/>
    <w:rsid w:val="00F42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34BBD"/>
  <w14:defaultImageDpi w14:val="300"/>
  <w15:docId w15:val="{094E410D-DAFD-4468-A038-6C6B05D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ceedings.neurips.cc/paper/2020/hash/1457c0d6bfcb4967418bfb8ac142f64a-Abstract.html" TargetMode="External"/><Relationship Id="rId13" Type="http://schemas.openxmlformats.org/officeDocument/2006/relationships/hyperlink" Target="https://arxiv.org/abs/1908.10063" TargetMode="External"/><Relationship Id="rId18" Type="http://schemas.openxmlformats.org/officeDocument/2006/relationships/hyperlink" Target="https://openreview.net/forum?id=WGFxKLHIAB" TargetMode="External"/><Relationship Id="rId26" Type="http://schemas.openxmlformats.org/officeDocument/2006/relationships/hyperlink" Target="https://mlflow.org/docs/latest/index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.google.com/" TargetMode="External"/><Relationship Id="rId7" Type="http://schemas.openxmlformats.org/officeDocument/2006/relationships/hyperlink" Target="https://proceedings.neurips.cc/paper/7181-attention-is-all-you-need" TargetMode="External"/><Relationship Id="rId12" Type="http://schemas.openxmlformats.org/officeDocument/2006/relationships/hyperlink" Target="https://aclanthology.org/2023.findings-emnlp.58/" TargetMode="External"/><Relationship Id="rId17" Type="http://schemas.openxmlformats.org/officeDocument/2006/relationships/hyperlink" Target="https://aclanthology.org/2025.acl-demo.10/" TargetMode="External"/><Relationship Id="rId25" Type="http://schemas.openxmlformats.org/officeDocument/2006/relationships/hyperlink" Target="https://www.kaggle.com/datase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309.10931" TargetMode="External"/><Relationship Id="rId20" Type="http://schemas.openxmlformats.org/officeDocument/2006/relationships/hyperlink" Target="https://huggingface.co/model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bhatti/financial-sentiment-analysis" TargetMode="External"/><Relationship Id="rId11" Type="http://schemas.openxmlformats.org/officeDocument/2006/relationships/hyperlink" Target="https://proceedings.neurips.cc/paper_files/paper/2023/hash/1feb87871436031bdc0f2beaa62a049b-Abstract-Conference.html" TargetMode="External"/><Relationship Id="rId24" Type="http://schemas.openxmlformats.org/officeDocument/2006/relationships/hyperlink" Target="https://huggingface.co/model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06.06031" TargetMode="External"/><Relationship Id="rId23" Type="http://schemas.openxmlformats.org/officeDocument/2006/relationships/hyperlink" Target="https://paperswithcode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openreview.net/forum?id=nZeVKeeFYf9" TargetMode="External"/><Relationship Id="rId19" Type="http://schemas.openxmlformats.org/officeDocument/2006/relationships/hyperlink" Target="https://www.kaggle.com/datasets/sbhatti/financial-sentiment-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ceedings.neurips.cc/paper/2020/hash/6b493230205f780e1bc26945df7481e5-Abstract.html" TargetMode="External"/><Relationship Id="rId14" Type="http://schemas.openxmlformats.org/officeDocument/2006/relationships/hyperlink" Target="https://arxiv.org/abs/2303.17564" TargetMode="External"/><Relationship Id="rId22" Type="http://schemas.openxmlformats.org/officeDocument/2006/relationships/hyperlink" Target="https://arxiv.org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2494</Words>
  <Characters>14219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Большие языковые модели в предметной области ВКР</dc:title>
  <dc:subject>Лабораторная работа по дисциплине Прикладные задачи машинного обучения</dc:subject>
  <dc:creator>Никитин Петр Владимирович</dc:creator>
  <cp:keywords/>
  <dc:description>generated by python-docx</dc:description>
  <cp:lastModifiedBy>Никитин Петр Владимирович</cp:lastModifiedBy>
  <cp:revision>2</cp:revision>
  <dcterms:created xsi:type="dcterms:W3CDTF">2026-09-11T09:01:00Z</dcterms:created>
  <dcterms:modified xsi:type="dcterms:W3CDTF">2026-09-11T09:01:00Z</dcterms:modified>
  <cp:category/>
</cp:coreProperties>
</file>