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2 Мультимодальные модели в предметной области ВКР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Построить исследовательский протокол для объединения текста, числового временного ряда и визуального представления, сравнить 7–8 мультимодальных моделей или схем интеграции и проверить вклад каждой модальности.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Исследовательский обзор.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Синхронизация данных.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Сравнение 7–8 моделей.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Применение лучшей модели.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Многокритериальная оценка.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Вывод.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Воспроизводимые артефакты.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1 Исследовательский обзор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Отобрать 10–15 работ по vision-language, text-table, text-time-series и финансовым мультимодальным моделям. Сопоставить способы кодирования модальностей, fusion, задачи, данные, метрики и доступность кода.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аналитический обзор 10–15 источников, сравнительная матрица и сформулированный исследовательский разрыв.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2 Синхронизация данных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Связать новость с тикером и рыночным окном только по информации, доступной в момент прогноза. Проверить часовой пояс, биржевой календарь, дубликаты, пропуски и ошибочные изображения.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паспорт данных, описательная статистика, перечень проблем качества и обоснованная схема предобработки и разбиения.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3 Сравнение 7–8 моделей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Использовать одну постановку, например прогноз направления доходности следующего торгового дня. Сравнить мультимодальные модели и обязательные unimodal baseline: только текст, только числа, только изображение.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единый экспериментальный протокол, таблица сравнения, доверительные интервалы и журнал параметров.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4 Применение лучшей 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Выбрать схему слияния, которая подтверждает прирост на отложенном временном периоде. Применить к авторскому набору из компаний или отрасли, связанной с ВКР.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5 Многокритериальная оценка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Оценить качество, калибровку, вклад модальностей, устойчивость к отсутствующей модальности, latency и стоимость. Выполнить абляции и permutation test прироста.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6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Указать, какая модальность создала прирост, при каких режимах он исчезает и оправдывает ли эффект усложнение системы.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7 Воспроизводимые артефакты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Предоставить правила синхронизации, схему данных, таблицу моделей, набор абляций, журнал исключенных наблюдений и ссылки на исходные наборы.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Требования к отчету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Обзор 10–15 источников.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Схема мультимодального объекта.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Паспорт двух наборов данных.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Правила временной синхронизации.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Сравнение 7–8 моделей.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Unimodal baseline и fusion.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Абляции модальностей.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Анализ ошибок.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9. </w:t>
      </w:r>
      <w:r>
        <w:rPr>
          <w:rFonts w:ascii="Times New Roman" w:hAnsi="Times New Roman" w:eastAsia="Times New Roman"/>
          <w:sz w:val="28"/>
        </w:rPr>
        <w:t>Вывод о полезности мультимодальности.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в группе из 2–4 человек. При групповом формате должны быть указаны общий результат, роли, личная гипотеза и подтверждаемый эксперимент каждого участника.</w:t>
      </w:r>
    </w:p>
    <w:p>
      <w:r>
        <w:br w:type="page"/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Все числовые результаты в примере являются демонстрационными. Они показывают структуру отчета, способ сравнения и логику выбора, но не заменяют фактический эксперимент студента.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Название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Мультимодальный прогноз реакции рынка по финансовой новости и динамике котировок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Построить исследовательский протокол для объединения текста, числового временного ряда и визуального представления, сравнить 7–8 мультимодальных моделей или схем интеграции и проверить вклад каждой модальности.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Данные и источник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Financial News with Ticker-Level Sentiment плюс S&amp;P 500 OHLCV Stock Data.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https://www.kaggle.com/datasets/rdolphin/financial-news-with-ticker-level-sentiment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Основной набор содержит новости, связанные тикеры, временные метки и тональность. Рыночная модальность добавляется из открытого набора OHLCV: https://www.kaggle.com/datasets/jacksaleeby/s-and-p500-historical-data. Из OHLCV можно сформировать табличные признаки и изображения графиков без включения будущих значений.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 в выполненном примере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строится не как перечень названий, а как сопоставление методов, данных, метрик и ограничений. Ниже показан пример аннотированного обзора; ссылки являются активными.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Radford et al. Learning Transferable Visual Models From Natural Language Supervision. ICML 2021. </w:t>
      </w:r>
      <w:r>
        <w:rPr>
          <w:rFonts w:ascii="Times New Roman" w:hAnsi="Times New Roman" w:eastAsia="Times New Roman"/>
          <w:sz w:val="28"/>
        </w:rPr>
        <w:t xml:space="preserve">CLIP формирует общее пространство изображений и текста через контрастивное обучение. Это основа для обсуждения alignment мультимодальных признаков.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Alayrac et al. Flamingo. NeurIPS 2022. </w:t>
      </w:r>
      <w:r>
        <w:rPr>
          <w:rFonts w:ascii="Times New Roman" w:hAnsi="Times New Roman" w:eastAsia="Times New Roman"/>
          <w:sz w:val="28"/>
        </w:rPr>
        <w:t xml:space="preserve">Flamingo показывает интеграцию визуального энкодера и языковой модели с few-shot-обобщением. Работа иллюстрирует cross-attention между модальностями.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Li et al. BLIP-2. ICML 2023. </w:t>
      </w:r>
      <w:r>
        <w:rPr>
          <w:rFonts w:ascii="Times New Roman" w:hAnsi="Times New Roman" w:eastAsia="Times New Roman"/>
          <w:sz w:val="28"/>
        </w:rPr>
        <w:t xml:space="preserve">BLIP-2 связывает замороженные визуальные и языковые компоненты через компактный Q-Former. Источник дает пример экономичной мультимодальной адаптации.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Liu et al. Visual Instruction Tuning. NeurIPS 2023. </w:t>
      </w:r>
      <w:r>
        <w:rPr>
          <w:rFonts w:ascii="Times New Roman" w:hAnsi="Times New Roman" w:eastAsia="Times New Roman"/>
          <w:sz w:val="28"/>
        </w:rPr>
        <w:t xml:space="preserve">LLaVA демонстрирует visual instruction tuning. Работа нужна для понимания подготовки мультимодальных инструкций и ограничений оценки.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Bhatia et al. FinTral. Findings of ACL 2024. </w:t>
      </w:r>
      <w:r>
        <w:rPr>
          <w:rFonts w:ascii="Times New Roman" w:hAnsi="Times New Roman" w:eastAsia="Times New Roman"/>
          <w:sz w:val="28"/>
        </w:rPr>
        <w:t xml:space="preserve">FinTral адаптирует мультимодальную модель к финансовым задачам. Источник непосредственно связывает текст, таблицы и финансовое рассуждение.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Zhao et al. FinDVer. EMNLP 2024. </w:t>
      </w:r>
      <w:r>
        <w:rPr>
          <w:rFonts w:ascii="Times New Roman" w:hAnsi="Times New Roman" w:eastAsia="Times New Roman"/>
          <w:sz w:val="28"/>
        </w:rPr>
        <w:t xml:space="preserve">FinDVer рассматривает проверку финансовых утверждений на основе нескольких типов данных. Работа задает пример доказательного мультимодального вывода.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7. Modal-adaptive Financial Prediction from Monetary Policy Calls. FinNLP 2024. </w:t>
      </w:r>
      <w:r>
        <w:rPr>
          <w:rFonts w:ascii="Times New Roman" w:hAnsi="Times New Roman" w:eastAsia="Times New Roman"/>
          <w:sz w:val="28"/>
        </w:rPr>
        <w:t xml:space="preserve">Исследование анализирует объединение текстовых и иных сигналов для финансового прогноза. Оно используется при проектировании unimodal baseline и fusion.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8. Qwen2-VL technical report.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9. InternVL: Scaling up Vision Foundation Models and Aligning for Generic Visual-Linguistic Tasks.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Kandinsky 3.0 Technical Report. </w:t>
      </w:r>
      <w:r>
        <w:rPr>
          <w:rFonts w:ascii="Times New Roman" w:hAnsi="Times New Roman" w:eastAsia="Times New Roman"/>
          <w:sz w:val="28"/>
        </w:rPr>
        <w:t xml:space="preserve">Технический отчет Kandinsky описывает отечественную мультимодальную генеративную архитектуру. Источник включен для российского контекста развития моделей.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11. Russian-Language Multimodal Dataset for Automatic Summarization of Scientific Papers. </w:t>
      </w:r>
      <w:r>
        <w:rPr>
          <w:rFonts w:ascii="Times New Roman" w:hAnsi="Times New Roman" w:eastAsia="Times New Roman"/>
          <w:sz w:val="28"/>
        </w:rPr>
        <w:t xml:space="preserve">Карточка открытого набора фиксирует состав, версии и условия доступа. Перед использованием студент отдельно проверяет лицензию и ограничения выборки.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12. Воловикова и др. Обзор мультимодальных сред для обучения с подкреплением.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13. Financial News with Ticker-Level Sentiment.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14. S&amp;P 500 OHLCV Stock Data. </w:t>
      </w:r>
      <w:r>
        <w:rPr>
          <w:rFonts w:ascii="Times New Roman" w:hAnsi="Times New Roman" w:eastAsia="Times New Roman"/>
          <w:sz w:val="28"/>
        </w:rPr>
        <w:t xml:space="preserve">Карточка открытого набора фиксирует состав, версии и условия доступа. Перед использованием студент отдельно проверяет лицензию и ограничения выборки. </w:t>
      </w:r>
      <w:hyperlink r:id="rId2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Анализ и подготовка данных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Новость связывается с тикером и 20-дневным окном OHLCV. Информация после момента публикации исключается; новости после закрытия относятся к следующей сессии.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Из котировок рассчитываются доходности, волатильность и объем; свечное изображение строится только по прошлому окну. Объекты одной компании и близкие дубликаты группируются при split.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Итоговая демонстрационная выборка содержит 4 120 событий. Разбиение временное: 70% ранних событий на обучение, 15% на валидацию, 15% последних на тест.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Постановка эксперимента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Продолжение ВКР: к тексту финансовой новости добавляется 20-дневное окно OHLCV и изображение свечного графика, построенное только до момента публикации.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Гипотеза: мультимодальная модель повысит macro-F1 прогноза направления доходности следующего дня минимум на 0,03 относительно лучшего одномодального baseline.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Данные связываются по тикеру и UTC-времени; новости после закрытия относятся к следующей торговой сессии. Все объекты одной компании и близкие дубликаты контролируются при разбиении.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Сравниваются восемь моделей в одинаковом режиме. Для каждой проверяются три входа: текст, график, текст плюс график. Числовой baseline строится отдельно и добавляется через late fusion.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Лучший вариант применяется к выбранному сектору S&amp;P 500. Отдельно проверяются кризисный и спокойный периоды, длинные новости и случаи без изображения.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Абляции удаляют текст, изображение, числовые признаки и cross-attention. Если эффект исчезает после честного временного split, гипотеза отклоняется.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В отчете приводятся macro-F1, MCC, AUROC, Brier score, directional accuracy, прирост к baseline, доверительный интервал, latency и примеры согласия или конфликта модальностей.</w:t>
      </w:r>
    </w:p>
    <w:p>
      <w:r>
        <w:br w:type="page"/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Количественные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показатели качества представлены в таблице. Направление улучшения фиксируется до эксперимента: для F1, MCC, AUROC, доходности и Sharpe больше означает лучше; для ECE, Brier, просадки, нарушений, задержки и разброса меньше означает лучше.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Модель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Macro-F1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AUROC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Brier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Прирост к text-only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Qwen2.5-VL-7B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0,704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0,187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+0,043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LLaVA-NeXT-7B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0,201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+0,020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InternVL2.5-8B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0,696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+0,035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PaliGemma 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0,211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+0,006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Phi-4-multimodal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0,754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+0,027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Pixtral-12B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0,699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+0,038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MiniCPM-V 2.6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0,675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0,205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+0,014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FinTral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0,188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+0,040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Ресурсные показатели, устойчивость и сводная оценка: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Модель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Без изображения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Без текста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Итоговый балл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Qwen2.5-VL-7B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0,591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890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0,691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LLaVA-NeXT-7B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0,648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0,573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960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0,663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InternVL2.5-8B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0,655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0,585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1010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PaliGemma 2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0,642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0,566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620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Phi-4-multimodal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0,650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0,579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740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0,677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Pixtral-12B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0,657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0,588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1320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0,674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MiniCPM-V 2.6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0,646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0,570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600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0,669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FinTral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0,659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0,589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1100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0,680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Правило выбора лучшей модели или метода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Модель допускается к выбору, если прирост к лучшему unimodal baseline положителен и его bootstrap-интервал не включает ноль. Сводный балл: 45% Macro-F1, 20% AUROC, 15% Brier, 10% устойчивость к пропавшей модальности и 10% задержка.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Qwen2.5-VL-7B выбирается по максимальному сводному баллу 0,691. Ее Macro-F1 равен 0,704, прирост к text-only составляет 0,043, а Brier score 0,187. Прирост проверяется блочным bootstrap: 95%-й интервал [0,026; 0,059], поэтому нулевая гипотеза об отсутствии улучшения отклоняется.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 по выполненному примеру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Мультимодальность дает измеримый прирост, однако текст остается основной модальностью. Архитектура оправдана только при корректной временной синхронизации; без изображения качество снижается умеренно, а без текста - значительно.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Список полезных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Google Scholar. </w:t>
      </w:r>
      <w:r>
        <w:rPr>
          <w:rFonts w:ascii="Times New Roman" w:hAnsi="Times New Roman" w:eastAsia="Times New Roman"/>
          <w:sz w:val="28"/>
        </w:rPr>
        <w:t xml:space="preserve">Поиск цитирующих работ, связанных статей и версий публикации. </w:t>
      </w:r>
      <w:hyperlink r:id="rId23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arXiv. </w:t>
      </w:r>
      <w:r>
        <w:rPr>
          <w:rFonts w:ascii="Times New Roman" w:hAnsi="Times New Roman" w:eastAsia="Times New Roman"/>
          <w:sz w:val="28"/>
        </w:rPr>
        <w:t xml:space="preserve">Поиск актуальных препринтов; статус рецензирования проверяется отдельно. </w:t>
      </w:r>
      <w:hyperlink r:id="rId24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Papers with Code. </w:t>
      </w:r>
      <w:r>
        <w:rPr>
          <w:rFonts w:ascii="Times New Roman" w:hAnsi="Times New Roman" w:eastAsia="Times New Roman"/>
          <w:sz w:val="28"/>
        </w:rPr>
        <w:t xml:space="preserve">Связь статей с задачами, наборами данных, метриками и репозиториями. </w:t>
      </w:r>
      <w:hyperlink r:id="rId25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Hugging Face. </w:t>
      </w:r>
      <w:r>
        <w:rPr>
          <w:rFonts w:ascii="Times New Roman" w:hAnsi="Times New Roman" w:eastAsia="Times New Roman"/>
          <w:sz w:val="28"/>
        </w:rPr>
        <w:t xml:space="preserve">Карточки моделей, лицензии, версии весов и примеры применения. </w:t>
      </w:r>
      <w:hyperlink r:id="rId26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Kaggle Datasets. </w:t>
      </w:r>
      <w:r>
        <w:rPr>
          <w:rFonts w:ascii="Times New Roman" w:hAnsi="Times New Roman" w:eastAsia="Times New Roman"/>
          <w:sz w:val="28"/>
        </w:rPr>
        <w:t xml:space="preserve">Открытые наборы данных и их версии; лицензия проверяется в карточке набора. </w:t>
      </w:r>
      <w:hyperlink r:id="rId27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MLflow. </w:t>
      </w:r>
      <w:r>
        <w:rPr>
          <w:rFonts w:ascii="Times New Roman" w:hAnsi="Times New Roman" w:eastAsia="Times New Roman"/>
          <w:sz w:val="28"/>
        </w:rPr>
        <w:t xml:space="preserve">Регистрация параметров, метрик, артефактов и версий экспериментов. </w:t>
      </w:r>
      <w:hyperlink r:id="rId28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rdolphin/financial-news-with-ticker-level-sentiment" TargetMode="External"/><Relationship Id="rId10" Type="http://schemas.openxmlformats.org/officeDocument/2006/relationships/hyperlink" Target="https://proceedings.mlr.press/v139/radford21a.html" TargetMode="External"/><Relationship Id="rId11" Type="http://schemas.openxmlformats.org/officeDocument/2006/relationships/hyperlink" Target="https://proceedings.neurips.cc/paper_files/paper/2022/hash/960a172bc7fbf0177ccccbb411a7d800-Abstract-Conference.html" TargetMode="External"/><Relationship Id="rId12" Type="http://schemas.openxmlformats.org/officeDocument/2006/relationships/hyperlink" Target="https://proceedings.mlr.press/v202/li23q.html" TargetMode="External"/><Relationship Id="rId13" Type="http://schemas.openxmlformats.org/officeDocument/2006/relationships/hyperlink" Target="https://proceedings.neurips.cc/paper_files/paper/2023/hash/6dcf277ea32ce3288914faf369fe6de0-Abstract-Conference.html" TargetMode="External"/><Relationship Id="rId14" Type="http://schemas.openxmlformats.org/officeDocument/2006/relationships/hyperlink" Target="https://aclanthology.org/2024.findings-acl.774/" TargetMode="External"/><Relationship Id="rId15" Type="http://schemas.openxmlformats.org/officeDocument/2006/relationships/hyperlink" Target="https://aclanthology.org/2024.emnlp-main.818/" TargetMode="External"/><Relationship Id="rId16" Type="http://schemas.openxmlformats.org/officeDocument/2006/relationships/hyperlink" Target="https://aclanthology.org/2024.finnlp-1.7/" TargetMode="External"/><Relationship Id="rId17" Type="http://schemas.openxmlformats.org/officeDocument/2006/relationships/hyperlink" Target="https://arxiv.org/abs/2409.12191" TargetMode="External"/><Relationship Id="rId18" Type="http://schemas.openxmlformats.org/officeDocument/2006/relationships/hyperlink" Target="https://arxiv.org/abs/2312.14238" TargetMode="External"/><Relationship Id="rId19" Type="http://schemas.openxmlformats.org/officeDocument/2006/relationships/hyperlink" Target="https://arxiv.org/abs/2312.03511" TargetMode="External"/><Relationship Id="rId20" Type="http://schemas.openxmlformats.org/officeDocument/2006/relationships/hyperlink" Target="https://arxiv.org/abs/2405.07886" TargetMode="External"/><Relationship Id="rId21" Type="http://schemas.openxmlformats.org/officeDocument/2006/relationships/hyperlink" Target="https://www.mathnet.ru/danma594" TargetMode="External"/><Relationship Id="rId22" Type="http://schemas.openxmlformats.org/officeDocument/2006/relationships/hyperlink" Target="https://www.kaggle.com/datasets/jacksaleeby/s-and-p500-historical-data" TargetMode="External"/><Relationship Id="rId23" Type="http://schemas.openxmlformats.org/officeDocument/2006/relationships/hyperlink" Target="https://scholar.google.com/" TargetMode="External"/><Relationship Id="rId24" Type="http://schemas.openxmlformats.org/officeDocument/2006/relationships/hyperlink" Target="https://arxiv.org/" TargetMode="External"/><Relationship Id="rId25" Type="http://schemas.openxmlformats.org/officeDocument/2006/relationships/hyperlink" Target="https://paperswithcode.com/" TargetMode="External"/><Relationship Id="rId26" Type="http://schemas.openxmlformats.org/officeDocument/2006/relationships/hyperlink" Target="https://huggingface.co/models" TargetMode="External"/><Relationship Id="rId27" Type="http://schemas.openxmlformats.org/officeDocument/2006/relationships/hyperlink" Target="https://www.kaggle.com/datasets" TargetMode="External"/><Relationship Id="rId28" Type="http://schemas.openxmlformats.org/officeDocument/2006/relationships/hyperlink" Target="https://mlflow.org/docs/lates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Мультимодальные модели в предметной области ВКР</dc:title>
  <dc:subject>Лабораторная работа по дисциплине Прикладные задачи машинного обучения</dc:subject>
  <dc:creator>Никитин Петр Владимирович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