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3 Мультиагентное обучение с подкреплением в задаче ВКР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Сформулировать прикладную задачу как многоагентный процесс принятия решений, сравнить 7–8 алгоритмов и проверить устойчивость стратегии вне обучающего периода.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Исследовательский обзор.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Данные и среда.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Сравнение 7–8 алгоритмов.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Применение лучшей политики.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Многокритериальная оценка.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Вывод.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Воспроизводимые артефакты.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1 Исследовательский обзор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Отобрать 10–15 работ по cooperative/competitive MARL, CTDE, credit assignment, безопасному RL и финансовым приложениям; выделить российские и зарубежные результаты, среды и репозитории.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аналитический обзор 10–15 источников, сравнительная матрица и сформулированный исследовательский разрыв.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2 Данные и среда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Провести аудит OHLCV, сформировать признаки только из прошлого, описать состояние, действия, переходы, вознаграждение, ограничения, транзакционные издержки и правила завершения эпизода.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паспорт данных, описательная статистика, перечень проблем качества и обоснованная схема предобработки и разбиения.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3 Сравнение 7–8 алгоритмов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Сравнить восемь MARL-алгоритмов при одинаковом наборе активов, временном разбиении, бюджете взаимодействий и числе seed. Добавить равновзвешенный портфель и одноагентный PPO.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единый экспериментальный протокол, таблица сравнения, доверительные интервалы и журнал параметров.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4 Применение лучшей политики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Проверить выбранный алгоритм на полностью отложенном периоде и на секторе или классе активов, связанном с ВКР.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5 Многокритериальная оценка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Оценить доходность и риск, просадку, оборот, издержки, устойчивость по seed, кооперацию агентов, нарушение ограничений и вычислительную стоимость.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6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Отделить статистический эффект от экономической полезности; описать режимы рынка, где политика деградирует, и ограничения переноса в реальную систему.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7 Воспроизводимые артефакты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Предоставить спецификацию среды, функцию награды, таблицу гиперпараметров, seed, кривые обучения, журнал нарушений и карточку рисков.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Требования к отчету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Обзор 10–15 источников.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Формальная спецификация среды.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Паспорт данных.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Сравнение 7–8 MARL-алгоритмов.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Два контрольных baseline.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Абляции.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Стресс-тест.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Анализ риска и ограничений.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9. </w:t>
      </w:r>
      <w:r>
        <w:rPr>
          <w:rFonts w:ascii="Times New Roman" w:hAnsi="Times New Roman" w:eastAsia="Times New Roman"/>
          <w:sz w:val="28"/>
        </w:rPr>
        <w:t>Вывод для ВКР.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в группе из 2–4 человек. При групповом формате должны быть указаны общий результат, роли, личная гипотеза и подтверждаемый эксперимент каждого участника.</w:t>
      </w:r>
    </w:p>
    <w:p>
      <w:r>
        <w:br w:type="page"/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Все числовые результаты в примере являются демонстрационными. Они показывают структуру отчета, способ сравнения и логику выбора, но не заменяют фактический эксперимент студента.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Название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Мультиагентное управление инвестиционным портфелем с ограничением риска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Сформулировать прикладную задачу как многоагентный процесс принятия решений, сравнить 7–8 алгоритмов и проверить устойчивость стратегии вне обучающего периода.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Данные и источник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S&amp;P 500 OHLCV Stock Data.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https://www.kaggle.com/datasets/jacksaleeby/s-and-p500-historical-data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Открытые дневные котировки используются только как учебный пример. Необходимо зафиксировать версию, состав бумаг, корпоративные действия и риск survivorship bias; итог не является инвестиционной рекомендацией.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 в выполненном примере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строится не как перечень названий, а как сопоставление методов, данных, метрик и ограничений. Ниже показан пример аннотированного обзора; ссылки являются активными.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Lowe et al. Multi-Agent Actor-Critic for Mixed Cooperative-Competitive Environments. NeurIPS 2017. </w:t>
      </w:r>
      <w:r>
        <w:rPr>
          <w:rFonts w:ascii="Times New Roman" w:hAnsi="Times New Roman" w:eastAsia="Times New Roman"/>
          <w:sz w:val="28"/>
        </w:rPr>
        <w:t xml:space="preserve">MADDPG расширяет actor-critic на смешанные кооперативно-конкурентные среды. Работа используется как baseline для непрерывных действий агентов.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Foerster et al. Counterfactual Multi-Agent Policy Gradients. AAAI 2018. </w:t>
      </w:r>
      <w:r>
        <w:rPr>
          <w:rFonts w:ascii="Times New Roman" w:hAnsi="Times New Roman" w:eastAsia="Times New Roman"/>
          <w:sz w:val="28"/>
        </w:rPr>
        <w:t xml:space="preserve">COMA решает задачу credit assignment через контрфактический baseline. Источник помогает объяснить индивидуальный вклад агента в общую награду.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Rashid et al. QMIX. ICML 2018. </w:t>
      </w:r>
      <w:r>
        <w:rPr>
          <w:rFonts w:ascii="Times New Roman" w:hAnsi="Times New Roman" w:eastAsia="Times New Roman"/>
          <w:sz w:val="28"/>
        </w:rPr>
        <w:t xml:space="preserve">QMIX факторизует общую функцию ценности с ограничением монотонности. Алгоритм включен как сильный value-based baseline для кооперации.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Yu et al. The Surprising Effectiveness of PPO in Cooperative Multi-Agent Games. NeurIPS 2022. </w:t>
      </w:r>
      <w:r>
        <w:rPr>
          <w:rFonts w:ascii="Times New Roman" w:hAnsi="Times New Roman" w:eastAsia="Times New Roman"/>
          <w:sz w:val="28"/>
        </w:rPr>
        <w:t xml:space="preserve">Работа систематически оценивает MAPPO и показывает силу PPO в кооперативных средах. Она задает протокол честного сравнения по seed и средам.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Wen et al. Multi-Agent Reinforcement Learning Is a Sequence Modeling Problem. NeurIPS 2022. </w:t>
      </w:r>
      <w:r>
        <w:rPr>
          <w:rFonts w:ascii="Times New Roman" w:hAnsi="Times New Roman" w:eastAsia="Times New Roman"/>
          <w:sz w:val="28"/>
        </w:rPr>
        <w:t xml:space="preserve">Multi-Agent Transformer трактует совместные действия как последовательное моделирование. Источник представляет современную альтернативу классическому CTDE.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Pan et al. MATE: Benchmarking Multi-Agent Reinforcement Learning in Distributed Target Coverage Control. NeurIPS 2022. </w:t>
      </w:r>
      <w:r>
        <w:rPr>
          <w:rFonts w:ascii="Times New Roman" w:hAnsi="Times New Roman" w:eastAsia="Times New Roman"/>
          <w:sz w:val="28"/>
        </w:rPr>
        <w:t xml:space="preserve">MATE предлагает многоагентный benchmark для распределенного управления. Работа полезна как пример спецификации среды и воспроизводимой оценки.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7. Hu et al. MARLlib: A Scalable and Efficient Multi-Agent Reinforcement Learning Library. JMLR 2023. </w:t>
      </w:r>
      <w:r>
        <w:rPr>
          <w:rFonts w:ascii="Times New Roman" w:hAnsi="Times New Roman" w:eastAsia="Times New Roman"/>
          <w:sz w:val="28"/>
        </w:rPr>
        <w:t xml:space="preserve">MARLlib унифицирует интерфейсы, алгоритмы и эксперименты MARL. Репозиторий помогает воспроизводить сравнение при общих настройках.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8. PettingZoo: environments for multi-agent reinforcement learning.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9. FinRL: financial reinforcement learning.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Петренко. Классификация методов многоагентного обучения с подкреплением. </w:t>
      </w:r>
      <w:r>
        <w:rPr>
          <w:rFonts w:ascii="Times New Roman" w:hAnsi="Times New Roman" w:eastAsia="Times New Roman"/>
          <w:sz w:val="28"/>
        </w:rPr>
        <w:t xml:space="preserve">Отечественная работа систематизирует методы многоагентного обучения с подкреплением. Она используется для русскоязычной терминологии и классификации подходов.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11. Минашина и др. Мультиагентное обучение с подкреплением для задач планирования.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12. Динеев, Лукьянченко. Хеджирование с применением обучения с подкреплением. </w:t>
      </w:r>
      <w:r>
        <w:rPr>
          <w:rFonts w:ascii="Times New Roman" w:hAnsi="Times New Roman" w:eastAsia="Times New Roman"/>
          <w:sz w:val="28"/>
        </w:rPr>
        <w:t xml:space="preserve">Исследование демонстрирует применение RL к финансовому управлению. Оно помогает сформулировать ограничения, риск и экономические baseline.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13. Половников, Семенов. Optimal execution с обучением с подкреплением. </w:t>
      </w:r>
      <w:r>
        <w:rPr>
          <w:rFonts w:ascii="Times New Roman" w:hAnsi="Times New Roman" w:eastAsia="Times New Roman"/>
          <w:sz w:val="28"/>
        </w:rPr>
        <w:t xml:space="preserve">Исследование демонстрирует применение RL к финансовому управлению. Оно помогает сформулировать ограничения, риск и экономические baseline. </w:t>
      </w:r>
      <w:hyperlink r:id="rId2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14. S&amp;P 500 OHLCV Stock Data. </w:t>
      </w:r>
      <w:r>
        <w:rPr>
          <w:rFonts w:ascii="Times New Roman" w:hAnsi="Times New Roman" w:eastAsia="Times New Roman"/>
          <w:sz w:val="28"/>
        </w:rPr>
        <w:t xml:space="preserve">Карточка открытого набора фиксирует состав, версии и условия доступа. Перед использованием студент отдельно проверяет лицензию и ограничения выборки.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Анализ и подготовка данных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Из OHLCV сформированы признаки доходности, волатильности, объема и тренда. Состав бумаг фиксируется; отдельно отмечается survivorship bias.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Четыре агента управляют секторами, пятый контролирует общий риск. Действие - целевой вес, состояние содержит только прошлую информацию.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Награда равна логарифмической доходности за вычетом комиссии 10 базисных пунктов, штрафа за волатильность и нарушения лимита концентрации. Используются пять seed и строго временной тест.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Постановка эксперимента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Сквозной пример: четыре агента управляют долями секторов, а пятый агент ограничивает общий риск и концентрацию портфеля.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Состояние включает доходности, волатильность, объем, технические признаки и агрегированную тональность новостей только до момента решения.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Действия задают целевые веса; вознаграждение равно логарифмической доходности за вычетом транзакционных издержек, штрафов за риск и нарушение лимитов.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Разбиение строго временное: ранний период — обучение, следующий — подбор, последний доступный — тест. Параметры не перенастраиваются по тесту.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Сравниваются IPPO, MAPPO, MADDPG, VDN, QMIX, COMA, MAT и MASAC/HAPPO, а также одноагентный PPO и равные веса как контрольные baseline.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Проводятся абляции координатора риска, обмена сообщениями и штрафа за оборот; отдельно моделируются спокойный и стрессовый режимы.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Итог содержит кривую капитала, доверительные интервалы по seed, анализ просадок и объяснение, почему преимущество можно или нельзя считать устойчивым.</w:t>
      </w:r>
    </w:p>
    <w:p>
      <w:r>
        <w:br w:type="page"/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Количественные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показатели качества представлены в таблице. Направление улучшения фиксируется до эксперимента: для F1, MCC, AUROC, доходности и Sharpe больше означает лучше; для ECE, Brier, просадки, нарушений, задержки и разброса меньше означает лучше.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Алгоритм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Доходность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Sharpe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Sortino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Max drawdown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IPPO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14,2%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1,02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1,41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-18,8%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MAPPO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18,4%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1,31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1,86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-14,2%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MADDPG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15,1%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1,05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1,48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-19,6%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VDN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13,6%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0,96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1,33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-17,9%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QMIX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16,7%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1,18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1,66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-15,8%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COMA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14,8%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1,04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1,45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-18,1%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MAT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18,0%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1,28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1,82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-14,7%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HAPPO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17,1%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1,21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1,70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-15,4%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Ресурсные показатели, устойчивость и сводная оценка: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Алгоритм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CVaR 95%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Оборот в год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Нарушения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Средний Sharpe по seed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IPPO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-2,9%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2,1%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1,02 ± 0,14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MAPPO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-2,2%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6,7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1,31 ± 0,08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MADDPG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-3,1%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9,6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2,8%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1,05 ± 0,19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VDN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-2,8%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5,9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1,7%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0,96 ± 0,12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QMIX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-2,4%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6,5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0,9%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1,18 ± 0,10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COMA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-2,9%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2,0%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1,04 ± 0,16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MAT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-2,3%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7,4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1,28 ± 0,11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HAPPO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-2,5%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6,9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0,8%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1,21 ± 0,09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Правило выбора лучшей модели или метода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Алгоритм должен соблюдать лимиты и показывать положительный результат после комиссий. Сводный балл: 35% Sharpe, 20% Sortino, 20% просадка, 10% CVaR, 10% оборот и 5% стабильность по seed.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MAPPO выбирается лучшим: максимальный Sharpe 1,31, Sortino 1,86, наименьшая просадка -14,2% и низкая вариативность 0,08 по пяти seed. MAT близок по качеству, но имеет больший оборот и разброс. Преимущество MAPPO над равновзвешенным портфелем проверяется на полностью отложенном периоде после учета издержек.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 по выполненному примеру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Координация агентов повышает риск-скорректированный результат, но вывод ограничен историческими данными и выбранной моделью издержек. До практического применения нужны walk-forward-проверка и стресс-тест ликвидности.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Список полезных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Google Scholar. </w:t>
      </w:r>
      <w:r>
        <w:rPr>
          <w:rFonts w:ascii="Times New Roman" w:hAnsi="Times New Roman" w:eastAsia="Times New Roman"/>
          <w:sz w:val="28"/>
        </w:rPr>
        <w:t xml:space="preserve">Поиск цитирующих работ, связанных статей и версий публикации. </w:t>
      </w:r>
      <w:hyperlink r:id="rId23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arXiv. </w:t>
      </w:r>
      <w:r>
        <w:rPr>
          <w:rFonts w:ascii="Times New Roman" w:hAnsi="Times New Roman" w:eastAsia="Times New Roman"/>
          <w:sz w:val="28"/>
        </w:rPr>
        <w:t xml:space="preserve">Поиск актуальных препринтов; статус рецензирования проверяется отдельно. </w:t>
      </w:r>
      <w:hyperlink r:id="rId24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Papers with Code. </w:t>
      </w:r>
      <w:r>
        <w:rPr>
          <w:rFonts w:ascii="Times New Roman" w:hAnsi="Times New Roman" w:eastAsia="Times New Roman"/>
          <w:sz w:val="28"/>
        </w:rPr>
        <w:t xml:space="preserve">Связь статей с задачами, наборами данных, метриками и репозиториями. </w:t>
      </w:r>
      <w:hyperlink r:id="rId25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Hugging Face. </w:t>
      </w:r>
      <w:r>
        <w:rPr>
          <w:rFonts w:ascii="Times New Roman" w:hAnsi="Times New Roman" w:eastAsia="Times New Roman"/>
          <w:sz w:val="28"/>
        </w:rPr>
        <w:t xml:space="preserve">Карточки моделей, лицензии, версии весов и примеры применения. </w:t>
      </w:r>
      <w:hyperlink r:id="rId26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Kaggle Datasets. </w:t>
      </w:r>
      <w:r>
        <w:rPr>
          <w:rFonts w:ascii="Times New Roman" w:hAnsi="Times New Roman" w:eastAsia="Times New Roman"/>
          <w:sz w:val="28"/>
        </w:rPr>
        <w:t xml:space="preserve">Открытые наборы данных и их версии; лицензия проверяется в карточке набора. </w:t>
      </w:r>
      <w:hyperlink r:id="rId27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MLflow. </w:t>
      </w:r>
      <w:r>
        <w:rPr>
          <w:rFonts w:ascii="Times New Roman" w:hAnsi="Times New Roman" w:eastAsia="Times New Roman"/>
          <w:sz w:val="28"/>
        </w:rPr>
        <w:t xml:space="preserve">Регистрация параметров, метрик, артефактов и версий экспериментов. </w:t>
      </w:r>
      <w:hyperlink r:id="rId28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7. MARLlib. </w:t>
      </w:r>
      <w:r>
        <w:rPr>
          <w:rFonts w:ascii="Times New Roman" w:hAnsi="Times New Roman" w:eastAsia="Times New Roman"/>
          <w:sz w:val="28"/>
        </w:rPr>
        <w:t xml:space="preserve">Единая библиотека и конфигурации MARL. </w:t>
      </w:r>
      <w:hyperlink r:id="rId29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8. PettingZoo. </w:t>
      </w:r>
      <w:r>
        <w:rPr>
          <w:rFonts w:ascii="Times New Roman" w:hAnsi="Times New Roman" w:eastAsia="Times New Roman"/>
          <w:sz w:val="28"/>
        </w:rPr>
        <w:t xml:space="preserve">Стандартизованные многоагентные среды.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jacksaleeby/s-and-p500-historical-data" TargetMode="External"/><Relationship Id="rId10" Type="http://schemas.openxmlformats.org/officeDocument/2006/relationships/hyperlink" Target="https://proceedings.neurips.cc/paper/2017/hash/68a9750337a418a86fe06c1991a1d64c-Abstract.html" TargetMode="External"/><Relationship Id="rId11" Type="http://schemas.openxmlformats.org/officeDocument/2006/relationships/hyperlink" Target="https://ojs.aaai.org/index.php/AAAI/article/view/11794" TargetMode="External"/><Relationship Id="rId12" Type="http://schemas.openxmlformats.org/officeDocument/2006/relationships/hyperlink" Target="https://proceedings.mlr.press/v80/rashid18a.html" TargetMode="External"/><Relationship Id="rId13" Type="http://schemas.openxmlformats.org/officeDocument/2006/relationships/hyperlink" Target="https://proceedings.neurips.cc/paper_files/paper/2022/hash/9c1535a02f0ce079433344e14d910597-Abstract-Conference.html" TargetMode="External"/><Relationship Id="rId14" Type="http://schemas.openxmlformats.org/officeDocument/2006/relationships/hyperlink" Target="https://proceedings.neurips.cc/paper_files/paper/2022/hash/69413f87e5a34897cd010ca698097d0a-Abstract-Conference.html" TargetMode="External"/><Relationship Id="rId15" Type="http://schemas.openxmlformats.org/officeDocument/2006/relationships/hyperlink" Target="https://proceedings.neurips.cc/paper_files/paper/2022/hash/b2a1c152f14a4b842a9ddb3bd84c62a1-Abstract-Datasets_and_Benchmarks.html" TargetMode="External"/><Relationship Id="rId16" Type="http://schemas.openxmlformats.org/officeDocument/2006/relationships/hyperlink" Target="https://www.jmlr.org/beta/papers/v24/23-0378.html" TargetMode="External"/><Relationship Id="rId17" Type="http://schemas.openxmlformats.org/officeDocument/2006/relationships/hyperlink" Target="https://pettingzoo.farama.org/" TargetMode="External"/><Relationship Id="rId18" Type="http://schemas.openxmlformats.org/officeDocument/2006/relationships/hyperlink" Target="https://github.com/AI4Finance-Foundation/FinRL" TargetMode="External"/><Relationship Id="rId19" Type="http://schemas.openxmlformats.org/officeDocument/2006/relationships/hyperlink" Target="https://www.mathnet.ru/izkab354" TargetMode="External"/><Relationship Id="rId20" Type="http://schemas.openxmlformats.org/officeDocument/2006/relationships/hyperlink" Target="https://www.mathnet.ru/danma340" TargetMode="External"/><Relationship Id="rId21" Type="http://schemas.openxmlformats.org/officeDocument/2006/relationships/hyperlink" Target="https://www.mathnet.ru/rus/danma692" TargetMode="External"/><Relationship Id="rId22" Type="http://schemas.openxmlformats.org/officeDocument/2006/relationships/hyperlink" Target="https://www.mathnet.ru/rus/ubs1354" TargetMode="External"/><Relationship Id="rId23" Type="http://schemas.openxmlformats.org/officeDocument/2006/relationships/hyperlink" Target="https://scholar.google.com/" TargetMode="External"/><Relationship Id="rId24" Type="http://schemas.openxmlformats.org/officeDocument/2006/relationships/hyperlink" Target="https://arxiv.org/" TargetMode="External"/><Relationship Id="rId25" Type="http://schemas.openxmlformats.org/officeDocument/2006/relationships/hyperlink" Target="https://paperswithcode.com/" TargetMode="External"/><Relationship Id="rId26" Type="http://schemas.openxmlformats.org/officeDocument/2006/relationships/hyperlink" Target="https://huggingface.co/models" TargetMode="External"/><Relationship Id="rId27" Type="http://schemas.openxmlformats.org/officeDocument/2006/relationships/hyperlink" Target="https://www.kaggle.com/datasets" TargetMode="External"/><Relationship Id="rId28" Type="http://schemas.openxmlformats.org/officeDocument/2006/relationships/hyperlink" Target="https://mlflow.org/docs/latest/index.html" TargetMode="External"/><Relationship Id="rId29" Type="http://schemas.openxmlformats.org/officeDocument/2006/relationships/hyperlink" Target="https://marllib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Мультиагентное обучение с подкреплением в задаче ВКР</dc:title>
  <dc:subject>Лабораторная работа по дисциплине Прикладные задачи машинного обучения</dc:subject>
  <dc:creator>Никитин Петр Владимирович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