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4 Методы оптимизации и стохастические процессы в эксперименте ВКР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Сравнить 7–8 оптимизаторов в контролируемом ML-эксперименте и исследовать влияние стохастики данных, инициализации и рыночных режимов на выводы ВКР.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Исследовательский обзор.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Данные и источники случайности.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Сравнение 7–8 методов.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Применение лучшего метода.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Стохастический анализ.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Вывод.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Воспроизводимые артефакты.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1 Исследовательский обзор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Отобрать 10–15 первичных работ по стохастической оптимизации, адаптивным методам, обобщению, высоковероятностным оценкам и шуму Маркова; связать предпосылки теории с экспериментом ВКР.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аналитический обзор 10–15 источников, сравнительная матрица и сформулированный исследовательский разрыв.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2 Данные и источники случайности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Провести анализ классов, длины текста и дубликатов; зафиксировать split. Перечислить источники случайности: mini-batch, seed, dropout, порядок данных, инициализация и режим временного ряда.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паспорт данных, описательная статистика, перечень проблем качества и обоснованная схема предобработки и разбиения.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3 Сравнение 7–8 методов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Зафиксировать архитектуру, данные, число шагов, scheduler и бюджет. Настраивать learning rate по одинаковой процедуре, повторить каждый вариант минимум на пяти seed.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единый экспериментальный протокол, таблица сравнения, доверительные интервалы и журнал параметров.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4 Применение лучшего метода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Использовать выбранный оптимизатор в модели из лабораторной 1 или 2 и проверить, сохраняется ли выигрыш при переходе к задаче ВКР.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5 Стохастический анализ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Оценить шум градиента, распределение итоговых метрик и чувствительность. Для финансового примера добавить bootstrap блоков и сценарии GBM/OU/GARCH или Markov-switching с явно оговоренными допущениями.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6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Разделить скорость сходимости, качество на валидации и качество обобщения; не объявлять метод лучшим без доверительных интервалов и учета ресурсов.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7 Воспроизводимые артефакты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Предоставить бюджет, сетку параметров, seed, логи сходимости, статистический протокол, графики распределений и журнал нестабильных запусков.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Требования к отчету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Обзор 10–15 источников.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Карта источников случайности.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Паспорт данных.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Сравнение 7–8 оптимизаторов.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Пять и более seed.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Sensitivity-анализ.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Стохастические сценарии.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Перенос лучшего метода.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9. </w:t>
      </w:r>
      <w:r>
        <w:rPr>
          <w:rFonts w:ascii="Times New Roman" w:hAnsi="Times New Roman" w:eastAsia="Times New Roman"/>
          <w:sz w:val="28"/>
        </w:rPr>
        <w:t>Обоснованный вывод.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в группе из 2–4 человек. При групповом формате должны быть указаны общий результат, роли, личная гипотеза и подтверждаемый эксперимент каждого участника.</w:t>
      </w:r>
    </w:p>
    <w:p>
      <w:r>
        <w:br w:type="page"/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Все числовые результаты в примере являются демонстрационными. Они показывают структуру отчета, способ сравнения и логику выбора, но не заменяют фактический эксперимент студента.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Название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Сравнение оптимизаторов и устойчивости обучения модели финансовой тональности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Сравнить 7–8 оптимизаторов в контролируемом ML-эксперименте и исследовать влияние стохастики данных, инициализации и рыночных режимов на выводы ВКР.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Данные и источник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Financial Sentiment Analysis и S&amp;P 500 OHLCV Stock Data.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https://www.kaggle.com/datasets/sbhatti/financial-sentiment-analysis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Текстовый набор применяется для контролируемого обучения одной архитектуры; OHLCV — для анализа временной зависимости и стресс-сценариев. Дополнительный набор: https://www.kaggle.com/datasets/jacksaleeby/s-and-p500-historical-data.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 в выполненном примере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строится не как перечень названий, а как сопоставление методов, данных, метрик и ограничений. Ниже показан пример аннотированного обзора; ссылки являются активными.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Robbins, Monro. A Stochastic Approximation Method. </w:t>
      </w:r>
      <w:r>
        <w:rPr>
          <w:rFonts w:ascii="Times New Roman" w:hAnsi="Times New Roman" w:eastAsia="Times New Roman"/>
          <w:sz w:val="28"/>
        </w:rPr>
        <w:t xml:space="preserve">Классическая работа формулирует стохастическую аппроксимацию, лежащую в основе SGD. Она задает теоретическую отправную точку лабораторной.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Duchi et al. Adaptive Subgradient Methods for Online Learning and Stochastic Optimization. JMLR 2011. </w:t>
      </w:r>
      <w:r>
        <w:rPr>
          <w:rFonts w:ascii="Times New Roman" w:hAnsi="Times New Roman" w:eastAsia="Times New Roman"/>
          <w:sz w:val="28"/>
        </w:rPr>
        <w:t xml:space="preserve">AdaGrad адаптирует шаг к накопленной истории градиентов. Источник используется для объяснения преимуществ и ограничений координатной адаптации.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Kingma, Ba. Adam: A Method for Stochastic Optimization. ICLR 2015. </w:t>
      </w:r>
      <w:r>
        <w:rPr>
          <w:rFonts w:ascii="Times New Roman" w:hAnsi="Times New Roman" w:eastAsia="Times New Roman"/>
          <w:sz w:val="28"/>
        </w:rPr>
        <w:t xml:space="preserve">Adam объединяет оценки первого и второго моментов градиента. Работа служит основным адаптивным baseline.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Loshchilov, Hutter. Decoupled Weight Decay Regularization. ICLR 2019. </w:t>
      </w:r>
      <w:r>
        <w:rPr>
          <w:rFonts w:ascii="Times New Roman" w:hAnsi="Times New Roman" w:eastAsia="Times New Roman"/>
          <w:sz w:val="28"/>
        </w:rPr>
        <w:t xml:space="preserve">AdamW отделяет weight decay от градиентного обновления. Источник обосновывает сравнение Adam и AdamW при одинаковой регуляризации.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Liu et al. On the Variance of the Adaptive Learning Rate and Beyond. ICLR 2020. </w:t>
      </w:r>
      <w:r>
        <w:rPr>
          <w:rFonts w:ascii="Times New Roman" w:hAnsi="Times New Roman" w:eastAsia="Times New Roman"/>
          <w:sz w:val="28"/>
        </w:rPr>
        <w:t xml:space="preserve">RAdam анализирует дисперсию адаптивного learning rate и предлагает rectification. Работа включена для исследования стабильности ранних шагов.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Zhuang et al. AdaBelief Optimizer. NeurIPS 2020. </w:t>
      </w:r>
      <w:r>
        <w:rPr>
          <w:rFonts w:ascii="Times New Roman" w:hAnsi="Times New Roman" w:eastAsia="Times New Roman"/>
          <w:sz w:val="28"/>
        </w:rPr>
        <w:t xml:space="preserve">AdaBelief масштабирует шаг с учетом расхождения градиента и его прогноза. Источник нужен для сравнения качества и устойчивости адаптивных методов.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7. Mandt et al. Stochastic Gradient Descent as Approximate Bayesian Inference. JMLR. </w:t>
      </w:r>
      <w:r>
        <w:rPr>
          <w:rFonts w:ascii="Times New Roman" w:hAnsi="Times New Roman" w:eastAsia="Times New Roman"/>
          <w:sz w:val="28"/>
        </w:rPr>
        <w:t xml:space="preserve">MATE предлагает многоагентный benchmark для распределенного управления. Работа полезна как пример спецификации среды и воспроизводимой оценки.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8. Chen et al. Symbolic Discovery of Optimization Algorithms (Lion). </w:t>
      </w:r>
      <w:r>
        <w:rPr>
          <w:rFonts w:ascii="Times New Roman" w:hAnsi="Times New Roman" w:eastAsia="Times New Roman"/>
          <w:sz w:val="28"/>
        </w:rPr>
        <w:t xml:space="preserve">Lion получен автоматизированным поиском правил оптимизации. Источник представляет современный класс компактных update-правил.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9. Гасников, Нестеров. Универсальные методы стохастической композитной оптимизации. </w:t>
      </w:r>
      <w:r>
        <w:rPr>
          <w:rFonts w:ascii="Times New Roman" w:hAnsi="Times New Roman" w:eastAsia="Times New Roman"/>
          <w:sz w:val="28"/>
        </w:rPr>
        <w:t xml:space="preserve">Отечественная работа рассматривает универсальные стохастические методы и условия сходимости. Она связывает эксперимент с российской школой оптимизации.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Accelerated stochastic gradient descent with Markovian noise. </w:t>
      </w:r>
      <w:r>
        <w:rPr>
          <w:rFonts w:ascii="Times New Roman" w:hAnsi="Times New Roman" w:eastAsia="Times New Roman"/>
          <w:sz w:val="28"/>
        </w:rPr>
        <w:t xml:space="preserve">Исследование анализирует ускоренный SGD при марковском шуме. Оно важно для временных данных, где наблюдения не являются независимыми.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11. High-probability complexity bounds for stochastic convex optimization. </w:t>
      </w:r>
      <w:r>
        <w:rPr>
          <w:rFonts w:ascii="Times New Roman" w:hAnsi="Times New Roman" w:eastAsia="Times New Roman"/>
          <w:sz w:val="28"/>
        </w:rPr>
        <w:t xml:space="preserve">Работа дает высоковероятностные оценки сложности стохастической оптимизации. Источник обосновывает анализ разброса и доверительных границ. </w:t>
      </w:r>
      <w:hyperlink r:id="rId20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12. PyTorch optimizers documentation.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13. Financial Sentiment Analysis.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14. S&amp;P 500 OHLCV Stock Data. </w:t>
      </w:r>
      <w:r>
        <w:rPr>
          <w:rFonts w:ascii="Times New Roman" w:hAnsi="Times New Roman" w:eastAsia="Times New Roman"/>
          <w:sz w:val="28"/>
        </w:rPr>
        <w:t xml:space="preserve">Карточка открытого набора фиксирует состав, версии и условия доступа. Перед использованием студент отдельно проверяет лицензию и ограничения выборки. </w:t>
      </w:r>
      <w:hyperlink r:id="rId22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Анализ и подготовка данных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Используется одна архитектура классификатора, одно разбиение и одинаковое число обновлений. Меняется только оптимизатор и согласованно настроенный learning rate.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Каждый вариант запускается на пяти seed. Записываются loss, Macro-F1, норма градиента, время, память, калибровка и факт нестабильности.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Для временной части применяются блочный bootstrap и стресс-сценарии; зависимые наблюдения не перемешиваются как независимые.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Постановка эксперимента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Фиксируется один компактный текстовый классификатор финансовой тональности; изменяется только оптимизатор и его согласованно настроенный learning rate.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SGD, Momentum, Nesterov, AdaGrad, RMSprop, Adam, AdamW и RAdam/AdaBelief получают одинаковое число обновлений и одинаковый лимит времени и памяти.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Каждый запуск повторяется на пяти или более seed. Сохраняются loss, macro-F1, градиентные нормы, время, память и факт расходимости.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Лучший метод выбирается по Pareto-компромиссу качества, времени и стабильности, а не по одной максимальной точке.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Для проверки случайных режимов применяется блочный bootstrap временного ряда и синтетические сценарии с явно заданными параметрами; синтетика не заменяет реальный тест.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Проводится sensitivity-анализ learning rate, batch size и weight decay; результаты отображаются доверительными интервалами и rank-диаграммой.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Выбранный оптимизатор переносится в адаптацию модели из лабораторной 1; сравнивается, сохранилось ли преимущество на конечной задаче ВКР.</w:t>
      </w:r>
    </w:p>
    <w:p>
      <w:r>
        <w:br w:type="page"/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Количественные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показатели качества представлены в таблице. Направление улучшения фиксируется до эксперимента: для F1, MCC, AUROC, доходности и Sharpe больше означает лучше; для ECE, Brier, просадки, нарушений, задержки и разброса меньше означает лучше.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Оптимизатор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Macro-F1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Шагов до 0,82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Время, мин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Разброс F1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SGD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0,823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8 900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52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0,009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SGD + Momentum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0,837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6 200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45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0,007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Nesterov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5 800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0,006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AdaGrad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0,818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7 600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0,010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RMSprop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0,835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5 100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0,008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Adam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3 900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0,006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AdamW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3 800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0,004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AdaBelief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4 300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0,011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Ресурсные показатели, устойчивость и сводная оценка: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Оптимизатор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ECE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Память, ГБ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Нестабильные запуски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Сводный балл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SGD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0,058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0,776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SGD + Momentum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0,050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0,811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Nesterov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0,048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0,821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AdaGrad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0,062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RMSprop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0,051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0,801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Adam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0,043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0,839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AdamW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0,039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AdaBelief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0,041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8,7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1/5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0,833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Правило выбора лучшей модели или метода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Кандидат не должен иметь расходимости более чем в одном из пяти запусков. Сводный балл: 40% средний Macro-F1, 20% разброс, 15% калибровка, 15% время до целевого качества и 10% память.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AdamW выбирается лучшим, хотя AdaBelief имеет на 0,003 более высокий единичный Macro-F1. AdamW дает меньший разброс 0,004, лучшую калибровку 0,039, не имеет нестабильных запусков и получает максимальный сводный балл 0,851. Это иллюстрирует, почему нельзя выбирать оптимизатор по одному лучшему запуску.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 по выполненному примеру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AdamW обеспечивает лучший воспроизводимый компромисс. Максимальное единичное значение AdaBelief не является достаточным основанием из-за более высокого разброса и нестабильного запуска.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Список полезных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Google Scholar. </w:t>
      </w:r>
      <w:r>
        <w:rPr>
          <w:rFonts w:ascii="Times New Roman" w:hAnsi="Times New Roman" w:eastAsia="Times New Roman"/>
          <w:sz w:val="28"/>
        </w:rPr>
        <w:t xml:space="preserve">Поиск цитирующих работ, связанных статей и версий публикации. </w:t>
      </w:r>
      <w:hyperlink r:id="rId23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arXiv. </w:t>
      </w:r>
      <w:r>
        <w:rPr>
          <w:rFonts w:ascii="Times New Roman" w:hAnsi="Times New Roman" w:eastAsia="Times New Roman"/>
          <w:sz w:val="28"/>
        </w:rPr>
        <w:t xml:space="preserve">Поиск актуальных препринтов; статус рецензирования проверяется отдельно. </w:t>
      </w:r>
      <w:hyperlink r:id="rId24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Papers with Code. </w:t>
      </w:r>
      <w:r>
        <w:rPr>
          <w:rFonts w:ascii="Times New Roman" w:hAnsi="Times New Roman" w:eastAsia="Times New Roman"/>
          <w:sz w:val="28"/>
        </w:rPr>
        <w:t xml:space="preserve">Связь статей с задачами, наборами данных, метриками и репозиториями. </w:t>
      </w:r>
      <w:hyperlink r:id="rId25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Hugging Face. </w:t>
      </w:r>
      <w:r>
        <w:rPr>
          <w:rFonts w:ascii="Times New Roman" w:hAnsi="Times New Roman" w:eastAsia="Times New Roman"/>
          <w:sz w:val="28"/>
        </w:rPr>
        <w:t xml:space="preserve">Карточки моделей, лицензии, версии весов и примеры применения. </w:t>
      </w:r>
      <w:hyperlink r:id="rId26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Kaggle Datasets. </w:t>
      </w:r>
      <w:r>
        <w:rPr>
          <w:rFonts w:ascii="Times New Roman" w:hAnsi="Times New Roman" w:eastAsia="Times New Roman"/>
          <w:sz w:val="28"/>
        </w:rPr>
        <w:t xml:space="preserve">Открытые наборы данных и их версии; лицензия проверяется в карточке набора. </w:t>
      </w:r>
      <w:hyperlink r:id="rId27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MLflow. </w:t>
      </w:r>
      <w:r>
        <w:rPr>
          <w:rFonts w:ascii="Times New Roman" w:hAnsi="Times New Roman" w:eastAsia="Times New Roman"/>
          <w:sz w:val="28"/>
        </w:rPr>
        <w:t xml:space="preserve">Регистрация параметров, метрик, артефактов и версий экспериментов. </w:t>
      </w:r>
      <w:hyperlink r:id="rId28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7. PyTorch optim. </w:t>
      </w:r>
      <w:r>
        <w:rPr>
          <w:rFonts w:ascii="Times New Roman" w:hAnsi="Times New Roman" w:eastAsia="Times New Roman"/>
          <w:sz w:val="28"/>
        </w:rPr>
        <w:t xml:space="preserve">Официальная документация оптимизаторов. </w:t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8. Optuna. </w:t>
      </w:r>
      <w:r>
        <w:rPr>
          <w:rFonts w:ascii="Times New Roman" w:hAnsi="Times New Roman" w:eastAsia="Times New Roman"/>
          <w:sz w:val="28"/>
        </w:rPr>
        <w:t xml:space="preserve">Воспроизводимая настройка гиперпараметров. </w:t>
      </w:r>
      <w:hyperlink r:id="rId29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sbhatti/financial-sentiment-analysis" TargetMode="External"/><Relationship Id="rId10" Type="http://schemas.openxmlformats.org/officeDocument/2006/relationships/hyperlink" Target="https://projecteuclid.org/journals/annals-of-mathematical-statistics/volume-22/issue-3/A-Stochastic-Approximation-Method/10.1214/aoms/1177729586.full" TargetMode="External"/><Relationship Id="rId11" Type="http://schemas.openxmlformats.org/officeDocument/2006/relationships/hyperlink" Target="https://jmlr.org/papers/v12/duchi11a.html" TargetMode="External"/><Relationship Id="rId12" Type="http://schemas.openxmlformats.org/officeDocument/2006/relationships/hyperlink" Target="https://arxiv.org/abs/1412.6980" TargetMode="External"/><Relationship Id="rId13" Type="http://schemas.openxmlformats.org/officeDocument/2006/relationships/hyperlink" Target="https://openreview.net/forum?id=Bkg6RiCqY7" TargetMode="External"/><Relationship Id="rId14" Type="http://schemas.openxmlformats.org/officeDocument/2006/relationships/hyperlink" Target="https://openreview.net/forum?id=rkgz2aEKDr" TargetMode="External"/><Relationship Id="rId15" Type="http://schemas.openxmlformats.org/officeDocument/2006/relationships/hyperlink" Target="https://proceedings.neurips.cc/paper/2020/hash/d9d4f495e875a2e075a1a4a6e1b9770f-Abstract.html" TargetMode="External"/><Relationship Id="rId16" Type="http://schemas.openxmlformats.org/officeDocument/2006/relationships/hyperlink" Target="https://jmlr.org/papers/v18/17-214.html" TargetMode="External"/><Relationship Id="rId17" Type="http://schemas.openxmlformats.org/officeDocument/2006/relationships/hyperlink" Target="https://arxiv.org/abs/2302.06675" TargetMode="External"/><Relationship Id="rId18" Type="http://schemas.openxmlformats.org/officeDocument/2006/relationships/hyperlink" Target="https://www.mathnet.ru/eng/zvmmf10659" TargetMode="External"/><Relationship Id="rId19" Type="http://schemas.openxmlformats.org/officeDocument/2006/relationships/hyperlink" Target="https://arxiv.org/abs/2406.05474" TargetMode="External"/><Relationship Id="rId20" Type="http://schemas.openxmlformats.org/officeDocument/2006/relationships/hyperlink" Target="https://arxiv.org/abs/2302.00999" TargetMode="External"/><Relationship Id="rId21" Type="http://schemas.openxmlformats.org/officeDocument/2006/relationships/hyperlink" Target="https://pytorch.org/docs/stable/optim.html" TargetMode="External"/><Relationship Id="rId22" Type="http://schemas.openxmlformats.org/officeDocument/2006/relationships/hyperlink" Target="https://www.kaggle.com/datasets/jacksaleeby/s-and-p500-historical-data" TargetMode="External"/><Relationship Id="rId23" Type="http://schemas.openxmlformats.org/officeDocument/2006/relationships/hyperlink" Target="https://scholar.google.com/" TargetMode="External"/><Relationship Id="rId24" Type="http://schemas.openxmlformats.org/officeDocument/2006/relationships/hyperlink" Target="https://arxiv.org/" TargetMode="External"/><Relationship Id="rId25" Type="http://schemas.openxmlformats.org/officeDocument/2006/relationships/hyperlink" Target="https://paperswithcode.com/" TargetMode="External"/><Relationship Id="rId26" Type="http://schemas.openxmlformats.org/officeDocument/2006/relationships/hyperlink" Target="https://huggingface.co/models" TargetMode="External"/><Relationship Id="rId27" Type="http://schemas.openxmlformats.org/officeDocument/2006/relationships/hyperlink" Target="https://www.kaggle.com/datasets" TargetMode="External"/><Relationship Id="rId28" Type="http://schemas.openxmlformats.org/officeDocument/2006/relationships/hyperlink" Target="https://mlflow.org/docs/latest/index.html" TargetMode="External"/><Relationship Id="rId29" Type="http://schemas.openxmlformats.org/officeDocument/2006/relationships/hyperlink" Target="https://optun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Методы оптимизации и стохастические процессы в эксперименте ВКР</dc:title>
  <dc:subject>Лабораторная работа по дисциплине Прикладные задачи машинного обучения</dc:subject>
  <dc:creator>Никитин Петр Владимирович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