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5 Защита исследовательского проекта по теме ВКР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Собрать результаты лабораторных 1–4 в доказательный проект, составляющий существенную часть экспериментальной главы ВКР, и публично защитить выбор методов и достоверность выводов.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Исследовательская постановка.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Синтез литературы.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Данные и метод.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Экспериментальные результаты.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Ценность и ответственность.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Защита.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Архивация.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1 Исследовательская постановка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Сформулировать проблему, объект, предмет, цель, 2–4 гипотезы, научную новизну и практическую значимость для ВКР.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2 Синтез литературы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Объединить и дедуплицировать обзоры лабораторных; выделить 25–40 наиболее релевантных первичных источников и показать исследовательский разрыв.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паспорт данных, описательная статистика, перечень проблем качества и обоснованная схема предобработки и разбиения.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3 Данные и метод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Представить data card, поток предобработки, архитектуру решения, baseline, протокол split, метрики, вычислительный бюджет и угрозы валидности.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Результат этапа: единый экспериментальный протокол, таблица сравнения, доверительные интервалы и журнал параметров.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4 Экспериментальные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Показать итоговую сравнительную таблицу, доверительные интервалы, абляции, анализ ошибок и отрицательные результаты. Не скрывать неудачные запуски.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5 Ценность и ответственность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Объяснить влияние на процесс принятия решений, ограничения автоматизации, конфиденциальность, смещения, безопасность и границы применения.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6 Защита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Подготовить 12–15 слайдов и демонстрационный сценарий: 15–20 минут доклада и до 10 минут вопросов. Это защита проекта, а не хакатон.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7 Архивация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Сдать отчет, презентацию, таблицу литературы, паспорт эксперимента, журнал вкладов, приложение с результатами и ссылку на репозиторий/архив артефактов.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Требования к отчету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Отчет проекта.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Презентация 12–15 слайдов.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Матрица 25–40 источников.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Data card.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Паспорт эксперимента.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Сравнительная таблица.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Абляции и анализ ошибок.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Демо-сценарий.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9. </w:t>
      </w:r>
      <w:r>
        <w:rPr>
          <w:rFonts w:ascii="Times New Roman" w:hAnsi="Times New Roman" w:eastAsia="Times New Roman"/>
          <w:sz w:val="28"/>
        </w:rPr>
        <w:t>Журнал вкладов.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</w:t>
      </w:r>
      <w:r>
        <w:rPr>
          <w:rFonts w:ascii="Times New Roman" w:hAnsi="Times New Roman" w:eastAsia="Times New Roman"/>
          <w:sz w:val="28"/>
        </w:rPr>
        <w:t>Архив артефактов.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в группе из 2–4 человек. При групповом формате должны быть указаны общий результат, роли, личная гипотеза и подтверждаемый эксперимент каждого участника.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Обязательная итоговая архитектура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Сбор и валидация финансовых новостей и котировок.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LLM-модуль определения тональности и извлечения событий.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Мультимодальный модуль объединения текста, числового ряда и изображения графика.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Мультиагентный модуль распределения капитала между секторами.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Контроллер риска, ограничения, журналирование и объяснение решения человеку.</w:t>
      </w:r>
    </w:p>
    <w:p>
      <w:r>
        <w:br w:type="page"/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Все числовые результаты в примере являются демонстрационными. Они показывают структуру отчета, способ сравнения и логику выбора, но не заменяют фактический эксперимент студента.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Название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Мультимодальная система анализа финансовых новостей и управления портфелем с контролем риска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Собрать результаты лабораторных 1–4 в доказательный проект, составляющий существенную часть экспериментальной главы ВКР, и публично защитить выбор методов и достоверность выводов.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Данные и источник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Набор(ы) данных проекта из лабораторных 1–4.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https://www.kaggle.com/datasets/sbhatti/financial-sentiment-analysis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Разрешено выбрать другой открытый набор, если он лучше соответствует ВКР. В отчете обязательны постоянная ссылка, версия, лицензия, дата доступа, ограничения и правила формирования выборки.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 в выполненном примере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строится не как перечень названий, а как сопоставление методов, данных, метрик и ограничений. Ниже показан пример аннотированного обзора; ссылки являются активными.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NeurIPS Paper Checklist Guidelines. </w:t>
      </w:r>
      <w:r>
        <w:rPr>
          <w:rFonts w:ascii="Times New Roman" w:hAnsi="Times New Roman" w:eastAsia="Times New Roman"/>
          <w:sz w:val="28"/>
        </w:rPr>
        <w:t xml:space="preserve">Чек-лист NeurIPS охватывает воспроизводимость, статистику, вычислительные ресурсы и этику. Он применяется как контроль полноты защиты.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ACM Artifact Review and Badging. </w:t>
      </w:r>
      <w:r>
        <w:rPr>
          <w:rFonts w:ascii="Times New Roman" w:hAnsi="Times New Roman" w:eastAsia="Times New Roman"/>
          <w:sz w:val="28"/>
        </w:rPr>
        <w:t xml:space="preserve">ACM Artifact Review определяет требования к доступности, функциональности и воспроизводимости артефактов. Он используется для подготовки архива проекта.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Datasheets for Datasets. </w:t>
      </w:r>
      <w:r>
        <w:rPr>
          <w:rFonts w:ascii="Times New Roman" w:hAnsi="Times New Roman" w:eastAsia="Times New Roman"/>
          <w:sz w:val="28"/>
        </w:rPr>
        <w:t xml:space="preserve">Datasheets for Datasets предлагает стандарт документирования происхождения, состава и ограничений данных. Формат применяется в паспорте набора.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Model Cards for Model Reporting. </w:t>
      </w:r>
      <w:r>
        <w:rPr>
          <w:rFonts w:ascii="Times New Roman" w:hAnsi="Times New Roman" w:eastAsia="Times New Roman"/>
          <w:sz w:val="28"/>
        </w:rPr>
        <w:t xml:space="preserve">Model Cards описывает структуру отчета о назначении, метриках и ограничениях модели. Подход используется в финальной документации проекта.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NIST AI Risk Management Framework. </w:t>
      </w:r>
      <w:r>
        <w:rPr>
          <w:rFonts w:ascii="Times New Roman" w:hAnsi="Times New Roman" w:eastAsia="Times New Roman"/>
          <w:sz w:val="28"/>
        </w:rPr>
        <w:t xml:space="preserve">NIST AI RMF систематизирует управление рисками ИИ. Источник помогает оформить риски, меры контроля и роль человека.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Papers with Code.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7. Hugging Face model hub.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8. Google Scholar.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9. arXiv. </w:t>
      </w:r>
      <w:r>
        <w:rPr>
          <w:rFonts w:ascii="Times New Roman" w:hAnsi="Times New Roman" w:eastAsia="Times New Roman"/>
          <w:sz w:val="28"/>
        </w:rPr>
        <w:t xml:space="preserve">Источник раскрывает современный метод, данные или практику воспроизводимости, непосредственно относящуюся к постановке лабораторной работы.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Kaggle Datasets. </w:t>
      </w:r>
      <w:r>
        <w:rPr>
          <w:rFonts w:ascii="Times New Roman" w:hAnsi="Times New Roman" w:eastAsia="Times New Roman"/>
          <w:sz w:val="28"/>
        </w:rPr>
        <w:t xml:space="preserve">Карточка открытого набора фиксирует состав, версии и условия доступа. Перед использованием студент отдельно проверяет лицензию и ограничения выборки.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Ссылка</w:t>
        </w:r>
      </w:hyperlink>
    </w:p>
    <w:p>
      <w:r>
        <w:br w:type="page"/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Обобщение результатов лабораторных работ 1–4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Этап</w:t>
            </w:r>
          </w:p>
        </w:tc>
        <w:tc>
          <w:tcPr>
            <w:tcW w:type="dxa" w:w="209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Лучшее решение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Демонстрационный результат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Место в системе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1. LLM</w:t>
            </w:r>
          </w:p>
        </w:tc>
        <w:tc>
          <w:tcPr>
            <w:tcW w:type="dxa" w:w="209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Qwen2.5-7B-Instruct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Macro-F1 0,856; F1 negative 0,831; ECE 0,036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Модуль тональности и событий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2. Мультимодальность</w:t>
            </w:r>
          </w:p>
        </w:tc>
        <w:tc>
          <w:tcPr>
            <w:tcW w:type="dxa" w:w="209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Qwen2.5-VL-7B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Macro-F1 0,704; прирост +0,043; Brier 0,187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Объединение новости и графика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3. MARL</w:t>
            </w:r>
          </w:p>
        </w:tc>
        <w:tc>
          <w:tcPr>
            <w:tcW w:type="dxa" w:w="209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MAPPO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Доходность 18,4%; Sharpe 1,31; MDD -14,2%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Распределение портфеля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4. Оптимизация</w:t>
            </w:r>
          </w:p>
        </w:tc>
        <w:tc>
          <w:tcPr>
            <w:tcW w:type="dxa" w:w="209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AdamW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Macro-F1 0,849; разброс 0,004; ECE 0,039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Стабильное обучение компонентов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Итоговая архитектура выполненного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На вход поступают новость, тикер, время публикации и окно OHLCV до этого момента.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Qwen2.5-7B формирует тональность, уверенность и структурированное описание события. Ответ валидируется по схеме.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Qwen2.5-VL объединяет текст с изображением графика; числовой baseline добавляется поздним слиянием.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MAPPO получает агрегированные признаки и предлагает секторные веса. Контроллер отклоняет действия, нарушающие лимит риска и концентрации.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Все компоненты обучаются или адаптируются с AdamW, версии и метрики фиксируются в журнале экспериментов.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Человек получает прогноз, источник данных, уверенность, вклад модальностей и предупреждение об ограничениях. Система не исполняет торговую рекомендацию автоматически.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Итоговые выводы выполненного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На демонстрационных результатах наибольший подтвержденный вклад дает качественный текстовый модуль. Мультимодальность добавляет 0,043 Macro-F1 относительно text-only, а MAPPO улучшает риск-скорректированную эффективность при меньшей просадке. AdamW выбран из-за стабильности, а не максимума отдельного запуска.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Главное ограничение связано с внешней валидностью: историческая доходность не гарантирует будущий результат, текущий состав индекса создает survivorship bias, а новостной корпус может содержать временные и языковые смещения. Поэтому вывод проекта формулируется как исследовательский, а не инвестиционный.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Что студент должен представить на защите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Единую постановку ВКР и 2–4 проверяемые гипотезы.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Матрицу 25–40 наиболее релевантных источников из четырех обзоров без дубликатов.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Паспорт данных, временную границу, предобработку и анализ утечек.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Сводную таблицу лучших и отрицательных результатов всех четырех работ.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Итоговую архитектуру, интерфейсы компонентов и обоснование выбора.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Абляции, доверительные интервалы, анализ ошибок, стоимость и latency.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Риски, этику, ограничения автоматизации и роль человека.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Презентацию 12–15 слайдов, демонстрацию и индивидуальный журнал вклада.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Список полезных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1. Google Scholar. </w:t>
      </w:r>
      <w:r>
        <w:rPr>
          <w:rFonts w:ascii="Times New Roman" w:hAnsi="Times New Roman" w:eastAsia="Times New Roman"/>
          <w:sz w:val="28"/>
        </w:rPr>
        <w:t xml:space="preserve">Поиск цитирующих работ, связанных статей и версий публикации.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2. arXiv. </w:t>
      </w:r>
      <w:r>
        <w:rPr>
          <w:rFonts w:ascii="Times New Roman" w:hAnsi="Times New Roman" w:eastAsia="Times New Roman"/>
          <w:sz w:val="28"/>
        </w:rPr>
        <w:t xml:space="preserve">Поиск актуальных препринтов; статус рецензирования проверяется отдельно.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3. Papers with Code. </w:t>
      </w:r>
      <w:r>
        <w:rPr>
          <w:rFonts w:ascii="Times New Roman" w:hAnsi="Times New Roman" w:eastAsia="Times New Roman"/>
          <w:sz w:val="28"/>
        </w:rPr>
        <w:t xml:space="preserve">Связь статей с задачами, наборами данных, метриками и репозиториями.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4. Hugging Face. </w:t>
      </w:r>
      <w:r>
        <w:rPr>
          <w:rFonts w:ascii="Times New Roman" w:hAnsi="Times New Roman" w:eastAsia="Times New Roman"/>
          <w:sz w:val="28"/>
        </w:rPr>
        <w:t xml:space="preserve">Карточки моделей, лицензии, версии весов и примеры применения.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5. Kaggle Datasets. </w:t>
      </w:r>
      <w:r>
        <w:rPr>
          <w:rFonts w:ascii="Times New Roman" w:hAnsi="Times New Roman" w:eastAsia="Times New Roman"/>
          <w:sz w:val="28"/>
        </w:rPr>
        <w:t xml:space="preserve">Открытые наборы данных и их версии; лицензия проверяется в карточке набора.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6. MLflow. </w:t>
      </w:r>
      <w:r>
        <w:rPr>
          <w:rFonts w:ascii="Times New Roman" w:hAnsi="Times New Roman" w:eastAsia="Times New Roman"/>
          <w:sz w:val="28"/>
        </w:rPr>
        <w:t xml:space="preserve">Регистрация параметров, метрик, артефактов и версий экспериментов.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Перейти</w:t>
        </w:r>
      </w:hyperlink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/sbhatti/financial-sentiment-analysis" TargetMode="External"/><Relationship Id="rId10" Type="http://schemas.openxmlformats.org/officeDocument/2006/relationships/hyperlink" Target="https://neurips.cc/public/guides/PaperChecklist" TargetMode="External"/><Relationship Id="rId11" Type="http://schemas.openxmlformats.org/officeDocument/2006/relationships/hyperlink" Target="https://www.acm.org/publications/policies/artifact-review-and-badging-current" TargetMode="External"/><Relationship Id="rId12" Type="http://schemas.openxmlformats.org/officeDocument/2006/relationships/hyperlink" Target="https://arxiv.org/abs/1803.09010" TargetMode="External"/><Relationship Id="rId13" Type="http://schemas.openxmlformats.org/officeDocument/2006/relationships/hyperlink" Target="https://dl.acm.org/doi/10.1145/3287560.3287596" TargetMode="External"/><Relationship Id="rId14" Type="http://schemas.openxmlformats.org/officeDocument/2006/relationships/hyperlink" Target="https://www.nist.gov/itl/ai-risk-management-framework" TargetMode="External"/><Relationship Id="rId15" Type="http://schemas.openxmlformats.org/officeDocument/2006/relationships/hyperlink" Target="https://paperswithcode.com/" TargetMode="External"/><Relationship Id="rId16" Type="http://schemas.openxmlformats.org/officeDocument/2006/relationships/hyperlink" Target="https://huggingface.co/models" TargetMode="External"/><Relationship Id="rId17" Type="http://schemas.openxmlformats.org/officeDocument/2006/relationships/hyperlink" Target="https://scholar.google.com/" TargetMode="External"/><Relationship Id="rId18" Type="http://schemas.openxmlformats.org/officeDocument/2006/relationships/hyperlink" Target="https://arxiv.org/" TargetMode="External"/><Relationship Id="rId19" Type="http://schemas.openxmlformats.org/officeDocument/2006/relationships/hyperlink" Target="https://www.kaggle.com/datasets" TargetMode="External"/><Relationship Id="rId20" Type="http://schemas.openxmlformats.org/officeDocument/2006/relationships/hyperlink" Target="https://mlflow.org/docs/lates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Защита исследовательского проекта по теме ВКР</dc:title>
  <dc:subject>Лабораторная работа по дисциплине Прикладные задачи машинного обучения</dc:subject>
  <dc:creator>Никитин Петр Владимирович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