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1. Большие языковые модели</w:t>
      </w:r>
    </w:p>
    <w:p>
      <w:r>
        <w:t>Прикладные задачи машинного обучения</w:t>
      </w:r>
    </w:p>
    <w:p>
      <w:r>
        <w:t>Разработка многоагентной системы персонализированного управления скидками в электронной коммерции</w:t>
      </w:r>
    </w:p>
    <w:p>
      <w:r>
        <w:t>Индивидуальный исследовательский проект. Дата экспериментов: 22 октября 2026 г.</w:t>
      </w:r>
    </w:p>
    <w:p>
      <w:pPr>
        <w:pStyle w:val="Heading1"/>
      </w:pPr>
      <w:r>
        <w:t>Задача и гипотеза</w:t>
      </w:r>
    </w:p>
    <w:p>
      <w:r>
        <w:t>H1: текстовая LLM превосходит частотный прогноз покупки при одинаковом временном тесте.</w:t>
      </w:r>
    </w:p>
    <w:p>
      <w:r>
        <w:t>Из истории покупок требуется оценить вероятность покупки в конкретной категории на следующей неделе. Модель не получает будущую скидку или истинную метку. Выходная вероятность служит признаком для прототипа, а не разрешением автоматически выдать скидку.</w:t>
      </w:r>
    </w:p>
    <w:p>
      <w:pPr>
        <w:pStyle w:val="Heading1"/>
      </w:pPr>
      <w:r>
        <w:t>Исследовательский обзор и разрыв</w:t>
      </w:r>
    </w:p>
    <w:p>
      <w:r>
        <w:t>Поисковый запрос: (large language model OR few-shot OR recommendation) AND (purchase OR personalization OR retail); GigaChat Vikhr Russian</w:t>
      </w:r>
    </w:p>
    <w:p>
      <w:r>
        <w:t>PRISMA-подобный учёт: рассмотрено 14, дублей 0, исключено 2, включено 12. Использован целевой поиск первичных работ с переходом по ссылкам. Это учёт реального ограниченного скрининга, а не заявление об исчерпывающем поиске во всех базах. Причины исключения и дата сохранены в literature_screening.json.</w:t>
      </w:r>
    </w:p>
    <w:p>
      <w:pPr>
        <w:pStyle w:val="Heading2"/>
      </w:pPr>
      <w:r>
        <w:t>1. Vaswani et al. (2017)</w:t>
      </w:r>
    </w:p>
    <w:p>
      <w:r>
        <w:t>Attention Is All You Need. NeurIPS 2017. Self-attention encoder–decoder. Исходные данные: WMT translation. Протокол: Сопоставление моделей машинного перевода. Метрики: BLEU; стоимость обучения.</w:t>
      </w:r>
    </w:p>
    <w:p>
      <w:r>
        <w:t>Ограничение для ВКР: Перевод, а не персонализированные скидки. Решение для эксперимента: Обосновать Transformer как архитектуру LLM.</w:t>
      </w:r>
    </w:p>
    <w:p>
      <w:hyperlink r:id="rId9">
        <w:r>
          <w:rPr>
            <w:color w:val="237C8B"/>
            <w:sz w:val="18"/>
          </w:rPr>
          <w:t>https://arxiv.org/abs/1706.03762</w:t>
        </w:r>
      </w:hyperlink>
    </w:p>
    <w:p>
      <w:pPr>
        <w:pStyle w:val="Heading2"/>
      </w:pPr>
      <w:r>
        <w:t>2. Brown et al. (2020)</w:t>
      </w:r>
    </w:p>
    <w:p>
      <w:r>
        <w:t>Language Models are Few-Shot Learners. NeurIPS 2020. Авторегрессионный GPT-3. Исходные данные: Много задач NLP. Протокол: Zero/one/few-shot без градиентной адаптации. Метрики: Метрики конкретных NLP-задач.</w:t>
      </w:r>
    </w:p>
    <w:p>
      <w:r>
        <w:t>Ограничение для ВКР: Масштаб и доступ к весам отличаются от компактных моделей. Решение для эксперимента: Сравнить zero-shot и six-shot при одинаковых объектах.</w:t>
      </w:r>
    </w:p>
    <w:p>
      <w:hyperlink r:id="rId10">
        <w:r>
          <w:rPr>
            <w:color w:val="237C8B"/>
            <w:sz w:val="18"/>
          </w:rPr>
          <w:t>https://arxiv.org/abs/2005.14165</w:t>
        </w:r>
      </w:hyperlink>
    </w:p>
    <w:p>
      <w:pPr>
        <w:pStyle w:val="Heading2"/>
      </w:pPr>
      <w:r>
        <w:t>3. Hu et al. (2021)</w:t>
      </w:r>
    </w:p>
    <w:p>
      <w:r>
        <w:t>LoRA: Low-Rank Adaptation of Large Language Models. ICLR 2022. Низкоранговые адаптеры замороженных весов. Исходные данные: NLP adaptation benchmarks. Протокол: Фиксированная базовая модель; обучение адаптеров. Метрики: Качество; обучаемые параметры.</w:t>
      </w:r>
    </w:p>
    <w:p>
      <w:r>
        <w:t>Ограничение для ВКР: Нужны ресурсы обучения; rank влияет на результат. Решение для эксперимента: Будущий PEFT против prompting, без обещания прироста.</w:t>
      </w:r>
    </w:p>
    <w:p>
      <w:hyperlink r:id="rId11">
        <w:r>
          <w:rPr>
            <w:color w:val="237C8B"/>
            <w:sz w:val="18"/>
          </w:rPr>
          <w:t>https://arxiv.org/abs/2106.09685</w:t>
        </w:r>
      </w:hyperlink>
    </w:p>
    <w:p>
      <w:pPr>
        <w:pStyle w:val="Heading2"/>
      </w:pPr>
      <w:r>
        <w:t>4. Dettmers et al. (2023)</w:t>
      </w:r>
    </w:p>
    <w:p>
      <w:r>
        <w:t>QLoRA: Efficient Finetuning of Quantized LLMs. NeurIPS 2023. 4-bit NF4 + LoRA. Исходные данные: Instruction tuning corpora. Протокол: Адаптация квантизованной LLM. Метрики: Качество; память.</w:t>
      </w:r>
    </w:p>
    <w:p>
      <w:r>
        <w:t>Ограничение для ВКР: GPU-ориентированный метод; не эквивалент CPU INT8 inference. Решение для эксперимента: Разделить квантизацию вывода и PEFT.</w:t>
      </w:r>
    </w:p>
    <w:p>
      <w:hyperlink r:id="rId12">
        <w:r>
          <w:rPr>
            <w:color w:val="237C8B"/>
            <w:sz w:val="18"/>
          </w:rPr>
          <w:t>https://arxiv.org/abs/2305.14314</w:t>
        </w:r>
      </w:hyperlink>
    </w:p>
    <w:p>
      <w:pPr>
        <w:pStyle w:val="Heading2"/>
      </w:pPr>
      <w:r>
        <w:t>5. Qwen Team (2024)</w:t>
      </w:r>
    </w:p>
    <w:p>
      <w:r>
        <w:t>Qwen2.5 Technical Report. Препринт / первичный отчёт. Decoder-only LLM; instruction tuning. Исходные данные: Смесь текстовых корпусов. Протокол: Семейство размеров и бенчмарков. Метрики: Общие, математические и языковые оценки.</w:t>
      </w:r>
    </w:p>
    <w:p>
      <w:r>
        <w:t>Ограничение для ВКР: Опубликованные оценки не измеряют покупательский спрос. Решение для эксперимента: Сравнить три доступных размера на одном split.</w:t>
      </w:r>
    </w:p>
    <w:p>
      <w:hyperlink r:id="rId13">
        <w:r>
          <w:rPr>
            <w:color w:val="237C8B"/>
            <w:sz w:val="18"/>
          </w:rPr>
          <w:t>https://arxiv.org/abs/2412.15115</w:t>
        </w:r>
      </w:hyperlink>
    </w:p>
    <w:p>
      <w:pPr>
        <w:pStyle w:val="Heading2"/>
      </w:pPr>
      <w:r>
        <w:t>6. Qwen Team (2025)</w:t>
      </w:r>
    </w:p>
    <w:p>
      <w:r>
        <w:t>Qwen3 Technical Report. Препринт / первичный отчёт. Dense/MoE; thinking и non-thinking. Исходные данные: Многоязычные корпусы. Протокол: Оценка семейства моделей. Метрики: Рассуждение; знания; языковые задачи.</w:t>
      </w:r>
    </w:p>
    <w:p>
      <w:r>
        <w:t>Ограничение для ВКР: Режим thinking меняет бюджет. Решение для эксперимента: Фиксировать non-thinking и один формат ответа.</w:t>
      </w:r>
    </w:p>
    <w:p>
      <w:hyperlink r:id="rId14">
        <w:r>
          <w:rPr>
            <w:color w:val="237C8B"/>
            <w:sz w:val="18"/>
          </w:rPr>
          <w:t>https://arxiv.org/abs/2505.09388</w:t>
        </w:r>
      </w:hyperlink>
    </w:p>
    <w:p>
      <w:pPr>
        <w:pStyle w:val="Heading2"/>
      </w:pPr>
      <w:r>
        <w:t>7. Ben Allal et al. (2025)</w:t>
      </w:r>
    </w:p>
    <w:p>
      <w:r>
        <w:t>SmolLM2: When Smol Goes Big. Препринт / первичный отчёт. Компактные decoder-only LLM. Исходные данные: Курируемые смеси обучающих текстов. Протокол: Сравнение компактных моделей и данных. Метрики: NLP benchmarks; размер.</w:t>
      </w:r>
    </w:p>
    <w:p>
      <w:r>
        <w:t>Ограничение для ВКР: Компактность не гарантирует следование JSON-инструкции. Решение для эксперимента: Измерить качество и невалидность трёх размеров.</w:t>
      </w:r>
    </w:p>
    <w:p>
      <w:hyperlink r:id="rId15">
        <w:r>
          <w:rPr>
            <w:color w:val="237C8B"/>
            <w:sz w:val="18"/>
          </w:rPr>
          <w:t>https://arxiv.org/abs/2502.02737</w:t>
        </w:r>
      </w:hyperlink>
    </w:p>
    <w:p>
      <w:pPr>
        <w:pStyle w:val="Heading2"/>
      </w:pPr>
      <w:r>
        <w:t>8. GigaChat Team (2025)</w:t>
      </w:r>
    </w:p>
    <w:p>
      <w:r>
        <w:t>GigaChat Family: Efficient Russian Language Modeling Through Mixture of Experts Architecture. ACL 2025 System Demonstrations; отечественная разработка. Mixture of Experts. Исходные данные: Русскоязычные и многоязычные корпуса. Протокол: Предобучение и оценки семейства. Метрики: Языковые benchmark-метрики.</w:t>
      </w:r>
    </w:p>
    <w:p>
      <w:r>
        <w:t>Ограничение для ВКР: Русский язык не доказывает преимущество на английском retail. Решение для эксперимента: Обосновать отдельный будущий русскоязычный перенос.</w:t>
      </w:r>
    </w:p>
    <w:p>
      <w:hyperlink r:id="rId16">
        <w:r>
          <w:rPr>
            <w:color w:val="237C8B"/>
            <w:sz w:val="18"/>
          </w:rPr>
          <w:t>https://arxiv.org/abs/2506.09440</w:t>
        </w:r>
      </w:hyperlink>
    </w:p>
    <w:p>
      <w:pPr>
        <w:pStyle w:val="Heading2"/>
      </w:pPr>
      <w:r>
        <w:t>9. Nikolich et al. (2024)</w:t>
      </w:r>
    </w:p>
    <w:p>
      <w:r>
        <w:t>Vikhr: The Family of Open-Source Instruction-Tuned Large Language Models for Russian. Первичный отчёт; отечественная разработка. Адаптация токенизатора и instruction tuning. Исходные данные: Русскоязычные instruction-наборы. Протокол: Сопоставление русского instruction following. Метрики: Языковое качество.</w:t>
      </w:r>
    </w:p>
    <w:p>
      <w:r>
        <w:t>Ограничение для ВКР: Актуальная версия препринта отличается от первой. Решение для эксперимента: Не переносить выводы на retail без теста.</w:t>
      </w:r>
    </w:p>
    <w:p>
      <w:hyperlink r:id="rId17">
        <w:r>
          <w:rPr>
            <w:color w:val="237C8B"/>
            <w:sz w:val="18"/>
          </w:rPr>
          <w:t>https://arxiv.org/abs/2405.13929</w:t>
        </w:r>
      </w:hyperlink>
    </w:p>
    <w:p>
      <w:pPr>
        <w:pStyle w:val="Heading2"/>
      </w:pPr>
      <w:r>
        <w:t>10. Geng et al. (2022)</w:t>
      </w:r>
    </w:p>
    <w:p>
      <w:r>
        <w:t>Recommendation as Language Processing: P5. RecSys 2022. Единый text-to-text рекомендатель. Исходные данные: Пользовательские взаимодействия и отзывы. Протокол: Разные рекомендательные задачи в одном формате. Метрики: Ранжирование; ошибки рейтинга; генерация.</w:t>
      </w:r>
    </w:p>
    <w:p>
      <w:r>
        <w:t>Ограничение для ВКР: Рекомендация товара не равна причинной оценке скидки. Решение для эксперимента: Текстуализировать историю, не выдумывать отзывы.</w:t>
      </w:r>
    </w:p>
    <w:p>
      <w:hyperlink r:id="rId18">
        <w:r>
          <w:rPr>
            <w:color w:val="237C8B"/>
            <w:sz w:val="18"/>
          </w:rPr>
          <w:t>https://arxiv.org/abs/2203.13366</w:t>
        </w:r>
      </w:hyperlink>
    </w:p>
    <w:p>
      <w:pPr>
        <w:pStyle w:val="Heading2"/>
      </w:pPr>
      <w:r>
        <w:t>11. Dai et al. (2024)</w:t>
      </w:r>
    </w:p>
    <w:p>
      <w:r>
        <w:t>Data-Driven Real-time Coupon Allocation in the Online Platform. Препринт / первичный отчёт. CVR-предиктор + dual-оптимизация + контроль. Исходные данные: Платформенные наблюдения и полевые эксперименты. Протокол: Распределение купонов при бюджете. Метрики: Конверсия; выручка; выполнение бюджета.</w:t>
      </w:r>
    </w:p>
    <w:p>
      <w:r>
        <w:t>Ограничение для ВКР: Проприетарная среда не доступна для прямой репликации. Решение для эксперимента: Отделить прогноз, выбор скидки и бюджетный контроллер.</w:t>
      </w:r>
    </w:p>
    <w:p>
      <w:hyperlink r:id="rId19">
        <w:r>
          <w:rPr>
            <w:color w:val="237C8B"/>
            <w:sz w:val="18"/>
          </w:rPr>
          <w:t>https://arxiv.org/abs/2406.05987</w:t>
        </w:r>
      </w:hyperlink>
    </w:p>
    <w:p>
      <w:pPr>
        <w:pStyle w:val="Heading2"/>
      </w:pPr>
      <w:r>
        <w:t>12. Guo et al. (2017)</w:t>
      </w:r>
    </w:p>
    <w:p>
      <w:r>
        <w:t>DeepFM: A Factorization-Machine based Neural Network for CTR Prediction. IJCAI 2017. FM + глубокая сеть. Исходные данные: Рекламные CTR-наборы. Протокол: Сопоставление взаимодействий признаков. Метрики: AUC; log loss.</w:t>
      </w:r>
    </w:p>
    <w:p>
      <w:r>
        <w:t>Ограничение для ВКР: Клик не равен покупке или инкрементальной прибыли. Решение для эксперимента: Сильный табличный baseline перед усложнением fusion.</w:t>
      </w:r>
    </w:p>
    <w:p>
      <w:hyperlink r:id="rId20">
        <w:r>
          <w:rPr>
            <w:color w:val="237C8B"/>
            <w:sz w:val="18"/>
          </w:rPr>
          <w:t>https://arxiv.org/abs/1703.04247</w:t>
        </w:r>
      </w:hyperlink>
    </w:p>
    <w:p>
      <w:r>
        <w:t>Полная сравнительная матрица приложена в literature.csv. Рейтинги A/A* и квартиль Q1 не приписываются изданиям без отдельной проверки; статус препринтов и первичного лекционного источника RMSProp указан явно.</w:t>
      </w:r>
    </w:p>
    <w:p>
      <w:r>
        <w:t>Исследовательский разрыв выбранного корпуса: общие языковые и рекомендательные benchmark не отвечают, окупается ли компактная LLM при прогнозе редкой покупки из короткой транзакционной истории. Требуется единый временной тест с калибровкой и стоимостью; отсутствие преимущества будет отрицательным результатом.</w:t>
      </w:r>
    </w:p>
    <w:p>
      <w:pPr>
        <w:pStyle w:val="Heading1"/>
      </w:pPr>
      <w:r>
        <w:t>Данные, очистка и временной протокол</w:t>
      </w:r>
    </w:p>
    <w:p>
      <w:r>
        <w:t>Источник: Complete Journey, обработанная версия пакета completejourney. Транзакции: 1,469,307; товарный каталог: 92 331 строка. Точные дубликаты транзакций: 0; исключённые некорректные строки: 11061. Пропусков в исходных полях транзакций не найдено. Служебные купонные записи и топливо исключены из выбора товарных категорий.</w:t>
      </w:r>
    </w:p>
    <w:p>
      <w:r>
        <w:t>Основная выборка: 200 покупателей, 8 категорий. Дополнительный перенос: 20 покупателей, отсутствующих в обучении. Единица наблюдения — покупатель, категория и неделя. Класс 1 означает хотя бы одну покупку в категории в целевую неделю. Панель содержит 66,560 объектов.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Группа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Часть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Класс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Объекты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main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test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7926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main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test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1674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main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train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38345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main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train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8055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main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validation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7943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main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validation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1657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transfer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test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825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transfer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test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135</w:t>
            </w:r>
          </w:p>
        </w:tc>
      </w:tr>
    </w:tbl>
    <w:p/>
    <w:p>
      <w:r>
        <w:t>Признаки используют четыре недели до целевой. Части идут в порядке времени 60/20/20, пограничные окна удалены: последняя целевая неделя предыдущей части раньше первой недели истории следующей части. Временной индекс взят из набора, гражданский часовой пояс не выдумывается. Масштабирование и текстовый словарь обучены только на train. Идентификатор покупателя не подаётся в модель.</w:t>
      </w:r>
    </w:p>
    <w:p>
      <w:r>
        <w:t>Дисбаланс требует Macro-F1 и F1 класса покупки наряду с accuracy. Повторяющиеся числовые профили допустимы у независимых покупателей и сами по себе не доказывают утечку. Автоматическая проверка меняет будущие транзакции и требует неизменности прошлых признаков.</w:t>
      </w:r>
    </w:p>
    <w:p>
      <w:r>
        <w:t>Версия источника: 5b5d06192b9856edd04e4d405787af2f2e4a1fef. SHA-256 панели: 5063df19106d13e603a54abd67efa7c48d7dbc95a28216ee310c0105d3200428. Лицензия пакета указана как CC0; URL, контрольные суммы файлов и схемы находятся в shared/data/manifest.json и schemas.json. Источник: https://bradleyboehmke.github.io/completejourney/</w:t>
      </w:r>
    </w:p>
    <w:p>
      <w:r>
        <w:t>Аудит текстовых профилей: уникальных 20037, повторяющихся групп 2127, точных профилей в нескольких частях 988. Для фиксированных 500 test-объектов проверен ближайший train-профиль по TF-IDF cosine; сходство ≥0,97 у 397, в том числе один и тот же покупатель у 6. Пустые/сходные истории могут повторяться у независимых покупателей; это ограничение различимости, а не доказательство утечки будущей метки. Ближайшие пары и описательные статистики сохранены в shared/data.</w:t>
      </w:r>
    </w:p>
    <w:p>
      <w:pPr>
        <w:pStyle w:val="Heading1"/>
      </w:pPr>
      <w:r>
        <w:t>Модели и единый эксперимент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fill="16324F"/>
          </w:tcPr>
          <w:p>
            <w:r>
              <w:rPr>
                <w:b/>
                <w:color w:val="FFFFFF"/>
              </w:rPr>
              <w:t>LLM</w:t>
            </w:r>
          </w:p>
        </w:tc>
        <w:tc>
          <w:tcPr>
            <w:tcW w:type="dxa" w:w="3213"/>
            <w:shd w:fill="16324F"/>
          </w:tcPr>
          <w:p>
            <w:r>
              <w:rPr>
                <w:b/>
                <w:color w:val="FFFFFF"/>
              </w:rPr>
              <w:t>Ревизия</w:t>
            </w:r>
          </w:p>
        </w:tc>
        <w:tc>
          <w:tcPr>
            <w:tcW w:type="dxa" w:w="3213"/>
            <w:shd w:fill="16324F"/>
          </w:tcPr>
          <w:p>
            <w:r>
              <w:rPr>
                <w:b/>
                <w:color w:val="FFFFFF"/>
              </w:rPr>
              <w:t>Лицензия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Qwen/Qwen2.5-0.5B-Instruct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7ae557604adf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apache-2.0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Qwen/Qwen2.5-1.5B-Instruct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989aa7980e4c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apache-2.0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Qwen/Qwen2.5-3B-Instruct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aa8e72537993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other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Qwen/Qwen3-0.6B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c1899de289a0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apache-2.0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Qwen/Qwen3-1.7B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70d244cc86cc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apache-2.0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HuggingFaceTB/SmolLM2-135M-Instruct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12fd25f77366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apache-2.0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HuggingFaceTB/SmolLM2-360M-Instruct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a10cc1512eab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apache-2.0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HuggingFaceTB/SmolLM2-1.7B-Instruct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31b70e2e869a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apache-2.0</w:t>
            </w:r>
          </w:p>
        </w:tc>
      </w:tr>
    </w:tbl>
    <w:p/>
    <w:p>
      <w:r>
        <w:t>Условия: zero-shot и six-shot, две формулировки инструкции, идентичные объекты, температура 0. Основной декодер сравнивает logits цифр 0 и 1 после префикса JSON; вероятность нормируется только между двумя допустимыми цифрами. JSON формируется ограниченным декодером. Нулевая невалидность такого выхода является свойством ограничения, а не доказательством послушания модели. Отдельные свободные JSON-пробы не смешиваются с основными прогнозами.</w:t>
      </w:r>
    </w:p>
    <w:p>
      <w:r>
        <w:t>INT8-квантизация линейных слоёв одинакова для всех LLM, embeddings — float32. Полноточный пилот исключён из основной таблицы. CPU, 16 ГБ RAM; малый фиксированный тест выбран по хешу без доступа к меткам. Объёмы: 16 validation, 32 test, 16 новых покупателей. Шесть примеров из train сбалансированы по классу. Верхняя граница контекста 1024 токена. PEFT не выполнялась из-за ограниченного CPU-бюджета. Задержки измерены на данном компьютере без изолированного ресурсного стенда; фоновые загрузки могут влиять на время, поэтому ранжирование производительности ограничено.</w:t>
      </w:r>
    </w:p>
    <w:p>
      <w:pPr>
        <w:pStyle w:val="Heading1"/>
      </w:pPr>
      <w:r>
        <w:t>Количественные результаты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fill="16324F"/>
          </w:tcPr>
          <w:p>
            <w:r>
              <w:rPr>
                <w:b/>
                <w:color w:val="FFFFFF"/>
              </w:rPr>
              <w:t>LLM, режим выбран на validation</w:t>
            </w:r>
          </w:p>
        </w:tc>
        <w:tc>
          <w:tcPr>
            <w:tcW w:type="dxa" w:w="1928"/>
            <w:shd w:fill="16324F"/>
          </w:tcPr>
          <w:p>
            <w:r>
              <w:rPr>
                <w:b/>
                <w:color w:val="FFFFFF"/>
              </w:rPr>
              <w:t>Macro-F1</w:t>
            </w:r>
          </w:p>
        </w:tc>
        <w:tc>
          <w:tcPr>
            <w:tcW w:type="dxa" w:w="1928"/>
            <w:shd w:fill="16324F"/>
          </w:tcPr>
          <w:p>
            <w:r>
              <w:rPr>
                <w:b/>
                <w:color w:val="FFFFFF"/>
              </w:rPr>
              <w:t>Brier</w:t>
            </w:r>
          </w:p>
        </w:tc>
        <w:tc>
          <w:tcPr>
            <w:tcW w:type="dxa" w:w="1928"/>
            <w:shd w:fill="16324F"/>
          </w:tcPr>
          <w:p>
            <w:r>
              <w:rPr>
                <w:b/>
                <w:color w:val="FFFFFF"/>
              </w:rPr>
              <w:t>ECE</w:t>
            </w:r>
          </w:p>
        </w:tc>
        <w:tc>
          <w:tcPr>
            <w:tcW w:type="dxa" w:w="1928"/>
            <w:shd w:fill="16324F"/>
          </w:tcPr>
          <w:p>
            <w:r>
              <w:rPr>
                <w:b/>
                <w:color w:val="FFFFFF"/>
              </w:rPr>
              <w:t>с/объект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HuggingFaceTB/SmolLM2-1.7B-Instruct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0.3333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0.2540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0.1510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0.5578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HuggingFaceTB/SmolLM2-135M-Instruct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0.6621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0.1951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0.1330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0.0601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HuggingFaceTB/SmolLM2-360M-Instruct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0.4000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0.3617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0.3805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0.1390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Qwen/Qwen2.5-0.5B-Instruct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0.3976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0.3776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0.3688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0.7837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Qwen/Qwen2.5-1.5B-Instruct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0.5000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0.1998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0.1086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0.4248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Qwen/Qwen2.5-3B-Instruct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0.3469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0.3001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0.2180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5.2533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Qwen/Qwen3-0.6B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0.1746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0.7257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0.7428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1.3106</w:t>
            </w:r>
          </w:p>
        </w:tc>
      </w:tr>
      <w:tr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Qwen/Qwen3-1.7B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0.4231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0.4209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0.4044</w:t>
            </w:r>
          </w:p>
        </w:tc>
        <w:tc>
          <w:tcPr>
            <w:tcW w:type="dxa" w:w="1928"/>
          </w:tcPr>
          <w:p>
            <w:pPr>
              <w:spacing w:after="60"/>
            </w:pPr>
            <w:r>
              <w:rPr>
                <w:sz w:val="18"/>
              </w:rPr>
              <w:t>2.5823</w:t>
            </w:r>
          </w:p>
        </w:tc>
      </w:tr>
    </w:tbl>
    <w:p/>
    <w:p>
      <w:r>
        <w:t>Кандидатов с результатами: 8 из 8. Выбор только по validation: Qwen/Qwen2.5-0.5B-Instruct, zero-shot, инструкция 1. Правило: invalid ≤5%, F1 в пределах 0,01 от максимума, затем Brier и latency. Все режимы и доверительные интервалы находятся в results/metrics.csv.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Часть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Покупатели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Частотный Macro-F1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Частотный Brier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test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main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0.5714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0.1545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test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transfer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0.4483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0.1250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validation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main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0.5429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0.1389</w:t>
            </w:r>
          </w:p>
        </w:tc>
      </w:tr>
    </w:tbl>
    <w:p/>
    <w:p>
      <w:r>
        <w:t>Частотный baseline: (число прошлых недель с покупкой + 1)/6, то есть сглаженная частота четырёх недель. Он использует только ту же историю и не настраивается на test.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fill="16324F"/>
          </w:tcPr>
          <w:p>
            <w:r>
              <w:rPr>
                <w:b/>
                <w:color w:val="FFFFFF"/>
              </w:rPr>
              <w:t>LLM</w:t>
            </w:r>
          </w:p>
        </w:tc>
        <w:tc>
          <w:tcPr>
            <w:tcW w:type="dxa" w:w="3213"/>
            <w:shd w:fill="16324F"/>
          </w:tcPr>
          <w:p>
            <w:r>
              <w:rPr>
                <w:b/>
                <w:color w:val="FFFFFF"/>
              </w:rPr>
              <w:t>Свободные пробы</w:t>
            </w:r>
          </w:p>
        </w:tc>
        <w:tc>
          <w:tcPr>
            <w:tcW w:type="dxa" w:w="3213"/>
            <w:shd w:fill="16324F"/>
          </w:tcPr>
          <w:p>
            <w:r>
              <w:rPr>
                <w:b/>
                <w:color w:val="FFFFFF"/>
              </w:rPr>
              <w:t>Доля невалидных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HuggingFaceTB/SmolLM2-1.7B-Instruct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1.0000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HuggingFaceTB/SmolLM2-135M-Instruct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0.5000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HuggingFaceTB/SmolLM2-360M-Instruct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0.5000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Qwen/Qwen2.5-0.5B-Instruct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0.5000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Qwen/Qwen2.5-1.5B-Instruct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1.0000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Qwen/Qwen2.5-3B-Instruct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0.2500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Qwen/Qwen3-0.6B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0.5000</w:t>
            </w:r>
          </w:p>
        </w:tc>
      </w:tr>
      <w:t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Qwen/Qwen3-1.7B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0.7500</w:t>
            </w:r>
          </w:p>
        </w:tc>
      </w:tr>
    </w:tbl>
    <w:p/>
    <w:p>
      <w:r>
        <w:t>Четыре свободные пробы на модель используют один фиксированный объект в разных условиях. Это проверка формата, а не статистически надёжная оценка производственной частоты ошибок.</w:t>
      </w:r>
    </w:p>
    <w:p>
      <w:pPr>
        <w:pStyle w:val="Heading1"/>
      </w:pPr>
      <w:r>
        <w:t>Ошибки, перенос и интеграция</w:t>
      </w:r>
    </w:p>
    <w:p>
      <w:r>
        <w:t>Отдельно сохранены ошибочные прогнозы и свободные ответы, включая markdown-ограждения, незавершённый JSON и лишние объяснения. Формат проверяется строго без подстановки правильной метки. В отчёте по основной задаче probability является условной вероятностью цифры, а не эмпирически откалиброванной вероятностью покупки. ECE и Brier измеряют именно это ограничение.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LLM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Режим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Смена класса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Среднее |Δp|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HuggingFaceTB/SmolLM2-1.7B-Instruct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six-shot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0.2500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0.1764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HuggingFaceTB/SmolLM2-1.7B-Instruct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zero-shot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0.6562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0.3127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HuggingFaceTB/SmolLM2-135M-Instruct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six-shot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0.7188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0.3341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HuggingFaceTB/SmolLM2-135M-Instruct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zero-shot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0.7500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0.3453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HuggingFaceTB/SmolLM2-360M-Instruct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six-shot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0.6250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0.3396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HuggingFaceTB/SmolLM2-360M-Instruct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zero-shot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0.6250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0.3826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Qwen/Qwen2.5-0.5B-Instruct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six-shot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0.3438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0.2631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Qwen/Qwen2.5-0.5B-Instruct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zero-shot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0.5312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0.4231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Qwen/Qwen2.5-1.5B-Instruct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six-shot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0.1250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0.1786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Qwen/Qwen2.5-1.5B-Instruct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zero-shot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0.3750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0.2797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Qwen/Qwen2.5-3B-Instruct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six-shot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0.3125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0.3026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Qwen/Qwen2.5-3B-Instruct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zero-shot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0.4062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0.3422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Qwen/Qwen3-0.6B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six-shot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0.8750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0.6834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Qwen/Qwen3-0.6B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zero-shot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0.8438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0.7892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Qwen/Qwen3-1.7B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six-shot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0.5000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0.4541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Qwen/Qwen3-1.7B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zero-shot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0.6562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0.6353</w:t>
            </w:r>
          </w:p>
        </w:tc>
      </w:tr>
    </w:tbl>
    <w:p/>
    <w:p>
      <w:r>
        <w:t>Разбор по классам, длине, категории и языку сохранён в error_groups.csv. Все исходные текстовые описания англоязычные: русскоязычная проверка не имитируется переводом меток или выдуманными отзывами.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fill="16324F"/>
          </w:tcPr>
          <w:p>
            <w:r>
              <w:rPr>
                <w:b/>
                <w:color w:val="FFFFFF"/>
              </w:rPr>
              <w:t>Покупатели</w:t>
            </w:r>
          </w:p>
        </w:tc>
        <w:tc>
          <w:tcPr>
            <w:tcW w:type="dxa" w:w="1606"/>
            <w:shd w:fill="16324F"/>
          </w:tcPr>
          <w:p>
            <w:r>
              <w:rPr>
                <w:b/>
                <w:color w:val="FFFFFF"/>
              </w:rPr>
              <w:t>n</w:t>
            </w:r>
          </w:p>
        </w:tc>
        <w:tc>
          <w:tcPr>
            <w:tcW w:type="dxa" w:w="1606"/>
            <w:shd w:fill="16324F"/>
          </w:tcPr>
          <w:p>
            <w:r>
              <w:rPr>
                <w:b/>
                <w:color w:val="FFFFFF"/>
              </w:rPr>
              <w:t>Macro-F1</w:t>
            </w:r>
          </w:p>
        </w:tc>
        <w:tc>
          <w:tcPr>
            <w:tcW w:type="dxa" w:w="1606"/>
            <w:shd w:fill="16324F"/>
          </w:tcPr>
          <w:p>
            <w:r>
              <w:rPr>
                <w:b/>
                <w:color w:val="FFFFFF"/>
              </w:rPr>
              <w:t>F1 покупки</w:t>
            </w:r>
          </w:p>
        </w:tc>
        <w:tc>
          <w:tcPr>
            <w:tcW w:type="dxa" w:w="1606"/>
            <w:shd w:fill="16324F"/>
          </w:tcPr>
          <w:p>
            <w:r>
              <w:rPr>
                <w:b/>
                <w:color w:val="FFFFFF"/>
              </w:rPr>
              <w:t>CI 2,5%</w:t>
            </w:r>
          </w:p>
        </w:tc>
        <w:tc>
          <w:tcPr>
            <w:tcW w:type="dxa" w:w="1606"/>
            <w:shd w:fill="16324F"/>
          </w:tcPr>
          <w:p>
            <w:r>
              <w:rPr>
                <w:b/>
                <w:color w:val="FFFFFF"/>
              </w:rPr>
              <w:t>CI 97,5%</w:t>
            </w:r>
          </w:p>
        </w:tc>
      </w:tr>
      <w:tr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main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32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0.3976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0.1905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0.2500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0.5637</w:t>
            </w:r>
          </w:p>
        </w:tc>
      </w:tr>
      <w:tr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transfer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16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0.3333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0.1667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0.1176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0.5418</w:t>
            </w:r>
          </w:p>
        </w:tc>
      </w:tr>
    </w:tbl>
    <w:p/>
    <w:p>
      <w:r>
        <w:t>Новый срез — покупатели, не участвовавшие в обучении компактных моделей; это перенос внутри исходного магазина, а не доказательство переноса на другую площадку. LLM оценивает спрос. В прототипе риск-контроллер отдельно проверяет бюджет и маржу. Общая обработка отсутствующей истории и низкой уверенности с переходом на baseline требует отдельной реализации; текущий опыт проверяет формат свободного ответа и ограничения бюджета/маржи.</w:t>
      </w:r>
    </w:p>
    <w:p>
      <w:pPr>
        <w:pStyle w:val="Heading1"/>
      </w:pPr>
      <w:r>
        <w:t>Вывод и воспроизведение</w:t>
      </w:r>
    </w:p>
    <w:p>
      <w:r>
        <w:t>Малый тест имеет широкие интервалы и не позволяет объявить LLM универсально лучшей. Следующий эксперимент — увеличить временной и пользовательский тест, сравнить с откалиброванной табличной моделью и проверить русскоязычные реальные обращения. Полный ранжированный результат зависит от INT8 и формулировки инструкции; few-shot улучшение не предполагается заранее.</w:t>
      </w:r>
    </w:p>
    <w:p>
      <w:r>
        <w:t>H1, выбранная по validation LLM против частотного baseline: ΔMacro-F1=-0.1739, 95% CI [-0.3974;0.0328], p=0.0859. Локальное подтверждение: нет. Сравнение относится только к фиксированному малому тесту.</w:t>
      </w:r>
    </w:p>
    <w:p>
      <w:r>
        <w:t>Первый запуск 3B завершился нативной ошибкой до первого прогноза при квантизации; исправлено удержание старых слоёв в памяти, после чего запуск повторён. Сбой сохранён в failed_attempts.json. SHA-256 всех файлов весов сверены с LFS указателями закреплённых ревизий; журнал — weight_integrity.json.</w:t>
      </w:r>
    </w:p>
    <w:p>
      <w:r>
        <w:t>Команда: .venv/Scripts/python.exe lab01_llm/run.py. Матрица литературы, manifest весов, config.json, fewshot_ids.json, sample.jsonl, predictions.jsonl, metrics.csv, errors.csv и free_json_probes.jsonl приложены. Локальный архив проекта заменяет внешнюю публикацию; URL студенческого репозитория не создавался.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632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632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xiv.org/abs/1706.03762" TargetMode="External"/><Relationship Id="rId10" Type="http://schemas.openxmlformats.org/officeDocument/2006/relationships/hyperlink" Target="https://arxiv.org/abs/2005.14165" TargetMode="External"/><Relationship Id="rId11" Type="http://schemas.openxmlformats.org/officeDocument/2006/relationships/hyperlink" Target="https://arxiv.org/abs/2106.09685" TargetMode="External"/><Relationship Id="rId12" Type="http://schemas.openxmlformats.org/officeDocument/2006/relationships/hyperlink" Target="https://arxiv.org/abs/2305.14314" TargetMode="External"/><Relationship Id="rId13" Type="http://schemas.openxmlformats.org/officeDocument/2006/relationships/hyperlink" Target="https://arxiv.org/abs/2412.15115" TargetMode="External"/><Relationship Id="rId14" Type="http://schemas.openxmlformats.org/officeDocument/2006/relationships/hyperlink" Target="https://arxiv.org/abs/2505.09388" TargetMode="External"/><Relationship Id="rId15" Type="http://schemas.openxmlformats.org/officeDocument/2006/relationships/hyperlink" Target="https://arxiv.org/abs/2502.02737" TargetMode="External"/><Relationship Id="rId16" Type="http://schemas.openxmlformats.org/officeDocument/2006/relationships/hyperlink" Target="https://arxiv.org/abs/2506.09440" TargetMode="External"/><Relationship Id="rId17" Type="http://schemas.openxmlformats.org/officeDocument/2006/relationships/hyperlink" Target="https://arxiv.org/abs/2405.13929" TargetMode="External"/><Relationship Id="rId18" Type="http://schemas.openxmlformats.org/officeDocument/2006/relationships/hyperlink" Target="https://arxiv.org/abs/2203.13366" TargetMode="External"/><Relationship Id="rId19" Type="http://schemas.openxmlformats.org/officeDocument/2006/relationships/hyperlink" Target="https://arxiv.org/abs/2406.05987" TargetMode="External"/><Relationship Id="rId20" Type="http://schemas.openxmlformats.org/officeDocument/2006/relationships/hyperlink" Target="https://arxiv.org/abs/1703.042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1. Большие языковые модели</dc:title>
  <dc:subject>Разработка многоагентной системы персонализированного управления скидками в электронной коммерции</dc:subject>
  <dc:creator>Индивидуальный исследовательский проект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