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2. Мультимодальные модели</w:t>
      </w:r>
    </w:p>
    <w:p>
      <w:r>
        <w:t>Прикладные задачи машинного обучения</w:t>
      </w:r>
    </w:p>
    <w:p>
      <w:r>
        <w:t>Разработка многоагентной системы персонализированного управления скидками в электронной коммерции</w:t>
      </w:r>
    </w:p>
    <w:p>
      <w:r>
        <w:t>Индивидуальный исследовательский проект. Дата экспериментов: 22 октября 2026 г.</w:t>
      </w:r>
    </w:p>
    <w:p>
      <w:pPr>
        <w:pStyle w:val="Heading1"/>
      </w:pPr>
      <w:r>
        <w:t>Постановка</w:t>
      </w:r>
    </w:p>
    <w:p>
      <w:r>
        <w:t>H2: слияние модальностей улучшает Macro-F1 относительно сильнейшей одномодальной схемы.</w:t>
      </w:r>
    </w:p>
    <w:p>
      <w:pPr>
        <w:pStyle w:val="Heading1"/>
      </w:pPr>
      <w:r>
        <w:t>Исследовательский обзор и разрыв</w:t>
      </w:r>
    </w:p>
    <w:p>
      <w:r>
        <w:t>Поисковый запрос: (text time series OR vision language OR multimodal fusion) AND forecasting recommendation</w:t>
      </w:r>
    </w:p>
    <w:p>
      <w:r>
        <w:t>PRISMA-подобный учёт: рассмотрено 14, дублей 0, исключено 2, включено 12. Использован целевой поиск первичных работ с переходом по ссылкам. Это учёт реального ограниченного скрининга, а не заявление об исчерпывающем поиске во всех базах. Причины исключения и дата сохранены в literature_screening.json.</w:t>
      </w:r>
    </w:p>
    <w:p>
      <w:pPr>
        <w:pStyle w:val="Heading2"/>
      </w:pPr>
      <w:r>
        <w:t>1. Guo et al. (2017)</w:t>
      </w:r>
    </w:p>
    <w:p>
      <w:r>
        <w:t>DeepFM: A Factorization-Machine based Neural Network for CTR Prediction. IJCAI 2017. FM + глубокая сеть. Исходные данные: Рекламные CTR-наборы. Протокол: Сопоставление взаимодействий признаков. Метрики: AUC; log loss.</w:t>
      </w:r>
    </w:p>
    <w:p>
      <w:r>
        <w:t>Ограничение для ВКР: Клик не равен покупке или инкрементальной прибыли. Решение для эксперимента: Сильный табличный baseline перед усложнением fusion.</w:t>
      </w:r>
    </w:p>
    <w:p>
      <w:hyperlink r:id="rId9">
        <w:r>
          <w:rPr>
            <w:color w:val="237C8B"/>
            <w:sz w:val="18"/>
          </w:rPr>
          <w:t>https://arxiv.org/abs/1703.04247</w:t>
        </w:r>
      </w:hyperlink>
    </w:p>
    <w:p>
      <w:pPr>
        <w:pStyle w:val="Heading2"/>
      </w:pPr>
      <w:r>
        <w:t>2. Radford et al. (2021)</w:t>
      </w:r>
    </w:p>
    <w:p>
      <w:r>
        <w:t>Learning Transferable Visual Models From Natural Language Supervision. ICML 2021. Контрастивные текстовый и визуальный кодировщики. Исходные данные: Web image–text pairs. Протокол: Предобучение, zero-shot классификация. Метрики: Accuracy на визуальных benchmark.</w:t>
      </w:r>
    </w:p>
    <w:p>
      <w:r>
        <w:t>Ограничение для ВКР: Фотографии и график продаж имеют разные распределения. Решение для эксперимента: Проверять отдельный image-only baseline.</w:t>
      </w:r>
    </w:p>
    <w:p>
      <w:hyperlink r:id="rId10">
        <w:r>
          <w:rPr>
            <w:color w:val="237C8B"/>
            <w:sz w:val="18"/>
          </w:rPr>
          <w:t>https://arxiv.org/abs/2103.00020</w:t>
        </w:r>
      </w:hyperlink>
    </w:p>
    <w:p>
      <w:pPr>
        <w:pStyle w:val="Heading2"/>
      </w:pPr>
      <w:r>
        <w:t>3. Kim et al. (2021)</w:t>
      </w:r>
    </w:p>
    <w:p>
      <w:r>
        <w:t>ViLT: Vision-and-Language Transformer Without Convolution or Region Supervision. ICML 2021. Совместный Transformer для patch/text. Исходные данные: Vision-language corpora. Протокол: Предобучение и VQA/retrieval. Метрики: VQA accuracy; retrieval.</w:t>
      </w:r>
    </w:p>
    <w:p>
      <w:r>
        <w:t>Ограничение для ВКР: Не доказывает пользу производного изображения ряда. Решение для эксперимента: Сравнить раннее слияние с отдельными кодировщиками.</w:t>
      </w:r>
    </w:p>
    <w:p>
      <w:hyperlink r:id="rId11">
        <w:r>
          <w:rPr>
            <w:color w:val="237C8B"/>
            <w:sz w:val="18"/>
          </w:rPr>
          <w:t>https://arxiv.org/abs/2102.03334</w:t>
        </w:r>
      </w:hyperlink>
    </w:p>
    <w:p>
      <w:pPr>
        <w:pStyle w:val="Heading2"/>
      </w:pPr>
      <w:r>
        <w:t>4. Li et al. (2023)</w:t>
      </w:r>
    </w:p>
    <w:p>
      <w:r>
        <w:t>BLIP-2: Bootstrapping Language-Image Pre-training with Frozen Image Encoders and Large Language Models. ICML 2023. Q-Former между замороженными моделями. Исходные данные: Image–text corpora. Протокол: Предобучение, zero-shot VQA. Метрики: VQA; caption/retrieval scores.</w:t>
      </w:r>
    </w:p>
    <w:p>
      <w:r>
        <w:t>Ограничение для ВКР: Стоимость и предметный сдвиг сохраняются. Решение для эксперимента: Обосновать компактный мост модальностей.</w:t>
      </w:r>
    </w:p>
    <w:p>
      <w:hyperlink r:id="rId12">
        <w:r>
          <w:rPr>
            <w:color w:val="237C8B"/>
            <w:sz w:val="18"/>
          </w:rPr>
          <w:t>https://arxiv.org/abs/2301.12597</w:t>
        </w:r>
      </w:hyperlink>
    </w:p>
    <w:p>
      <w:pPr>
        <w:pStyle w:val="Heading2"/>
      </w:pPr>
      <w:r>
        <w:t>5. Alayrac et al. (2022)</w:t>
      </w:r>
    </w:p>
    <w:p>
      <w:r>
        <w:t>Flamingo: a Visual Language Model for Few-Shot Learning. NeurIPS 2022. Cross-attention и визуальный resampler. Исходные данные: Перемежающиеся изображения и текст. Протокол: Few-shot vision-language задачи. Метрики: VQA; captioning; few-shot quality.</w:t>
      </w:r>
    </w:p>
    <w:p>
      <w:r>
        <w:t>Ограничение для ВКР: Закрытые большие обучающие ресурсы. Решение для эксперимента: Проверить одинаковый бюджет и пропуск модальности.</w:t>
      </w:r>
    </w:p>
    <w:p>
      <w:hyperlink r:id="rId13">
        <w:r>
          <w:rPr>
            <w:color w:val="237C8B"/>
            <w:sz w:val="18"/>
          </w:rPr>
          <w:t>https://arxiv.org/abs/2204.14198</w:t>
        </w:r>
      </w:hyperlink>
    </w:p>
    <w:p>
      <w:pPr>
        <w:pStyle w:val="Heading2"/>
      </w:pPr>
      <w:r>
        <w:t>6. Lim et al. (2019)</w:t>
      </w:r>
    </w:p>
    <w:p>
      <w:r>
        <w:t>Temporal Fusion Transformers for Interpretable Multi-horizon Time Series Forecasting. International Journal of Forecasting 2021. Variable selection + temporal attention. Исходные данные: Наборы многогоризонтного прогноза. Протокол: Известные будущие и прошлые ковариаты разделены. Метрики: Quantile loss.</w:t>
      </w:r>
    </w:p>
    <w:p>
      <w:r>
        <w:t>Ограничение для ВКР: Известные будущие признаки нельзя имитировать будущими покупками. Решение для эксперимента: Проверять доступность каждой ковариаты во времени.</w:t>
      </w:r>
    </w:p>
    <w:p>
      <w:hyperlink r:id="rId14">
        <w:r>
          <w:rPr>
            <w:color w:val="237C8B"/>
            <w:sz w:val="18"/>
          </w:rPr>
          <w:t>https://arxiv.org/abs/1912.09363</w:t>
        </w:r>
      </w:hyperlink>
    </w:p>
    <w:p>
      <w:pPr>
        <w:pStyle w:val="Heading2"/>
      </w:pPr>
      <w:r>
        <w:t>7. Jin et al. (2023)</w:t>
      </w:r>
    </w:p>
    <w:p>
      <w:r>
        <w:t>Time-LLM: Time Series Forecasting by Reprogramming Large Language Models. ICLR 2024. Перепрограммирование ряда в LLM. Исходные данные: Time-series forecasting benchmarks. Протокол: Фиксированные горизонты и split. Метрики: MSE; MAE.</w:t>
      </w:r>
    </w:p>
    <w:p>
      <w:r>
        <w:t>Ограничение для ВКР: Более дорогая модель может проиграть простому baseline. Решение для эксперимента: Сравнить текстовую историю с числовым MLP.</w:t>
      </w:r>
    </w:p>
    <w:p>
      <w:hyperlink r:id="rId15">
        <w:r>
          <w:rPr>
            <w:color w:val="237C8B"/>
            <w:sz w:val="18"/>
          </w:rPr>
          <w:t>https://arxiv.org/abs/2310.01728</w:t>
        </w:r>
      </w:hyperlink>
    </w:p>
    <w:p>
      <w:pPr>
        <w:pStyle w:val="Heading2"/>
      </w:pPr>
      <w:r>
        <w:t>8. Zeng et al. (2022)</w:t>
      </w:r>
    </w:p>
    <w:p>
      <w:r>
        <w:t>Are Transformers Effective for Time Series Forecasting?. AAAI 2023. Простые линейные временные модели. Исходные данные: Long-term time-series benchmarks. Протокол: Единый прогнозный протокол. Метрики: MSE; MAE.</w:t>
      </w:r>
    </w:p>
    <w:p>
      <w:r>
        <w:t>Ограничение для ВКР: Результат временного прогноза не переносится на скидки автоматически. Решение для эксперимента: Обязательный числовой baseline.</w:t>
      </w:r>
    </w:p>
    <w:p>
      <w:hyperlink r:id="rId16">
        <w:r>
          <w:rPr>
            <w:color w:val="237C8B"/>
            <w:sz w:val="18"/>
          </w:rPr>
          <w:t>https://arxiv.org/abs/2205.13504</w:t>
        </w:r>
      </w:hyperlink>
    </w:p>
    <w:p>
      <w:pPr>
        <w:pStyle w:val="Heading2"/>
      </w:pPr>
      <w:r>
        <w:t>9. Cheng et al. (2016)</w:t>
      </w:r>
    </w:p>
    <w:p>
      <w:r>
        <w:t>Wide &amp; Deep Learning for Recommender Systems. DLRS 2016. Линейная и глубокая ветви. Исходные данные: Платформенные рекомендации приложений. Протокол: Обучение и онлайн-оценка рекомендаций. Метрики: Offline/online recommendation quality.</w:t>
      </w:r>
    </w:p>
    <w:p>
      <w:r>
        <w:t>Ограничение для ВКР: Производственный онлайн-эффект не воспроизводим на открытом retail. Решение для эксперимента: Сравнить простое слияние с тяжёлой архитектурой.</w:t>
      </w:r>
    </w:p>
    <w:p>
      <w:hyperlink r:id="rId17">
        <w:r>
          <w:rPr>
            <w:color w:val="237C8B"/>
            <w:sz w:val="18"/>
          </w:rPr>
          <w:t>https://arxiv.org/abs/1606.07792</w:t>
        </w:r>
      </w:hyperlink>
    </w:p>
    <w:p>
      <w:pPr>
        <w:pStyle w:val="Heading2"/>
      </w:pPr>
      <w:r>
        <w:t>10. Wu et al. (2022)</w:t>
      </w:r>
    </w:p>
    <w:p>
      <w:r>
        <w:t>TimesNet: Temporal 2D-Variation Modeling for General Time Series Analysis. ICLR 2023. Преобразование периодов в 2D. Исходные данные: Временные ряды нескольких задач. Протокол: Прогноз, классификация, аномалии. Метрики: MSE; MAE; task metrics.</w:t>
      </w:r>
    </w:p>
    <w:p>
      <w:r>
        <w:t>Ограничение для ВКР: Четырёх точек недостаточно для богатой периодичности. Решение для эксперимента: Не приписывать маленькому графику новые сведения.</w:t>
      </w:r>
    </w:p>
    <w:p>
      <w:hyperlink r:id="rId18">
        <w:r>
          <w:rPr>
            <w:color w:val="237C8B"/>
            <w:sz w:val="18"/>
          </w:rPr>
          <w:t>https://arxiv.org/abs/2210.02186</w:t>
        </w:r>
      </w:hyperlink>
    </w:p>
    <w:p>
      <w:pPr>
        <w:pStyle w:val="Heading2"/>
      </w:pPr>
      <w:r>
        <w:t>11. Tan and Bansal (2019)</w:t>
      </w:r>
    </w:p>
    <w:p>
      <w:r>
        <w:t>LXMERT: Learning Cross-Modality Encoder Representations from Transformers. EMNLP 2019. Раздельные и cross-modality кодировщики. Исходные данные: Vision-language corpora. Протокол: VQA/GQA/NLVR2 fine-tuning. Метрики: Accuracy.</w:t>
      </w:r>
    </w:p>
    <w:p>
      <w:r>
        <w:t>Ограничение для ВКР: Визуальное grounding отсутствует в графике продаж. Решение для эксперимента: Сопоставить раздельное и совместное слияние.</w:t>
      </w:r>
    </w:p>
    <w:p>
      <w:hyperlink r:id="rId19">
        <w:r>
          <w:rPr>
            <w:color w:val="237C8B"/>
            <w:sz w:val="18"/>
          </w:rPr>
          <w:t>https://arxiv.org/abs/1908.07490</w:t>
        </w:r>
      </w:hyperlink>
    </w:p>
    <w:p>
      <w:pPr>
        <w:pStyle w:val="Heading2"/>
      </w:pPr>
      <w:r>
        <w:t>12. Li et al. (2022)</w:t>
      </w:r>
    </w:p>
    <w:p>
      <w:r>
        <w:t>BLIP: Bootstrapping Language-Image Pre-training for Unified Vision-Language Understanding and Generation. ICML 2022. Фильтрация/captioning и multimodal encoder-decoder. Исходные данные: Шумные image–text пары. Протокол: Предобучение и transfer. Метрики: Retrieval; captioning; VQA.</w:t>
      </w:r>
    </w:p>
    <w:p>
      <w:r>
        <w:t>Ограничение для ВКР: Шум синхронизации может быть важнее fusion. Решение для эксперимента: Вести журнал исключённых пар.</w:t>
      </w:r>
    </w:p>
    <w:p>
      <w:hyperlink r:id="rId20">
        <w:r>
          <w:rPr>
            <w:color w:val="237C8B"/>
            <w:sz w:val="18"/>
          </w:rPr>
          <w:t>https://arxiv.org/abs/2201.12086</w:t>
        </w:r>
      </w:hyperlink>
    </w:p>
    <w:p>
      <w:r>
        <w:t>Полная сравнительная матрица приложена в literature.csv. Рейтинги A/A* и квартиль Q1 не приписываются изданиям без отдельной проверки; статус препринтов и первичного лекционного источника RMSProp указан явно.</w:t>
      </w:r>
    </w:p>
    <w:p>
      <w:r>
        <w:t>Разрыв: преимущества крупных vision-language моделей не доказывают, что визуализация тех же четырёх точек истории полезнее числового представления. Проверяется именно вклад представления и способа слияния, без приписывания изображению новых сведений.</w:t>
      </w:r>
    </w:p>
    <w:p>
      <w:pPr>
        <w:pStyle w:val="Heading1"/>
      </w:pPr>
      <w:r>
        <w:t>Данные, очистка и временной протокол</w:t>
      </w:r>
    </w:p>
    <w:p>
      <w:r>
        <w:t>Источник: Complete Journey, обработанная версия пакета completejourney. Транзакции: 1,469,307; товарный каталог: 92 331 строка. Точные дубликаты транзакций: 0; исключённые некорректные строки: 11061. Пропусков в исходных полях транзакций не найдено. Служебные купонные записи и топливо исключены из выбора товарных категорий.</w:t>
      </w:r>
    </w:p>
    <w:p>
      <w:r>
        <w:t>Основная выборка: 200 покупателей, 8 категорий. Дополнительный перенос: 20 покупателей, отсутствующих в обучении. Единица наблюдения — покупатель, категория и неделя. Класс 1 означает хотя бы одну покупку в категории в целевую неделю. Панель содержит 66,560 объектов.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Часть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Объекты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7926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1674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38345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8055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7943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main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1657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825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transfer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test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p/>
    <w:p>
      <w:r>
        <w:t>Признаки используют четыре недели до целевой. Части идут в порядке времени 60/20/20, пограничные окна удалены: последняя целевая неделя предыдущей части раньше первой недели истории следующей части. Временной индекс взят из набора, гражданский часовой пояс не выдумывается. Масштабирование и текстовый словарь обучены только на train. Идентификатор покупателя не подаётся в модель.</w:t>
      </w:r>
    </w:p>
    <w:p>
      <w:r>
        <w:t>Дисбаланс требует Macro-F1 и F1 класса покупки наряду с accuracy. Повторяющиеся числовые профили допустимы у независимых покупателей и сами по себе не доказывают утечку. Автоматическая проверка меняет будущие транзакции и требует неизменности прошлых признаков.</w:t>
      </w:r>
    </w:p>
    <w:p>
      <w:r>
        <w:t>Версия источника: 5b5d06192b9856edd04e4d405787af2f2e4a1fef. SHA-256 панели: 5063df19106d13e603a54abd67efa7c48d7dbc95a28216ee310c0105d3200428. Лицензия пакета указана как CC0; URL, контрольные суммы файлов и схемы находятся в shared/data/manifest.json и schemas.json. Источник: https://bradleyboehmke.github.io/completejourney/</w:t>
      </w:r>
    </w:p>
    <w:p>
      <w:r>
        <w:t>Аудит текстовых профилей: уникальных 20037, повторяющихся групп 2127, точных профилей в нескольких частях 988. Для фиксированных 500 test-объектов проверен ближайший train-профиль по TF-IDF cosine; сходство ≥0,97 у 397, в том числе один и тот же покупатель у 6. Пустые/сходные истории могут повторяться у независимых покупателей; это ограничение различимости, а не доказательство утечки будущей метки. Ближайшие пары и описательные статистики сохранены в shared/data.</w:t>
      </w:r>
    </w:p>
    <w:p>
      <w:pPr>
        <w:pStyle w:val="Heading1"/>
      </w:pPr>
      <w:r>
        <w:t>Мультимодальный объект и синхронизация</w:t>
      </w:r>
    </w:p>
    <w:p>
      <w:r>
        <w:t>Объект содержит прошлые количества, выручку и скидки за четыре недели; их детерминированное английское описание; изображение 3×16×16. Каждый канал — график одной величины. Текст кодируется TF-IDF до 128 признаков, числа масштабируются train-статистиками, изображение обрабатывает маленькая CNN. Каталог связывается по product_id как many-to-one. Это компактные схемы интеграции, а не репликация BLIP/CLIP.</w:t>
      </w:r>
    </w:p>
    <w:p>
      <w:r>
        <w:t>Восемь схем: text, numbers, image, early, late, text_image, numbers_image, all. Early соединяет сырые текстовые/числовые признаки; late усредняет logits двух обучаемых ветвей; остальные соединяют компактные embeddings. Бюджет каждой схемы: 300 шагов AdamW, batch 128, LR 0,001, пять seed. Маски отсутствующих модальностей применяются до кодировщиков и при объединении.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Схема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F1 покупки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CI 2,5%</w:t>
            </w:r>
          </w:p>
        </w:tc>
        <w:tc>
          <w:tcPr>
            <w:tcW w:type="dxa" w:w="1606"/>
            <w:shd w:fill="16324F"/>
          </w:tcPr>
          <w:p>
            <w:r>
              <w:rPr>
                <w:b/>
                <w:color w:val="FFFFFF"/>
              </w:rPr>
              <w:t>CI 97,5%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0.6141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0.3180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0.1198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0.5879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0.6350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numbers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0.5762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0.2437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0.1384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0.5500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0.5982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image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0.5788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0.2505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0.1240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0.5554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0.6002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0.6255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0.3411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0.1186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0.5974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0.6499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late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0.6078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0.3046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0.1187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0.5775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0.6326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text_image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0.6133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0.3181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0.1200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0.5872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0.6346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numbers_image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0.5897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0.2711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0.1211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0.5627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0.6131</w:t>
            </w:r>
          </w:p>
        </w:tc>
      </w:tr>
      <w:tr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0.6266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0.3425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0.1185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0.5977</w:t>
            </w:r>
          </w:p>
        </w:tc>
        <w:tc>
          <w:tcPr>
            <w:tcW w:type="dxa" w:w="1606"/>
          </w:tcPr>
          <w:p>
            <w:pPr>
              <w:spacing w:after="60"/>
            </w:pPr>
            <w:r>
              <w:rPr>
                <w:sz w:val="18"/>
              </w:rPr>
              <w:t>0.6500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Схема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Обучение, с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Вывод, с/объект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Веса, КиБ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1.9070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0.8095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1.8941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late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1.6246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numbers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1.7710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numbers_image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1.9038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1.8768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text_image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1.8612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29.0391</w:t>
            </w:r>
          </w:p>
        </w:tc>
      </w:tr>
    </w:tbl>
    <w:p/>
    <w:p>
      <w:r>
        <w:t>Память таблицы — объём float32-весов, нижняя граница расхода процесса, не peak RSS. Измеренная batch-latency не равна задержке одиночного онлайн-запроса. Общие данные и TF-IDF-кэш в этот объём не включены. Общий класс хранит и вычисляет также неактивные ветви с замаскированными выходами; числа параметров и задержки не характеризуют специально оптимизированные одномодальные реализации.</w:t>
      </w:r>
    </w:p>
    <w:p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 descr="Рисунок 1. Тестовые результаты ансамблей пяти seed; выбор сделан по valid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Тестовые результаты ансамблей пяти seed; выбор сделан по validation.</w:t>
      </w:r>
    </w:p>
    <w:p>
      <w:r>
        <w:t>По validation выбрана схема early. На test разность с baseline text: 0.0114 Macro-F1. Парный permutation test: p=0.0320, после поправки Бонферрони p=0.2557. Следовательно, преимущество после учёта множественных сравнений не подтверждено на уровне 0,05. Интервал прироста в CSV построен кластерно по покупателям; он не скорректирован на множественный поиск.</w:t>
      </w:r>
    </w:p>
    <w:p>
      <w:pPr>
        <w:pStyle w:val="Heading1"/>
      </w:pPr>
      <w:r>
        <w:t>Абляции, пропуски и перенос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Нет модальности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F1 покупки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0.6571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0.4130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0.1403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numbers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0.4522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0.0000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0.1325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0.6317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0.3536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0.1193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Новые покупатели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F1 покупки</w:t>
            </w:r>
          </w:p>
        </w:tc>
        <w:tc>
          <w:tcPr>
            <w:tcW w:type="dxa" w:w="2409"/>
            <w:shd w:fill="16324F"/>
          </w:tcPr>
          <w:p>
            <w:r>
              <w:rPr>
                <w:b/>
                <w:color w:val="FFFFFF"/>
              </w:rPr>
              <w:t>Brier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text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0.5921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0.2646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0.1088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numbers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0.5179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0.1146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0.1296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0.5491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0.1775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0.1107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early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0.5802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0.2404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0.1072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late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0.5712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0.2197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0.1076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text_image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0.5794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0.2421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0.1088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numbers_image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0.5318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0.1401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0.1089</w:t>
            </w:r>
          </w:p>
        </w:tc>
      </w:tr>
      <w:tr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0.5862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0.2514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sz w:val="18"/>
              </w:rPr>
              <w:t>0.1082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 descr="Рисунок 2. Средняя валидационная сходимость по se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Средняя валидационная сходимость по seed.</w:t>
      </w:r>
    </w:p>
    <w:p>
      <w:r>
        <w:t>Ошибки редкого класса покупки анализируются в errors.csv; общий дисбаланс делает accuracy недостаточной. Изображение нормируется отдельно внутри каждого окна и теряет абсолютный масштаб: это известное ограничение. Маскирование при тесте не заменяет обучение на независимом наборе пропусков. Результаты не доказывают пользу фотографий товара или отзывов: их в исходных данных нет.</w:t>
      </w:r>
    </w:p>
    <w:p>
      <w:pPr>
        <w:pStyle w:val="Heading1"/>
      </w:pPr>
      <w:r>
        <w:t>Вывод</w:t>
      </w:r>
    </w:p>
    <w:p>
      <w:r>
        <w:t>Усложнение до трёх модальностей не получает подтверждённого преимущества после коррекции множественных сравнений. Для прототипа сохраняется компактная выбранная схема; дальнейшая работа требует независимых timestamped-модальностей и более длинного отложенного периода.</w:t>
      </w:r>
    </w:p>
    <w:p>
      <w:r>
        <w:t>Запуск: .venv/Scripts/python.exe lab02_multimodal/run.py. В results доступны все пять seed, checkpoints, learning.csv, validation.csv, metrics.csv, predictions.csv, permutation.csv, ablations.csv и errors.csv. Паспорт обоих первичных наборов находится в shared/data/schemas.json; лицензия и версия — в manifest.json.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703.04247" TargetMode="External"/><Relationship Id="rId10" Type="http://schemas.openxmlformats.org/officeDocument/2006/relationships/hyperlink" Target="https://arxiv.org/abs/2103.00020" TargetMode="External"/><Relationship Id="rId11" Type="http://schemas.openxmlformats.org/officeDocument/2006/relationships/hyperlink" Target="https://arxiv.org/abs/2102.03334" TargetMode="External"/><Relationship Id="rId12" Type="http://schemas.openxmlformats.org/officeDocument/2006/relationships/hyperlink" Target="https://arxiv.org/abs/2301.12597" TargetMode="External"/><Relationship Id="rId13" Type="http://schemas.openxmlformats.org/officeDocument/2006/relationships/hyperlink" Target="https://arxiv.org/abs/2204.14198" TargetMode="External"/><Relationship Id="rId14" Type="http://schemas.openxmlformats.org/officeDocument/2006/relationships/hyperlink" Target="https://arxiv.org/abs/1912.09363" TargetMode="External"/><Relationship Id="rId15" Type="http://schemas.openxmlformats.org/officeDocument/2006/relationships/hyperlink" Target="https://arxiv.org/abs/2310.01728" TargetMode="External"/><Relationship Id="rId16" Type="http://schemas.openxmlformats.org/officeDocument/2006/relationships/hyperlink" Target="https://arxiv.org/abs/2205.13504" TargetMode="External"/><Relationship Id="rId17" Type="http://schemas.openxmlformats.org/officeDocument/2006/relationships/hyperlink" Target="https://arxiv.org/abs/1606.07792" TargetMode="External"/><Relationship Id="rId18" Type="http://schemas.openxmlformats.org/officeDocument/2006/relationships/hyperlink" Target="https://arxiv.org/abs/2210.02186" TargetMode="External"/><Relationship Id="rId19" Type="http://schemas.openxmlformats.org/officeDocument/2006/relationships/hyperlink" Target="https://arxiv.org/abs/1908.07490" TargetMode="External"/><Relationship Id="rId20" Type="http://schemas.openxmlformats.org/officeDocument/2006/relationships/hyperlink" Target="https://arxiv.org/abs/2201.12086" TargetMode="External"/><Relationship Id="rId21" Type="http://schemas.openxmlformats.org/officeDocument/2006/relationships/image" Target="media/image1.png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Мультимодальные модели</dc:title>
  <dc:subject>Разработка многоагентной системы персонализированного управления скидками в электронной коммерции</dc:subject>
  <dc:creator>Индивидуальный исследовательский 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