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3. Мультиагентное обучение с подкреплением</w:t>
      </w:r>
    </w:p>
    <w:p>
      <w:r>
        <w:t>Прикладные задачи машинного обучения</w:t>
      </w:r>
    </w:p>
    <w:p>
      <w:r>
        <w:t>Разработка многоагентной системы персонализированного управления скидками в электронной коммерции</w:t>
      </w:r>
    </w:p>
    <w:p>
      <w:r>
        <w:t>Индивидуальный исследовательский проект. Дата экспериментов: 22 октября 2026 г.</w:t>
      </w:r>
    </w:p>
    <w:p>
      <w:pPr>
        <w:pStyle w:val="Heading1"/>
      </w:pPr>
      <w:r>
        <w:t>Задача и гипотеза</w:t>
      </w:r>
    </w:p>
    <w:p>
      <w:r>
        <w:t>H3: координация агентов увеличивает прибыль относительно равномерного распределения бюджета без нарушений лимитов.</w:t>
      </w:r>
    </w:p>
    <w:p>
      <w:pPr>
        <w:pStyle w:val="Heading1"/>
      </w:pPr>
      <w:r>
        <w:t>Исследовательский обзор и разрыв</w:t>
      </w:r>
    </w:p>
    <w:p>
      <w:r>
        <w:t>Поисковый запрос: (cooperative MARL OR CTDE OR credit assignment OR constrained RL) AND coupon pricing; многоагентное обучение с подкреплением</w:t>
      </w:r>
    </w:p>
    <w:p>
      <w:r>
        <w:t>PRISMA-подобный учёт: рассмотрено 14, дублей 0, исключено 2, включено 12. Использован целевой поиск первичных работ с переходом по ссылкам. Это учёт реального ограниченного скрининга, а не заявление об исчерпывающем поиске во всех базах. Причины исключения и дата сохранены в literature_screening.json.</w:t>
      </w:r>
    </w:p>
    <w:p>
      <w:pPr>
        <w:pStyle w:val="Heading2"/>
      </w:pPr>
      <w:r>
        <w:t>1. Dai et al. (2024)</w:t>
      </w:r>
    </w:p>
    <w:p>
      <w:r>
        <w:t>Data-Driven Real-time Coupon Allocation in the Online Platform. Препринт / первичный отчёт. CVR-предиктор + dual-оптимизация + контроль. Исходные данные: Платформенные наблюдения и полевые эксперименты. Протокол: Распределение купонов при бюджете. Метрики: Конверсия; выручка; выполнение бюджета.</w:t>
      </w:r>
    </w:p>
    <w:p>
      <w:r>
        <w:t>Ограничение для ВКР: Проприетарная среда не доступна для прямой репликации. Решение для эксперимента: Отделить прогноз, выбор скидки и бюджетный контроллер.</w:t>
      </w:r>
    </w:p>
    <w:p>
      <w:hyperlink r:id="rId9">
        <w:r>
          <w:rPr>
            <w:color w:val="237C8B"/>
            <w:sz w:val="18"/>
          </w:rPr>
          <w:t>https://arxiv.org/abs/2406.05987</w:t>
        </w:r>
      </w:hyperlink>
    </w:p>
    <w:p>
      <w:pPr>
        <w:pStyle w:val="Heading2"/>
      </w:pPr>
      <w:r>
        <w:t>2. Sunehag et al. (2017)</w:t>
      </w:r>
    </w:p>
    <w:p>
      <w:r>
        <w:t>Value-Decomposition Networks For Cooperative Multi-Agent Learning. AAMAS 2018. Сумма локальных Q-функций. Исходные данные: Кооперативные игровые среды. Протокол: Общая награда, децентрализованные действия. Метрики: Team return.</w:t>
      </w:r>
    </w:p>
    <w:p>
      <w:r>
        <w:t>Ограничение для ВКР: Аддитивность ограничивает взаимодействия. Решение для эксперимента: Сравнить VDN с IQL при общем бюджете.</w:t>
      </w:r>
    </w:p>
    <w:p>
      <w:hyperlink r:id="rId10">
        <w:r>
          <w:rPr>
            <w:color w:val="237C8B"/>
            <w:sz w:val="18"/>
          </w:rPr>
          <w:t>https://arxiv.org/abs/1706.05296</w:t>
        </w:r>
      </w:hyperlink>
    </w:p>
    <w:p>
      <w:pPr>
        <w:pStyle w:val="Heading2"/>
      </w:pPr>
      <w:r>
        <w:t>3. Rashid et al. (2018)</w:t>
      </w:r>
    </w:p>
    <w:p>
      <w:r>
        <w:t>QMIX: Monotonic Value Function Factorisation for Deep Multi-Agent Reinforcement Learning. ICML 2018. Монотонный state-conditioned mixer. Исходные данные: Кооперативные задачи StarCraft. Протокол: CTDE с локальным исполнением. Метрики: Team win rate/return.</w:t>
      </w:r>
    </w:p>
    <w:p>
      <w:r>
        <w:t>Ограничение для ВКР: Не все взаимодействия категорий монотонны. Решение для эксперимента: Проверить неотрицательные веса mixer.</w:t>
      </w:r>
    </w:p>
    <w:p>
      <w:hyperlink r:id="rId11">
        <w:r>
          <w:rPr>
            <w:color w:val="237C8B"/>
            <w:sz w:val="18"/>
          </w:rPr>
          <w:t>https://proceedings.mlr.press/v80/rashid18a.html</w:t>
        </w:r>
      </w:hyperlink>
    </w:p>
    <w:p>
      <w:pPr>
        <w:pStyle w:val="Heading2"/>
      </w:pPr>
      <w:r>
        <w:t>4. Son et al. (2019)</w:t>
      </w:r>
    </w:p>
    <w:p>
      <w:r>
        <w:t>QTRAN: Learning to Factorize with Transformation for Cooperative Multi-Agent Reinforcement Learning. ICML 2019. Joint-Q + оптимальные/неоптимальные ограничения. Исходные данные: Кооперативные среды. Протокол: TD и трансформационные потери. Метрики: Team return.</w:t>
      </w:r>
    </w:p>
    <w:p>
      <w:r>
        <w:t>Ограничение для ВКР: Дополнительные ограничения усложняют оптимизацию. Решение для эксперимента: Сохранять TD/constraint losses и неудачи.</w:t>
      </w:r>
    </w:p>
    <w:p>
      <w:hyperlink r:id="rId12">
        <w:r>
          <w:rPr>
            <w:color w:val="237C8B"/>
            <w:sz w:val="18"/>
          </w:rPr>
          <w:t>https://arxiv.org/abs/1905.05408</w:t>
        </w:r>
      </w:hyperlink>
    </w:p>
    <w:p>
      <w:pPr>
        <w:pStyle w:val="Heading2"/>
      </w:pPr>
      <w:r>
        <w:t>5. Foerster et al. (2017)</w:t>
      </w:r>
    </w:p>
    <w:p>
      <w:r>
        <w:t>Counterfactual Multi-Agent Policy Gradients. AAAI 2018. Центральный action-conditioned critic. Исходные данные: Кооперативные игровые задачи. Протокол: Counterfactual baseline при общей награде. Метрики: Team return/win rate.</w:t>
      </w:r>
    </w:p>
    <w:p>
      <w:r>
        <w:t>Ограничение для ВКР: Critic требует глобального состояния при обучении. Решение для эксперимента: Обнулить действие текущего агента во входе critic.</w:t>
      </w:r>
    </w:p>
    <w:p>
      <w:hyperlink r:id="rId13">
        <w:r>
          <w:rPr>
            <w:color w:val="237C8B"/>
            <w:sz w:val="18"/>
          </w:rPr>
          <w:t>https://arxiv.org/abs/1705.08926</w:t>
        </w:r>
      </w:hyperlink>
    </w:p>
    <w:p>
      <w:pPr>
        <w:pStyle w:val="Heading2"/>
      </w:pPr>
      <w:r>
        <w:t>6. Yu et al. (2021)</w:t>
      </w:r>
    </w:p>
    <w:p>
      <w:r>
        <w:t>The Surprising Effectiveness of PPO in Cooperative, Multi-Agent Games. NeurIPS 2022. PPO с централизованной value-функцией. Исходные данные: SMAC, MPE, Hanabi. Протокол: Контролируемое сравнение cooperative MARL. Метрики: Team return; sample efficiency.</w:t>
      </w:r>
    </w:p>
    <w:p>
      <w:r>
        <w:t>Ограничение для ВКР: Чувствителен к деталям обучения и масштабу reward. Решение для эксперимента: Сравнить с IPPO при том же rollout-бюджете.</w:t>
      </w:r>
    </w:p>
    <w:p>
      <w:hyperlink r:id="rId14">
        <w:r>
          <w:rPr>
            <w:color w:val="237C8B"/>
            <w:sz w:val="18"/>
          </w:rPr>
          <w:t>https://arxiv.org/abs/2103.01955</w:t>
        </w:r>
      </w:hyperlink>
    </w:p>
    <w:p>
      <w:pPr>
        <w:pStyle w:val="Heading2"/>
      </w:pPr>
      <w:r>
        <w:t>7. Schulman et al. (2017)</w:t>
      </w:r>
    </w:p>
    <w:p>
      <w:r>
        <w:t>Proximal Policy Optimization Algorithms. Препринт / первичный отчёт. Clipped policy-gradient objective. Исходные данные: Наборы задач управления. Протокол: On-policy rollout; несколько эпох. Метрики: Return; sample efficiency.</w:t>
      </w:r>
    </w:p>
    <w:p>
      <w:r>
        <w:t>Ограничение для ВКР: Многократное использование off-policy данных недопустимо. Решение для эксперимента: Отдельный централизованный PPO baseline.</w:t>
      </w:r>
    </w:p>
    <w:p>
      <w:hyperlink r:id="rId15">
        <w:r>
          <w:rPr>
            <w:color w:val="237C8B"/>
            <w:sz w:val="18"/>
          </w:rPr>
          <w:t>https://arxiv.org/abs/1707.06347</w:t>
        </w:r>
      </w:hyperlink>
    </w:p>
    <w:p>
      <w:pPr>
        <w:pStyle w:val="Heading2"/>
      </w:pPr>
      <w:r>
        <w:t>8. Lowe et al. (2017)</w:t>
      </w:r>
    </w:p>
    <w:p>
      <w:r>
        <w:t>Multi-Agent Actor-Critic for Mixed Cooperative-Competitive Environments. NeurIPS 2017. Центральный critic, локальные actors. Исходные данные: Multi-agent particle environments. Протокол: CTDE cooperative/competitive. Метрики: Вознаграждение агентов.</w:t>
      </w:r>
    </w:p>
    <w:p>
      <w:r>
        <w:t>Ограничение для ВКР: Непрерывные действия отличаются от сетки скидок. Решение для эксперимента: Обосновать границу локального исполнения.</w:t>
      </w:r>
    </w:p>
    <w:p>
      <w:hyperlink r:id="rId16">
        <w:r>
          <w:rPr>
            <w:color w:val="237C8B"/>
            <w:sz w:val="18"/>
          </w:rPr>
          <w:t>https://arxiv.org/abs/1706.02275</w:t>
        </w:r>
      </w:hyperlink>
    </w:p>
    <w:p>
      <w:pPr>
        <w:pStyle w:val="Heading2"/>
      </w:pPr>
      <w:r>
        <w:t>9. Achiam et al. (2017)</w:t>
      </w:r>
    </w:p>
    <w:p>
      <w:r>
        <w:t>Constrained Policy Optimization. ICML 2017. Policy optimization с ограничением стоимости. Исходные данные: Constrained control tasks. Протокол: Reward и constraint отдельно. Метрики: Return; constraint cost.</w:t>
      </w:r>
    </w:p>
    <w:p>
      <w:r>
        <w:t>Ограничение для ВКР: Ожидаемое ограничение не равно жёсткому лимиту каждой сделки. Решение для эксперимента: Сохранить внешний жёсткий контроллер.</w:t>
      </w:r>
    </w:p>
    <w:p>
      <w:hyperlink r:id="rId17">
        <w:r>
          <w:rPr>
            <w:color w:val="237C8B"/>
            <w:sz w:val="18"/>
          </w:rPr>
          <w:t>https://arxiv.org/abs/1705.10528</w:t>
        </w:r>
      </w:hyperlink>
    </w:p>
    <w:p>
      <w:pPr>
        <w:pStyle w:val="Heading2"/>
      </w:pPr>
      <w:r>
        <w:t>10. Ming Tan (1993)</w:t>
      </w:r>
    </w:p>
    <w:p>
      <w:r>
        <w:t>Multi-Agent Reinforcement Learning: Independent vs. Cooperative Agents. ICML 1993. Независимые и кооперативные Q-агенты. Исходные данные: Многоагентные задачи обучения. Протокол: Обмен опытом против независимого обучения. Метрики: Скорость и результат обучения.</w:t>
      </w:r>
    </w:p>
    <w:p>
      <w:r>
        <w:t>Ограничение для ВКР: Небольшие среды не доказывают эффект в торговле. Решение для эксперимента: IQL как контроль отсутствия координации.</w:t>
      </w:r>
    </w:p>
    <w:p>
      <w:hyperlink r:id="rId18">
        <w:r>
          <w:rPr>
            <w:color w:val="237C8B"/>
            <w:sz w:val="18"/>
          </w:rPr>
          <w:t>https://web.media.mit.edu/~cynthiab/Readings/tan-MAS-reinfLearn.pdf</w:t>
        </w:r>
      </w:hyperlink>
    </w:p>
    <w:p>
      <w:pPr>
        <w:pStyle w:val="Heading2"/>
      </w:pPr>
      <w:r>
        <w:t>11. Новиков Н.П., Виноградов В.И. (2024)</w:t>
      </w:r>
    </w:p>
    <w:p>
      <w:r>
        <w:t>Опыт использования архитектуры сети Transformer для аппроксимации политики агента в обучении с подкреплением. Моделирование и анализ данных 14(2), 7–22; отечественная работа. Transformer для аппроксимации политики. Исходные данные: Задачи RL, описанные авторами. Протокол: Сравнение архитектур политики. Метрики: Вознаграждение в исходных средах.</w:t>
      </w:r>
    </w:p>
    <w:p>
      <w:r>
        <w:t>Ограничение для ВКР: Не является экспериментом персонализированных скидок. Решение для эксперимента: Отечественный контекст; не смешивать RL и доказательство MARL-эффекта.</w:t>
      </w:r>
    </w:p>
    <w:p>
      <w:hyperlink r:id="rId19">
        <w:r>
          <w:rPr>
            <w:color w:val="237C8B"/>
            <w:sz w:val="18"/>
          </w:rPr>
          <w:t>https://psyjournals.ru/journals/mda/archive/2024_n2/Novikov_Vinogradov</w:t>
        </w:r>
      </w:hyperlink>
    </w:p>
    <w:p>
      <w:pPr>
        <w:pStyle w:val="Heading2"/>
      </w:pPr>
      <w:r>
        <w:t>12. Watkins and Dayan (1992)</w:t>
      </w:r>
    </w:p>
    <w:p>
      <w:r>
        <w:t>Q-learning. Machine Learning 8, 279–292. Табличное Q-learning. Исходные данные: Марковские задачи принятия решений. Протокол: Теорема при предпосылках стационарности. Метрики: Сходимость Q.</w:t>
      </w:r>
    </w:p>
    <w:p>
      <w:r>
        <w:t>Ограничение для ВКР: Теория табличной стационарной среды не гарантирует neural MARL. Решение для эксперимента: Явно ограничить выводы о сходимости.</w:t>
      </w:r>
    </w:p>
    <w:p>
      <w:hyperlink r:id="rId20">
        <w:r>
          <w:rPr>
            <w:color w:val="237C8B"/>
            <w:sz w:val="18"/>
          </w:rPr>
          <w:t>https://link.springer.com/article/10.1007/BF00992698</w:t>
        </w:r>
      </w:hyperlink>
    </w:p>
    <w:p>
      <w:r>
        <w:t>Полная сравнительная матрица приложена в literature.csv. Рейтинги A/A* и квартиль Q1 не приписываются изданиям без отдельной проверки; статус препринтов и первичного лекционного источника RMSProp указан явно.</w:t>
      </w:r>
    </w:p>
    <w:p>
      <w:r>
        <w:t>Разрыв выбранного обзора: совместимость credit assignment с бюджетом и минимальной маржой не следует из результатов игровых сред. Требуется сравнение с равномерной скидкой и одноагентным PPO при одинаковых взаимодействиях и явной модели спроса.</w:t>
      </w:r>
    </w:p>
    <w:p>
      <w:pPr>
        <w:pStyle w:val="Heading1"/>
      </w:pPr>
      <w:r>
        <w:t>Данные, очистка и временной протокол</w:t>
      </w:r>
    </w:p>
    <w:p>
      <w:r>
        <w:t>Источник: Complete Journey, обработанная версия пакета completejourney. Транзакции: 1,469,307; товарный каталог: 92 331 строка. Точные дубликаты транзакций: 0; исключённые некорректные строки: 11061. Пропусков в исходных полях транзакций не найдено. Служебные купонные записи и топливо исключены из выбора товарных категорий.</w:t>
      </w:r>
    </w:p>
    <w:p>
      <w:r>
        <w:t>Основная выборка: 200 покупателей, 8 категорий. Дополнительный перенос: 20 покупателей, отсутствующих в обучении. Единица наблюдения — покупатель, категория и неделя. Класс 1 означает хотя бы одну покупку в категории в целевую неделю. Панель содержит 66,560 объектов.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Часть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Объекты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7926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1674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38345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8055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7943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1657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825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135</w:t>
            </w:r>
          </w:p>
        </w:tc>
      </w:tr>
    </w:tbl>
    <w:p/>
    <w:p>
      <w:r>
        <w:t>Признаки используют четыре недели до целевой. Части идут в порядке времени 60/20/20, пограничные окна удалены: последняя целевая неделя предыдущей части раньше первой недели истории следующей части. Временной индекс взят из набора, гражданский часовой пояс не выдумывается. Масштабирование и текстовый словарь обучены только на train. Идентификатор покупателя не подаётся в модель.</w:t>
      </w:r>
    </w:p>
    <w:p>
      <w:r>
        <w:t>Дисбаланс требует Macro-F1 и F1 класса покупки наряду с accuracy. Повторяющиеся числовые профили допустимы у независимых покупателей и сами по себе не доказывают утечку. Автоматическая проверка меняет будущие транзакции и требует неизменности прошлых признаков.</w:t>
      </w:r>
    </w:p>
    <w:p>
      <w:r>
        <w:t>Версия источника: 5b5d06192b9856edd04e4d405787af2f2e4a1fef. SHA-256 панели: 5063df19106d13e603a54abd67efa7c48d7dbc95a28216ee310c0105d3200428. Лицензия пакета указана как CC0; URL, контрольные суммы файлов и схемы находятся в shared/data/manifest.json и schemas.json. Источник: https://bradleyboehmke.github.io/completejourney/</w:t>
      </w:r>
    </w:p>
    <w:p>
      <w:r>
        <w:t>Аудит текстовых профилей: уникальных 20037, повторяющихся групп 2127, точных профилей в нескольких частях 988. Для фиксированных 500 test-объектов проверен ближайший train-профиль по TF-IDF cosine; сходство ≥0,97 у 397, в том числе один и тот же покупатель у 6. Пустые/сходные истории могут повторяться у независимых покупателей; это ограничение различимости, а не доказательство утечки будущей метки. Ближайшие пары и описательные статистики сохранены в shared/data.</w:t>
      </w:r>
    </w:p>
    <w:p>
      <w:pPr>
        <w:pStyle w:val="Heading1"/>
      </w:pPr>
      <w:r>
        <w:t>Спецификация среды</w:t>
      </w:r>
    </w:p>
    <w:p>
      <w:r>
        <w:t>Агентов восемь, по одному на категорию. Наблюдение агента: прогноз спроса компактной модели, оставшаяся доля бюджета, доля пройденного эпизода, текущий режим и one-hot категории. Состояние центрального critic — объединённые наблюдения. Действия: 0%, 5%, 10%, 15%, 20%. Исполнение локальной политики не использует critic. Одноагентный PPO получает всё состояние и выбирает вектор действий.</w:t>
      </w:r>
    </w:p>
    <w:p>
      <w:r>
        <w:t>Переход: p_i=clip(base_i + 1,2*d_i − 0,25*mean(d_others), 0,001, 0,999). Покупка — Bernoulli, не более одной единицы на категорию и неделю. Цена оценивается только по train. Базовая себестоимость 60% цены, бюджет эпизода 5 денежных единиц. Награда: прибыль/10 − 0,05×число предложенных нарушений. Эпизод заканчивается после доступных недель соответствующей части. Вся причинная реакция на скидку и себестоимость заданы предположениями.</w:t>
      </w:r>
    </w:p>
    <w:p>
      <w:r>
        <w:t>Контроллер сохраняет минимальную маржу 10%, максимальную скидку 20% и консервативный бюджет при покупке по одной единице всех категорий. Он учитывает повышенную себестоимость стресс-сценария. Предложенные и фактически применённые нарушения учитываются отдельно. Жадное уменьшение скидок при равенстве может зависеть от порядка категорий; это ограничение контроллера.</w:t>
      </w:r>
    </w:p>
    <w:p>
      <w:pPr>
        <w:pStyle w:val="Heading1"/>
      </w:pPr>
      <w:r>
        <w:t>Алгоритмы и одинаковый бюджет</w:t>
      </w:r>
    </w:p>
    <w:p>
      <w:r>
        <w:t>IQL — локальный TD; VDN — сумма Q; QMIX — монотонный mixer с неотрицательными весами; QTRAN — joint TD и ограничения оптимальности. IAC использует локальный value; IPPO — локальный value и clipped objective; MAPPO — центральный value; COMA — action-conditioned critic и counterfactual baseline. Это компактные feed-forward варианты с разделяемыми локальными параметрами, не полные воспроизведения игровых benchmark.</w:t>
      </w:r>
    </w:p>
    <w:p>
      <w:r>
        <w:t>Каждый алгоритм и PPO обучены на 2000 взаимодействиях для каждого из пяти seed; LR 0,001, gamma 0,95. Q-методы используют replay и target networks, actor-critic — последовательные rollout. Бюджет взаимодействий равен, число градиентных обновлений различается по природе алгоритмов и записано в реализации. Равномерный baseline выбирает одинаковую доступную скидку и делит бюджет между оставшимися неделями. Подтверждения сходимости за этот короткий бюджет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Прибыль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SD по seed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Расход скидок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Нарушения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COMA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7.1958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0.1385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1.5722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IAC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6.9341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0.2156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1.7682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IPPO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6.9831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0.4338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1.6922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IQL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6.6276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0.7089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2.5345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MAPPO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7.0214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0.6377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2.6116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PPO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6.7789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0.1937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3.0023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QMIX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6.6879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0.2766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2.5029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QTRAN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6.9133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0.5598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2.8811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Uniform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7.1349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2.1370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VDN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6.8455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0.4405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3.4180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 descr="Рисунок 1. Средняя прибыль в симуляции; это не исторический causal back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Средняя прибыль в симуляции; это не исторический causal backtest.</w:t>
      </w:r>
    </w:p>
    <w:p>
      <w:r>
        <w:t>Выбор по validation: COMA. На test средняя прибыль 7.1958 против 7.1349 у равномерного baseline, разность 0.0609. Небольшая разность и интервалы не обосновывают устойчивого экономического превосходства. У Uniform SD по обучающим seed равна нулю, поскольку baseline не обучается и использует одинаковые сценарии; это не означает отсутствие рыночной неопределённости.</w:t>
      </w:r>
    </w:p>
    <w:p>
      <w:r>
        <w:t>Парный bootstrap с независимым ресэмплингом осей seed и сценария: Δ=0.0609, CI [-0.1681;0.3133]. Это интервал для проверенного симулятора; локальное подтверждение H3: нет.</w:t>
      </w:r>
    </w:p>
    <w:p>
      <w:pPr>
        <w:pStyle w:val="Heading1"/>
      </w:pPr>
      <w:r>
        <w:t>Стресс-тест и абляции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Режим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Абляция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Прибыль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Нарушения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high_cost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3.9078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low_demand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4.5728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low_elasticity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5.0412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markov_switching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7.1445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normal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no_budget_signal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7.2316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normal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no_cooperation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6.6276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normal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no_personalization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8.0299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</w:tbl>
    <w:p/>
    <w:p>
      <w:r>
        <w:t>Low demand уменьшает базовый спрос вдвое, low elasticity уменьшает эластичность до четверти, high cost повышает себестоимость на 15 п.п. Markov-switching использует P=[[0,85;0,15],[0,30;0,70]] и спрос 1 или 0,5 от базового. Абляции убирают персонализацию, общий бюджетный сигнал или заменяют кооперативную политику IQL. Последняя абляция является заменой метода, а не причинно изолированным удалением одного слоя.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 descr="Рисунок 2. Кривые прибыли обучения, усреднённые по se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Кривые прибыли обучения, усреднённые по seed.</w:t>
      </w:r>
    </w:p>
    <w:p>
      <w:pPr>
        <w:pStyle w:val="Heading1"/>
      </w:pPr>
      <w:r>
        <w:t>Вывод и риски</w:t>
      </w:r>
    </w:p>
    <w:p>
      <w:r>
        <w:t>Жёсткие ограничения выполняются на проверенных траекториях, однако это не гарантия для другой модели спроса. Положительное отклонение прибыли не равно доказанному эффекту в магазине. Требуются более длинное обучение, больше независимых сценариев, анализ бюджетного контроллера и рандомизированный эксперимент до внедрения. Признаки дохода и демографии в персонализацию не включаются.</w:t>
      </w:r>
    </w:p>
    <w:p>
      <w:r>
        <w:t>Запуск: .venv/Scripts/python.exe lab03_marl/run.py. environment.json, training.csv, learning.csv, validation.csv, episodes.csv, violations.jsonl, summary.csv, risk_card.json и checkpoints приложены. Доходность/Sharpe финансовой методички заменены прибылью, расходом скидок, стабильностью и выполнением ограничений в согласованной теме ВКР.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406.05987" TargetMode="External"/><Relationship Id="rId10" Type="http://schemas.openxmlformats.org/officeDocument/2006/relationships/hyperlink" Target="https://arxiv.org/abs/1706.05296" TargetMode="External"/><Relationship Id="rId11" Type="http://schemas.openxmlformats.org/officeDocument/2006/relationships/hyperlink" Target="https://proceedings.mlr.press/v80/rashid18a.html" TargetMode="External"/><Relationship Id="rId12" Type="http://schemas.openxmlformats.org/officeDocument/2006/relationships/hyperlink" Target="https://arxiv.org/abs/1905.05408" TargetMode="External"/><Relationship Id="rId13" Type="http://schemas.openxmlformats.org/officeDocument/2006/relationships/hyperlink" Target="https://arxiv.org/abs/1705.08926" TargetMode="External"/><Relationship Id="rId14" Type="http://schemas.openxmlformats.org/officeDocument/2006/relationships/hyperlink" Target="https://arxiv.org/abs/2103.01955" TargetMode="External"/><Relationship Id="rId15" Type="http://schemas.openxmlformats.org/officeDocument/2006/relationships/hyperlink" Target="https://arxiv.org/abs/1707.06347" TargetMode="External"/><Relationship Id="rId16" Type="http://schemas.openxmlformats.org/officeDocument/2006/relationships/hyperlink" Target="https://arxiv.org/abs/1706.02275" TargetMode="External"/><Relationship Id="rId17" Type="http://schemas.openxmlformats.org/officeDocument/2006/relationships/hyperlink" Target="https://arxiv.org/abs/1705.10528" TargetMode="External"/><Relationship Id="rId18" Type="http://schemas.openxmlformats.org/officeDocument/2006/relationships/hyperlink" Target="https://web.media.mit.edu/~cynthiab/Readings/tan-MAS-reinfLearn.pdf" TargetMode="External"/><Relationship Id="rId19" Type="http://schemas.openxmlformats.org/officeDocument/2006/relationships/hyperlink" Target="https://psyjournals.ru/journals/mda/archive/2024_n2/Novikov_Vinogradov" TargetMode="External"/><Relationship Id="rId20" Type="http://schemas.openxmlformats.org/officeDocument/2006/relationships/hyperlink" Target="https://link.springer.com/article/10.1007/BF00992698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 Мультиагентное обучение с подкреплением</dc:title>
  <dc:subject>Разработка многоагентной системы персонализированного управления скидками в электронной коммерции</dc:subject>
  <dc:creator>Индивидуальный исследовательский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