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4. Методы оптимизации и стохастические процессы</w:t>
      </w:r>
    </w:p>
    <w:p>
      <w:r>
        <w:t>Прикладные задачи машинного обучения</w:t>
      </w:r>
    </w:p>
    <w:p>
      <w:r>
        <w:t>Разработка многоагентной системы персонализированного управления скидками в электронной коммерции</w:t>
      </w:r>
    </w:p>
    <w:p>
      <w:r>
        <w:t>Индивидуальный исследовательский проект. Дата экспериментов: 22 октября 2026 г.</w:t>
      </w:r>
    </w:p>
    <w:p>
      <w:pPr>
        <w:pStyle w:val="Heading1"/>
      </w:pPr>
      <w:r>
        <w:t>Цель и гипотеза</w:t>
      </w:r>
    </w:p>
    <w:p>
      <w:r>
        <w:t>H4: устойчивый оптимизатор сохраняет преимущество при переносе на другую схему признаков.</w:t>
      </w:r>
    </w:p>
    <w:p>
      <w:pPr>
        <w:pStyle w:val="Heading1"/>
      </w:pPr>
      <w:r>
        <w:t>Исследовательский обзор и разрыв</w:t>
      </w:r>
    </w:p>
    <w:p>
      <w:r>
        <w:t>Поисковый запрос: (stochastic optimization OR adaptive gradient OR high probability OR Markovian sampling)</w:t>
      </w:r>
    </w:p>
    <w:p>
      <w:r>
        <w:t>PRISMA-подобный учёт: рассмотрено 14, дублей 0, исключено 2, включено 12. Использован целевой поиск первичных работ с переходом по ссылкам. Это учёт реального ограниченного скрининга, а не заявление об исчерпывающем поиске во всех базах. Причины исключения и дата сохранены в literature_screening.json.</w:t>
      </w:r>
    </w:p>
    <w:p>
      <w:pPr>
        <w:pStyle w:val="Heading2"/>
      </w:pPr>
      <w:r>
        <w:t>1. Robbins and Monro (1951)</w:t>
      </w:r>
    </w:p>
    <w:p>
      <w:r>
        <w:t>A Stochastic Approximation Method. Annals of Mathematical Statistics. Стохастическая аппроксимация. Исходные данные: Теоретическая постановка. Протокол: Условия на шум и шаг. Метрики: Асимптотическая сходимость.</w:t>
      </w:r>
    </w:p>
    <w:p>
      <w:r>
        <w:t>Ограничение для ВКР: Нужны предпосылки, не доказанные для retail neural model. Решение для эксперимента: Разделить теорию и локальный эксперимент.</w:t>
      </w:r>
    </w:p>
    <w:p>
      <w:hyperlink r:id="rId9">
        <w:r>
          <w:rPr>
            <w:color w:val="237C8B"/>
            <w:sz w:val="18"/>
          </w:rPr>
          <w:t>https://projecteuclid.org/journals/annals-of-mathematical-statistics/volume-22/issue-3/A-Stochastic-Approximation-Method/10.1214/aoms/1177729586.full</w:t>
        </w:r>
      </w:hyperlink>
    </w:p>
    <w:p>
      <w:pPr>
        <w:pStyle w:val="Heading2"/>
      </w:pPr>
      <w:r>
        <w:t>2. Поляк Б.Т. (1964)</w:t>
      </w:r>
    </w:p>
    <w:p>
      <w:r>
        <w:t>О некоторых способах ускорения сходимости итерационных методов. ЖВМиМФ 4(5), 791–803; отечественная работа. Метод тяжёлого шарика. Исходные данные: Теоретические задачи минимизации. Протокол: Анализ ускорения итераций. Метрики: Скорость сходимости.</w:t>
      </w:r>
    </w:p>
    <w:p>
      <w:r>
        <w:t>Ограничение для ВКР: Детерминированная теория не гарантирует преимущества SGD momentum. Решение для эксперимента: Включить SGD с momentum.</w:t>
      </w:r>
    </w:p>
    <w:p>
      <w:hyperlink r:id="rId10">
        <w:r>
          <w:rPr>
            <w:color w:val="237C8B"/>
            <w:sz w:val="18"/>
          </w:rPr>
          <w:t>https://www.mathnet.ru/rus/zvmmf7713</w:t>
        </w:r>
      </w:hyperlink>
    </w:p>
    <w:p>
      <w:pPr>
        <w:pStyle w:val="Heading2"/>
      </w:pPr>
      <w:r>
        <w:t>3. Нестеров Ю.Е. (1983)</w:t>
      </w:r>
    </w:p>
    <w:p>
      <w:r>
        <w:t>Метод решения задачи выпуклого программирования со скоростью сходимости O(1/k²). Доклады АН СССР 269(3), 543–547; отечественная работа. Ускоренный градиентный метод. Исходные данные: Гладкая выпуклая оптимизация. Протокол: Теоретическая оценка. Метрики: O(1/k²).</w:t>
      </w:r>
    </w:p>
    <w:p>
      <w:r>
        <w:t>Ограничение для ВКР: Модель лабораторной невыпукла. Решение для эксперимента: Измерить Nesterov эмпирически, без переноса теоремы.</w:t>
      </w:r>
    </w:p>
    <w:p>
      <w:hyperlink r:id="rId11">
        <w:r>
          <w:rPr>
            <w:color w:val="237C8B"/>
            <w:sz w:val="18"/>
          </w:rPr>
          <w:t>https://www.mathnet.ru/rus/dan46009</w:t>
        </w:r>
      </w:hyperlink>
    </w:p>
    <w:p>
      <w:pPr>
        <w:pStyle w:val="Heading2"/>
      </w:pPr>
      <w:r>
        <w:t>4. Duchi, Hazan, Singer (2011)</w:t>
      </w:r>
    </w:p>
    <w:p>
      <w:r>
        <w:t>Adaptive Subgradient Methods for Online Learning and Stochastic Optimization. JMLR 12. Накопление квадратов градиента. Исходные данные: Online/стохастическая оптимизация. Протокол: Теория и эмпирическое сравнение. Метрики: Regret; loss.</w:t>
      </w:r>
    </w:p>
    <w:p>
      <w:r>
        <w:t>Ограничение для ВКР: Шаг может быстро уменьшаться. Решение для эксперимента: Проверить общую LR-сетку и кривые.</w:t>
      </w:r>
    </w:p>
    <w:p>
      <w:hyperlink r:id="rId12">
        <w:r>
          <w:rPr>
            <w:color w:val="237C8B"/>
            <w:sz w:val="18"/>
          </w:rPr>
          <w:t>https://jmlr.org/papers/v12/duchi11a.html</w:t>
        </w:r>
      </w:hyperlink>
    </w:p>
    <w:p>
      <w:pPr>
        <w:pStyle w:val="Heading2"/>
      </w:pPr>
      <w:r>
        <w:t>5. Tieleman and Hinton (2012)</w:t>
      </w:r>
    </w:p>
    <w:p>
      <w:r>
        <w:t>Neural Networks for Machine Learning, Lecture 6e: RMSProp. Первичный лекционный материал. Экспоненциальное среднее квадратов градиента. Исходные данные: Авторская лекция. Протокол: Описание алгоритма, не журнальная статья. Метрики: Loss; устойчивость шага.</w:t>
      </w:r>
    </w:p>
    <w:p>
      <w:r>
        <w:t>Ограничение для ВКР: Первичный лекционный источник без рецензирования. Решение для эксперимента: Не приписывать RMSProp несуществующую публикацию.</w:t>
      </w:r>
    </w:p>
    <w:p>
      <w:hyperlink r:id="rId13">
        <w:r>
          <w:rPr>
            <w:color w:val="237C8B"/>
            <w:sz w:val="18"/>
          </w:rPr>
          <w:t>https://www.cs.toronto.edu/~tijmen/csc321/slides/lecture_slides_lec6.pdf</w:t>
        </w:r>
      </w:hyperlink>
    </w:p>
    <w:p>
      <w:pPr>
        <w:pStyle w:val="Heading2"/>
      </w:pPr>
      <w:r>
        <w:t>6. Zeiler (2012)</w:t>
      </w:r>
    </w:p>
    <w:p>
      <w:r>
        <w:t>ADADELTA: An Adaptive Learning Rate Method. Препринт / первичный отчёт. Адаптивный масштаб обновлений. Исходные данные: Обучение нейронных сетей. Протокол: Сравнение адаптивных шагов. Метрики: Loss; task quality.</w:t>
      </w:r>
    </w:p>
    <w:p>
      <w:r>
        <w:t>Ограничение для ВКР: Общая узкая LR-сетка может быть невыгодна Adadelta. Решение для эксперимента: Оговорить потолок равного tuning-бюджета.</w:t>
      </w:r>
    </w:p>
    <w:p>
      <w:hyperlink r:id="rId14">
        <w:r>
          <w:rPr>
            <w:color w:val="237C8B"/>
            <w:sz w:val="18"/>
          </w:rPr>
          <w:t>https://arxiv.org/abs/1212.5701</w:t>
        </w:r>
      </w:hyperlink>
    </w:p>
    <w:p>
      <w:pPr>
        <w:pStyle w:val="Heading2"/>
      </w:pPr>
      <w:r>
        <w:t>7. Kingma and Ba (2014)</w:t>
      </w:r>
    </w:p>
    <w:p>
      <w:r>
        <w:t>Adam: A Method for Stochastic Optimization. ICLR 2015. Первый/второй момент градиента. Исходные данные: Оптимизация ML-моделей. Протокол: Теория и эксперименты. Метрики: Loss; скорость обучения.</w:t>
      </w:r>
    </w:p>
    <w:p>
      <w:r>
        <w:t>Ограничение для ВКР: Универсальное превосходство не доказано. Решение для эксперимента: Сравнить на общей инициализации.</w:t>
      </w:r>
    </w:p>
    <w:p>
      <w:hyperlink r:id="rId15">
        <w:r>
          <w:rPr>
            <w:color w:val="237C8B"/>
            <w:sz w:val="18"/>
          </w:rPr>
          <w:t>https://arxiv.org/abs/1412.6980</w:t>
        </w:r>
      </w:hyperlink>
    </w:p>
    <w:p>
      <w:pPr>
        <w:pStyle w:val="Heading2"/>
      </w:pPr>
      <w:r>
        <w:t>8. Loshchilov and Hutter (2017)</w:t>
      </w:r>
    </w:p>
    <w:p>
      <w:r>
        <w:t>Decoupled Weight Decay Regularization. ICLR 2019. Отделённый weight decay. Исходные данные: Нейросетевые benchmark. Протокол: Adam с L2 против decoupled decay. Метрики: Generalization quality.</w:t>
      </w:r>
    </w:p>
    <w:p>
      <w:r>
        <w:t>Ограничение для ВКР: Эффект зависит от regularization и tuning. Решение для эксперимента: Указать фактический weight decay штатного AdamW.</w:t>
      </w:r>
    </w:p>
    <w:p>
      <w:hyperlink r:id="rId16">
        <w:r>
          <w:rPr>
            <w:color w:val="237C8B"/>
            <w:sz w:val="18"/>
          </w:rPr>
          <w:t>https://arxiv.org/abs/1711.05101</w:t>
        </w:r>
      </w:hyperlink>
    </w:p>
    <w:p>
      <w:pPr>
        <w:pStyle w:val="Heading2"/>
      </w:pPr>
      <w:r>
        <w:t>9. Smith, Elsen, De (2020)</w:t>
      </w:r>
    </w:p>
    <w:p>
      <w:r>
        <w:t>On the Generalization Benefit of Noise in Stochastic Gradient Descent. ICML 2020. Анализ шума mini-batch SGD. Исходные данные: Нейросетевые задачи. Протокол: Batch size и learning rate контролируются. Метрики: Test quality; convergence.</w:t>
      </w:r>
    </w:p>
    <w:p>
      <w:r>
        <w:t>Ограничение для ВКР: Нельзя считать любой шум полезным. Решение для эксперимента: Оценить дисперсию градиента и менять один фактор.</w:t>
      </w:r>
    </w:p>
    <w:p>
      <w:hyperlink r:id="rId17">
        <w:r>
          <w:rPr>
            <w:color w:val="237C8B"/>
            <w:sz w:val="18"/>
          </w:rPr>
          <w:t>https://proceedings.mlr.press/v119/smith20a.html</w:t>
        </w:r>
      </w:hyperlink>
    </w:p>
    <w:p>
      <w:pPr>
        <w:pStyle w:val="Heading2"/>
      </w:pPr>
      <w:r>
        <w:t>10. Liu et al. (2023)</w:t>
      </w:r>
    </w:p>
    <w:p>
      <w:r>
        <w:t>High Probability Convergence of Stochastic Gradient Methods. ICML 2023. Высоковероятностный анализ. Исходные данные: Выпуклая/невыпуклая оптимизация. Протокол: Предположение sub-Gaussian шума. Метрики: Вероятностные границы сходимости.</w:t>
      </w:r>
    </w:p>
    <w:p>
      <w:r>
        <w:t>Ограничение для ВКР: Предпосылка шума не установлена по одному графику. Решение для эксперимента: Эмпирические CI не называть теоретической гарантией.</w:t>
      </w:r>
    </w:p>
    <w:p>
      <w:hyperlink r:id="rId18">
        <w:r>
          <w:rPr>
            <w:color w:val="237C8B"/>
            <w:sz w:val="18"/>
          </w:rPr>
          <w:t>https://proceedings.mlr.press/v202/liu23aa.html</w:t>
        </w:r>
      </w:hyperlink>
    </w:p>
    <w:p>
      <w:pPr>
        <w:pStyle w:val="Heading2"/>
      </w:pPr>
      <w:r>
        <w:t>11. Even (2023)</w:t>
      </w:r>
    </w:p>
    <w:p>
      <w:r>
        <w:t>Stochastic Gradient Descent under Markovian Sampling Schemes. ICML 2023. SGD при марковском сэмплировании. Исходные данные: Теоретические марковские схемы. Протокол: Скорость сходимости с зависимыми выборками. Метрики: Bounds; variance reduction.</w:t>
      </w:r>
    </w:p>
    <w:p>
      <w:r>
        <w:t>Ограничение для ВКР: Матрица режимов спроса не равна схеме градиентного сэмплирования. Решение для эксперимента: Разделить covariate stress и теорию Markov SGD.</w:t>
      </w:r>
    </w:p>
    <w:p>
      <w:hyperlink r:id="rId19">
        <w:r>
          <w:rPr>
            <w:color w:val="237C8B"/>
            <w:sz w:val="18"/>
          </w:rPr>
          <w:t>https://proceedings.mlr.press/v202/even23a.html</w:t>
        </w:r>
      </w:hyperlink>
    </w:p>
    <w:p>
      <w:pPr>
        <w:pStyle w:val="Heading2"/>
      </w:pPr>
      <w:r>
        <w:t>12. Doan et al. (2020)</w:t>
      </w:r>
    </w:p>
    <w:p>
      <w:r>
        <w:t>Finite-Time Analysis of Stochastic Gradient Descent under Markov Randomness. Препринт / первичный отчёт. SGD с зависимым марковским шумом. Исходные данные: Теоретическая постановка. Протокол: Finite-time анализ. Метрики: Скорость сходимости.</w:t>
      </w:r>
    </w:p>
    <w:p>
      <w:r>
        <w:t>Ограничение для ВКР: Нужны условия перемешивания цепи. Решение для эксперимента: Не использовать iid-bootstrap для зависимых недель.</w:t>
      </w:r>
    </w:p>
    <w:p>
      <w:hyperlink r:id="rId20">
        <w:r>
          <w:rPr>
            <w:color w:val="237C8B"/>
            <w:sz w:val="18"/>
          </w:rPr>
          <w:t>https://arxiv.org/abs/2003.10973</w:t>
        </w:r>
      </w:hyperlink>
    </w:p>
    <w:p>
      <w:r>
        <w:t>Полная сравнительная матрица приложена в literature.csv. Рейтинги A/A* и квартиль Q1 не приписываются изданиям без отдельной проверки; статус препринтов и первичного лекционного источника RMSProp указан явно.</w:t>
      </w:r>
    </w:p>
    <w:p>
      <w:r>
        <w:t>Разрыв: теоретические скорости для выпуклой задачи и предположений о шуме не определяют победителя маленькой невыпуклой модели на дисбалансном retail-наборе. Проверяются отдельно скорость, валидация, обобщение и устойчивость.</w:t>
      </w:r>
    </w:p>
    <w:p>
      <w:pPr>
        <w:pStyle w:val="Heading1"/>
      </w:pPr>
      <w:r>
        <w:t>Данные, очистка и временной протокол</w:t>
      </w:r>
    </w:p>
    <w:p>
      <w:r>
        <w:t>Источник: Complete Journey, обработанная версия пакета completejourney. Транзакции: 1,469,307; товарный каталог: 92 331 строка. Точные дубликаты транзакций: 0; исключённые некорректные строки: 11061. Пропусков в исходных полях транзакций не найдено. Служебные купонные записи и топливо исключены из выбора товарных категорий.</w:t>
      </w:r>
    </w:p>
    <w:p>
      <w:r>
        <w:t>Основная выборка: 200 покупателей, 8 категорий. Дополнительный перенос: 20 покупателей, отсутствующих в обучении. Единица наблюдения — покупатель, категория и неделя. Класс 1 означает хотя бы одну покупку в категории в целевую неделю. Панель содержит 66,560 объектов.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Объекты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1674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38345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8055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7943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1657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825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135</w:t>
            </w:r>
          </w:p>
        </w:tc>
      </w:tr>
    </w:tbl>
    <w:p/>
    <w:p>
      <w:r>
        <w:t>Признаки используют четыре недели до целевой. Части идут в порядке времени 60/20/20, пограничные окна удалены: последняя целевая неделя предыдущей части раньше первой недели истории следующей части. Временной индекс взят из набора, гражданский часовой пояс не выдумывается. Масштабирование и текстовый словарь обучены только на train. Идентификатор покупателя не подаётся в модель.</w:t>
      </w:r>
    </w:p>
    <w:p>
      <w:r>
        <w:t>Дисбаланс требует Macro-F1 и F1 класса покупки наряду с accuracy. Повторяющиеся числовые профили допустимы у независимых покупателей и сами по себе не доказывают утечку. Автоматическая проверка меняет будущие транзакции и требует неизменности прошлых признаков.</w:t>
      </w:r>
    </w:p>
    <w:p>
      <w:r>
        <w:t>Версия источника: 5b5d06192b9856edd04e4d405787af2f2e4a1fef. SHA-256 панели: 5063df19106d13e603a54abd67efa7c48d7dbc95a28216ee310c0105d3200428. Лицензия пакета указана как CC0; URL, контрольные суммы файлов и схемы находятся в shared/data/manifest.json и schemas.json. Источник: https://bradleyboehmke.github.io/completejourney/</w:t>
      </w:r>
    </w:p>
    <w:p>
      <w:r>
        <w:t>Аудит текстовых профилей: уникальных 20037, повторяющихся групп 2127, точных профилей в нескольких частях 988. Для фиксированных 500 test-объектов проверен ближайший train-профиль по TF-IDF cosine; сходство ≥0,97 у 397, в том числе один и тот же покупатель у 6. Пустые/сходные истории могут повторяться у независимых покупателей; это ограничение различимости, а не доказательство утечки будущей метки. Ближайшие пары и описательные статистики сохранены в shared/data.</w:t>
      </w:r>
    </w:p>
    <w:p>
      <w:pPr>
        <w:pStyle w:val="Heading1"/>
      </w:pPr>
      <w:r>
        <w:t>Карта случайности и контролируемый эксперимент</w:t>
      </w:r>
    </w:p>
    <w:p>
      <w:r>
        <w:t>Источники случайности: начальные веса, порядок mini-batch, выбор seed, стохастичность исходных покупок и сценарии режимов спроса. Dropout в этой минимальной архитектуре отсутствует; его случайность не имитируется. При одном seed у всех оптимизаторов совпадают хеш начальных весов и хеш последовательности batch. Полный split также хешируется.</w:t>
      </w:r>
    </w:p>
    <w:p>
      <w:r>
        <w:t>Фиксированная модель — схема all лабораторной 2. Оптимизаторы: SGD, Momentum 0,9, Nesterov 0,9, AdaGrad, RMSprop, Adam, AdamW, Adadelta. У каждого одна сетка LR {0,0001;0,001;0,01}, tuning seed 11; после выбора LR — seed 11,22,33,44,55. 300 шагов, batch 128, constant scheduler, градиент обрезается до нормы 5. Остальные параметры штатного PyTorch; AdamW использует decoupled decay по умолчанию, то есть сравниваются стандартные конфигурации, а не изолированная формула обновления.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Оптимизатор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Test Macro-F1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SD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CI 2,5%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CI 97,5%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Adadelta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0.5943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0.0144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0.5812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0.6023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Adagrad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0.6309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0.0042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0.6276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0.6339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Adam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0.6413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0.0064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0.6368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0.6466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0.6419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0.0065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0.6372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0.6466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0.5910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0.0132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0.5787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0.5998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Nesterov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0.5905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0.0134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0.5780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0.5996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0.6472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0.0104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0.6391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0.6552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0.5913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0.0146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0.5777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0.5996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Время, 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До F1=0,65, 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Параметры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Adadelta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1.8412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Adagrad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3.3493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Adam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3.5782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2.0729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1.8776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0.9596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2.7822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Nesterov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3.2945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RMSprop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3.3327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1.9104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1.6984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7434.0000</w:t>
            </w:r>
          </w:p>
        </w:tc>
      </w:tr>
    </w:tbl>
    <w:p/>
    <w:p>
      <w:r>
        <w:t>Прочерк времени до порога означает, что целевое качество не достигнуто. Память ниже — фактическое хранение тензоров после одного дополнительного обновления checkpoint seed 11; размеры весов проверены на всех пяти seed. Активации, runtime и peak RSS не включены. Этот профиль не заменяет качество основного эксперимента.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Веса, байт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Градиенты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Состояния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Всего, байт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40752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51768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Nesterov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51768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Adagrad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29816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70568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11056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51808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Adam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22072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62824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22072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62824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Adadelta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29736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11016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22072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62824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 descr="Рисунок 1. Тестовый Macro-F1 по пяти se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Тестовый Macro-F1 по пяти seed.</w:t>
      </w:r>
    </w:p>
    <w:p>
      <w:r>
        <w:t>По validation и устойчивости выбран AdamW. Максимальный отдельный test-результат не используется для повторного выбора. Правило допускает не более одного нестабильного запуска; среди результатов в пределах 0,01 Macro-F1 приоритет меньшему SD, затем времени. Средние и интервалы по пяти seed описывают вариацию обучения на фиксированном test, а не всю неопределённость генеральной совокупности.</w:t>
      </w:r>
    </w:p>
    <w:p>
      <w:pPr>
        <w:pStyle w:val="Heading1"/>
      </w:pPr>
      <w:r>
        <w:t>Чувствительность, шум и перенос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LR 0,0001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LR 0,001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LR 0,01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Adadelta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0.2252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0.2381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0.6187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Adagrad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0.6180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0.5627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0.6339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Adam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0.6263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0.6394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0.6263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0.6405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0.4707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0.5718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Nesterov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0.4714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0.5746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RMSprop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0.5583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0.6373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0.6549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0.5829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0.6156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0.4730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След ковариации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Noise ratio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Adadelta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0.1274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0.3195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Adagrad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0.0432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7.5005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Adam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0.0363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5.0037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0.0361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4.9093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0.1352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0.3567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Nesterov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0.1352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0.3572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RMSprop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0.0312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5.2241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0.1345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0.3505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Схема переноса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SD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0.6445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0.0116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0.5831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0.0390</w:t>
            </w:r>
          </w:p>
        </w:tc>
      </w:tr>
    </w:tbl>
    <w:p/>
    <w:p>
      <w:r>
        <w:t>Перенос AdamW против SGD: средняя ΔMacro-F1=0.0614, парный по seed CI [0.0322;0.0929]. Подтверждение на данном фиксированном test: да.</w:t>
      </w:r>
    </w:p>
    <w:p>
      <w:r>
        <w:t>Блочный bootstrap: блок 2 недели, всего 3 блока test; CI Macro-F1 0.6175–0.6417. Из-за малого числа временных блоков интервал ненадёжен для сильного вывода о будущем.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Brier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low_demand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0.5976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0.1205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markov_switching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0.6303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0.1189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normal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0.6329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0.1188</w:t>
            </w:r>
          </w:p>
        </w:tc>
      </w:tr>
    </w:tbl>
    <w:p/>
    <w:p>
      <w:r>
        <w:t>Markov-switching использует опубликованную в config матрицу, а не оценённую модель рынка. В сценарии меняются числовые ковариаты, истинные исторические метки остаются фиксированными: это стресс представления, не симуляция контрфактических покупок. Оценка градиентного шума использует восемь batch и не доказывает sub-Gaussian распределение. GBM/OU/GARCH не добавляются, поскольку согласованный дискретный Markov-switching уже выполняет требование о стохастическом сценарии.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 descr="Рисунок 2. Валидационная сходимость, средняя по se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Валидационная сходимость, средняя по seed.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 descr="Рисунок 3. Распределение пяти фактических seed каждого оптимизатора; малая выборка ограничивает вывод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3. Распределение пяти фактических seed каждого оптимизатора; малая выборка ограничивает выводы.</w:t>
      </w:r>
    </w:p>
    <w:p>
      <w:pPr>
        <w:pStyle w:val="Heading1"/>
      </w:pPr>
      <w:r>
        <w:t>Вывод</w:t>
      </w:r>
    </w:p>
    <w:p>
      <w:r>
        <w:t>AdamW даёт воспроизводимый выбранный компромисс в рамках проверенной LR-сетки; это не универсальное превосходство. Общая сетка может быть невыгодна Adadelta, а 300 шагов ограничивают вывод о сходимости. Перенос проверяется по приложенной таблице, без объявления малых пересекающихся различий доказанным выигрышем.</w:t>
      </w:r>
    </w:p>
    <w:p>
      <w:r>
        <w:t>Запуск: .venv/Scripts/python.exe lab04_optimization/run.py. Приложены tuning/sensitivity, пять seed, хеши инициализаций, кривые, оценка градиентного шума, transfer.csv, block_bootstrap.json, scenarios.csv и фактические статусы запусков.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jecteuclid.org/journals/annals-of-mathematical-statistics/volume-22/issue-3/A-Stochastic-Approximation-Method/10.1214/aoms/1177729586.full" TargetMode="External"/><Relationship Id="rId10" Type="http://schemas.openxmlformats.org/officeDocument/2006/relationships/hyperlink" Target="https://www.mathnet.ru/rus/zvmmf7713" TargetMode="External"/><Relationship Id="rId11" Type="http://schemas.openxmlformats.org/officeDocument/2006/relationships/hyperlink" Target="https://www.mathnet.ru/rus/dan46009" TargetMode="External"/><Relationship Id="rId12" Type="http://schemas.openxmlformats.org/officeDocument/2006/relationships/hyperlink" Target="https://jmlr.org/papers/v12/duchi11a.html" TargetMode="External"/><Relationship Id="rId13" Type="http://schemas.openxmlformats.org/officeDocument/2006/relationships/hyperlink" Target="https://www.cs.toronto.edu/~tijmen/csc321/slides/lecture_slides_lec6.pdf" TargetMode="External"/><Relationship Id="rId14" Type="http://schemas.openxmlformats.org/officeDocument/2006/relationships/hyperlink" Target="https://arxiv.org/abs/1212.5701" TargetMode="External"/><Relationship Id="rId15" Type="http://schemas.openxmlformats.org/officeDocument/2006/relationships/hyperlink" Target="https://arxiv.org/abs/1412.6980" TargetMode="External"/><Relationship Id="rId16" Type="http://schemas.openxmlformats.org/officeDocument/2006/relationships/hyperlink" Target="https://arxiv.org/abs/1711.05101" TargetMode="External"/><Relationship Id="rId17" Type="http://schemas.openxmlformats.org/officeDocument/2006/relationships/hyperlink" Target="https://proceedings.mlr.press/v119/smith20a.html" TargetMode="External"/><Relationship Id="rId18" Type="http://schemas.openxmlformats.org/officeDocument/2006/relationships/hyperlink" Target="https://proceedings.mlr.press/v202/liu23aa.html" TargetMode="External"/><Relationship Id="rId19" Type="http://schemas.openxmlformats.org/officeDocument/2006/relationships/hyperlink" Target="https://proceedings.mlr.press/v202/even23a.html" TargetMode="External"/><Relationship Id="rId20" Type="http://schemas.openxmlformats.org/officeDocument/2006/relationships/hyperlink" Target="https://arxiv.org/abs/2003.10973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4. Методы оптимизации и стохастические процессы</dc:title>
  <dc:subject>Разработка многоагентной системы персонализированного управления скидками в электронной коммерции</dc:subject>
  <dc:creator>Индивидуальный исследовательский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