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5. Защита исследовательского проекта</w:t>
      </w:r>
    </w:p>
    <w:p>
      <w:r>
        <w:t>Прикладные задачи машинного обучения</w:t>
      </w:r>
    </w:p>
    <w:p>
      <w:r>
        <w:t>Разработка многоагентной системы персонализированного управления скидками в электронной коммерции</w:t>
      </w:r>
    </w:p>
    <w:p>
      <w:r>
        <w:t>Индивидуальный исследовательский проект. Дата экспериментов: 22 октября 2026 г.</w:t>
      </w:r>
    </w:p>
    <w:p>
      <w:pPr>
        <w:pStyle w:val="Heading1"/>
      </w:pPr>
      <w:r>
        <w:t>Исследовательская постановка</w:t>
      </w:r>
    </w:p>
    <w:p>
      <w:r>
        <w:t>Проблема: единая скидка не учитывает различия спроса, а независимые акции категорий конкурируют за бюджет. Объект — процесс выдачи персонализированных предложений. Предмет — координация агентов и прогнозные признаки при ограничении бюджета и маржи. Цель — проверить полезность сложных методов относительно простых контролей на воспроизводимом ограниченном эксперименте.</w:t>
      </w:r>
    </w:p>
    <w:p>
      <w:r>
        <w:t>H1: текстовая LLM превосходит частотный прогноз покупки при одинаковом временном тесте.</w:t>
      </w:r>
    </w:p>
    <w:p>
      <w:r>
        <w:t>H2: слияние модальностей улучшает Macro-F1 относительно сильнейшей одномодальной схемы.</w:t>
      </w:r>
    </w:p>
    <w:p>
      <w:r>
        <w:t>H3: координация агентов увеличивает прибыль относительно равномерного распределения бюджета без нарушений лимитов.</w:t>
      </w:r>
    </w:p>
    <w:p>
      <w:r>
        <w:t>H4: устойчивый оптимизатор сохраняет преимущество при переносе на другую схему признаков.</w:t>
      </w:r>
    </w:p>
    <w:p>
      <w:r>
        <w:t>Методическая новизна проекта — единый протокол времени, покупателей, стоимости и ограничений для всех четырёх сравнений. Мировая научная новизна алгоритмов не заявляется. Практическая значимость — возможность отклонить ненужное усложнение до расходов на онлайн-эксперимент.</w:t>
      </w:r>
    </w:p>
    <w:p>
      <w:pPr>
        <w:pStyle w:val="Heading1"/>
      </w:pPr>
      <w:r>
        <w:t>Исследовательский обзор и разрыв</w:t>
      </w:r>
    </w:p>
    <w:p>
      <w:r>
        <w:t>Итоговый синтез содержит 36 уникальных первичных источников из четырёх обзоров. По одному и тому же URL повторные записи объединены. Полная матрица содержит архитектуру, данные, протокол, метрики, код, ограничения и идею репликации.</w:t>
      </w:r>
    </w:p>
    <w:p>
      <w:pPr>
        <w:pStyle w:val="Heading2"/>
      </w:pPr>
      <w:r>
        <w:t>1. Qwen Team (2024)</w:t>
      </w:r>
    </w:p>
    <w:p>
      <w:r>
        <w:t>Qwen2.5 Technical Report. Препринт / первичный отчёт. Decoder-only LLM; instruction tuning. Исходные данные: Смесь текстовых корпусов. Протокол: Семейство размеров и бенчмарков. Метрики: Общие, математические и языковые оценки.</w:t>
      </w:r>
    </w:p>
    <w:p>
      <w:r>
        <w:t>Ограничение для ВКР: Опубликованные оценки не измеряют покупательский спрос. Решение для эксперимента: Сравнить три доступных размера на одном split.</w:t>
      </w:r>
    </w:p>
    <w:p>
      <w:hyperlink r:id="rId9">
        <w:r>
          <w:rPr>
            <w:color w:val="237C8B"/>
            <w:sz w:val="18"/>
          </w:rPr>
          <w:t>https://arxiv.org/abs/2412.15115</w:t>
        </w:r>
      </w:hyperlink>
    </w:p>
    <w:p>
      <w:pPr>
        <w:pStyle w:val="Heading2"/>
      </w:pPr>
      <w:r>
        <w:t>2. Qwen Team (2025)</w:t>
      </w:r>
    </w:p>
    <w:p>
      <w:r>
        <w:t>Qwen3 Technical Report. Препринт / первичный отчёт. Dense/MoE; thinking и non-thinking. Исходные данные: Многоязычные корпусы. Протокол: Оценка семейства моделей. Метрики: Рассуждение; знания; языковые задачи.</w:t>
      </w:r>
    </w:p>
    <w:p>
      <w:r>
        <w:t>Ограничение для ВКР: Режим thinking меняет бюджет. Решение для эксперимента: Фиксировать non-thinking и один формат ответа.</w:t>
      </w:r>
    </w:p>
    <w:p>
      <w:hyperlink r:id="rId10">
        <w:r>
          <w:rPr>
            <w:color w:val="237C8B"/>
            <w:sz w:val="18"/>
          </w:rPr>
          <w:t>https://arxiv.org/abs/2505.09388</w:t>
        </w:r>
      </w:hyperlink>
    </w:p>
    <w:p>
      <w:pPr>
        <w:pStyle w:val="Heading2"/>
      </w:pPr>
      <w:r>
        <w:t>3. Ben Allal et al. (2025)</w:t>
      </w:r>
    </w:p>
    <w:p>
      <w:r>
        <w:t>SmolLM2: When Smol Goes Big. Препринт / первичный отчёт. Компактные decoder-only LLM. Исходные данные: Курируемые смеси обучающих текстов. Протокол: Сравнение компактных моделей и данных. Метрики: NLP benchmarks; размер.</w:t>
      </w:r>
    </w:p>
    <w:p>
      <w:r>
        <w:t>Ограничение для ВКР: Компактность не гарантирует следование JSON-инструкции. Решение для эксперимента: Измерить качество и невалидность трёх размеров.</w:t>
      </w:r>
    </w:p>
    <w:p>
      <w:hyperlink r:id="rId11">
        <w:r>
          <w:rPr>
            <w:color w:val="237C8B"/>
            <w:sz w:val="18"/>
          </w:rPr>
          <w:t>https://arxiv.org/abs/2502.02737</w:t>
        </w:r>
      </w:hyperlink>
    </w:p>
    <w:p>
      <w:pPr>
        <w:pStyle w:val="Heading2"/>
      </w:pPr>
      <w:r>
        <w:t>4. Brown et al. (2020)</w:t>
      </w:r>
    </w:p>
    <w:p>
      <w:r>
        <w:t>Language Models are Few-Shot Learners. NeurIPS 2020. Авторегрессионный GPT-3. Исходные данные: Много задач NLP. Протокол: Zero/one/few-shot без градиентной адаптации. Метрики: Метрики конкретных NLP-задач.</w:t>
      </w:r>
    </w:p>
    <w:p>
      <w:r>
        <w:t>Ограничение для ВКР: Масштаб и доступ к весам отличаются от компактных моделей. Решение для эксперимента: Сравнить zero-shot и six-shot при одинаковых объектах.</w:t>
      </w:r>
    </w:p>
    <w:p>
      <w:hyperlink r:id="rId12">
        <w:r>
          <w:rPr>
            <w:color w:val="237C8B"/>
            <w:sz w:val="18"/>
          </w:rPr>
          <w:t>https://arxiv.org/abs/2005.14165</w:t>
        </w:r>
      </w:hyperlink>
    </w:p>
    <w:p>
      <w:pPr>
        <w:pStyle w:val="Heading2"/>
      </w:pPr>
      <w:r>
        <w:t>5. Hu et al. (2021)</w:t>
      </w:r>
    </w:p>
    <w:p>
      <w:r>
        <w:t>LoRA: Low-Rank Adaptation of Large Language Models. ICLR 2022. Низкоранговые адаптеры замороженных весов. Исходные данные: NLP adaptation benchmarks. Протокол: Фиксированная базовая модель; обучение адаптеров. Метрики: Качество; обучаемые параметры.</w:t>
      </w:r>
    </w:p>
    <w:p>
      <w:r>
        <w:t>Ограничение для ВКР: Нужны ресурсы обучения; rank влияет на результат. Решение для эксперимента: Будущий PEFT против prompting, без обещания прироста.</w:t>
      </w:r>
    </w:p>
    <w:p>
      <w:hyperlink r:id="rId13">
        <w:r>
          <w:rPr>
            <w:color w:val="237C8B"/>
            <w:sz w:val="18"/>
          </w:rPr>
          <w:t>https://arxiv.org/abs/2106.09685</w:t>
        </w:r>
      </w:hyperlink>
    </w:p>
    <w:p>
      <w:pPr>
        <w:pStyle w:val="Heading2"/>
      </w:pPr>
      <w:r>
        <w:t>6. Dettmers et al. (2023)</w:t>
      </w:r>
    </w:p>
    <w:p>
      <w:r>
        <w:t>QLoRA: Efficient Finetuning of Quantized LLMs. NeurIPS 2023. 4-bit NF4 + LoRA. Исходные данные: Instruction tuning corpora. Протокол: Адаптация квантизованной LLM. Метрики: Качество; память.</w:t>
      </w:r>
    </w:p>
    <w:p>
      <w:r>
        <w:t>Ограничение для ВКР: GPU-ориентированный метод; не эквивалент CPU INT8 inference. Решение для эксперимента: Разделить квантизацию вывода и PEFT.</w:t>
      </w:r>
    </w:p>
    <w:p>
      <w:hyperlink r:id="rId14">
        <w:r>
          <w:rPr>
            <w:color w:val="237C8B"/>
            <w:sz w:val="18"/>
          </w:rPr>
          <w:t>https://arxiv.org/abs/2305.14314</w:t>
        </w:r>
      </w:hyperlink>
    </w:p>
    <w:p>
      <w:pPr>
        <w:pStyle w:val="Heading2"/>
      </w:pPr>
      <w:r>
        <w:t>7. GigaChat Team (2025)</w:t>
      </w:r>
    </w:p>
    <w:p>
      <w:r>
        <w:t>GigaChat Family: Efficient Russian Language Modeling Through Mixture of Experts Architecture. ACL 2025 System Demonstrations; отечественная разработка. Mixture of Experts. Исходные данные: Русскоязычные и многоязычные корпуса. Протокол: Предобучение и оценки семейства. Метрики: Языковые benchmark-метрики.</w:t>
      </w:r>
    </w:p>
    <w:p>
      <w:r>
        <w:t>Ограничение для ВКР: Русский язык не доказывает преимущество на английском retail. Решение для эксперимента: Обосновать отдельный будущий русскоязычный перенос.</w:t>
      </w:r>
    </w:p>
    <w:p>
      <w:hyperlink r:id="rId15">
        <w:r>
          <w:rPr>
            <w:color w:val="237C8B"/>
            <w:sz w:val="18"/>
          </w:rPr>
          <w:t>https://arxiv.org/abs/2506.09440</w:t>
        </w:r>
      </w:hyperlink>
    </w:p>
    <w:p>
      <w:pPr>
        <w:pStyle w:val="Heading2"/>
      </w:pPr>
      <w:r>
        <w:t>8. Nikolich et al. (2024)</w:t>
      </w:r>
    </w:p>
    <w:p>
      <w:r>
        <w:t>Vikhr: The Family of Open-Source Instruction-Tuned Large Language Models for Russian. Первичный отчёт; отечественная разработка. Адаптация токенизатора и instruction tuning. Исходные данные: Русскоязычные instruction-наборы. Протокол: Сопоставление русского instruction following. Метрики: Языковое качество.</w:t>
      </w:r>
    </w:p>
    <w:p>
      <w:r>
        <w:t>Ограничение для ВКР: Актуальная версия препринта отличается от первой. Решение для эксперимента: Не переносить выводы на retail без теста.</w:t>
      </w:r>
    </w:p>
    <w:p>
      <w:hyperlink r:id="rId16">
        <w:r>
          <w:rPr>
            <w:color w:val="237C8B"/>
            <w:sz w:val="18"/>
          </w:rPr>
          <w:t>https://arxiv.org/abs/2405.13929</w:t>
        </w:r>
      </w:hyperlink>
    </w:p>
    <w:p>
      <w:pPr>
        <w:pStyle w:val="Heading2"/>
      </w:pPr>
      <w:r>
        <w:t>9. Geng et al. (2022)</w:t>
      </w:r>
    </w:p>
    <w:p>
      <w:r>
        <w:t>Recommendation as Language Processing: P5. RecSys 2022. Единый text-to-text рекомендатель. Исходные данные: Пользовательские взаимодействия и отзывы. Протокол: Разные рекомендательные задачи в одном формате. Метрики: Ранжирование; ошибки рейтинга; генерация.</w:t>
      </w:r>
    </w:p>
    <w:p>
      <w:r>
        <w:t>Ограничение для ВКР: Рекомендация товара не равна причинной оценке скидки. Решение для эксперимента: Текстуализировать историю, не выдумывать отзывы.</w:t>
      </w:r>
    </w:p>
    <w:p>
      <w:hyperlink r:id="rId17">
        <w:r>
          <w:rPr>
            <w:color w:val="237C8B"/>
            <w:sz w:val="18"/>
          </w:rPr>
          <w:t>https://arxiv.org/abs/2203.13366</w:t>
        </w:r>
      </w:hyperlink>
    </w:p>
    <w:p>
      <w:pPr>
        <w:pStyle w:val="Heading2"/>
      </w:pPr>
      <w:r>
        <w:t>10. Dai et al. (2024)</w:t>
      </w:r>
    </w:p>
    <w:p>
      <w:r>
        <w:t>Data-Driven Real-time Coupon Allocation in the Online Platform. Препринт / первичный отчёт. CVR-предиктор + dual-оптимизация + контроль. Исходные данные: Платформенные наблюдения и полевые эксперименты. Протокол: Распределение купонов при бюджете. Метрики: Конверсия; выручка; выполнение бюджета.</w:t>
      </w:r>
    </w:p>
    <w:p>
      <w:r>
        <w:t>Ограничение для ВКР: Проприетарная среда не доступна для прямой репликации. Решение для эксперимента: Отделить прогноз, выбор скидки и бюджетный контроллер.</w:t>
      </w:r>
    </w:p>
    <w:p>
      <w:hyperlink r:id="rId18">
        <w:r>
          <w:rPr>
            <w:color w:val="237C8B"/>
            <w:sz w:val="18"/>
          </w:rPr>
          <w:t>https://arxiv.org/abs/2406.05987</w:t>
        </w:r>
      </w:hyperlink>
    </w:p>
    <w:p>
      <w:pPr>
        <w:pStyle w:val="Heading2"/>
      </w:pPr>
      <w:r>
        <w:t>11. Guo et al. (2017)</w:t>
      </w:r>
    </w:p>
    <w:p>
      <w:r>
        <w:t>DeepFM: A Factorization-Machine based Neural Network for CTR Prediction. IJCAI 2017. FM + глубокая сеть. Исходные данные: Рекламные CTR-наборы. Протокол: Сопоставление взаимодействий признаков. Метрики: AUC; log loss.</w:t>
      </w:r>
    </w:p>
    <w:p>
      <w:r>
        <w:t>Ограничение для ВКР: Клик не равен покупке или инкрементальной прибыли. Решение для эксперимента: Сильный табличный baseline перед усложнением fusion.</w:t>
      </w:r>
    </w:p>
    <w:p>
      <w:hyperlink r:id="rId19">
        <w:r>
          <w:rPr>
            <w:color w:val="237C8B"/>
            <w:sz w:val="18"/>
          </w:rPr>
          <w:t>https://arxiv.org/abs/1703.04247</w:t>
        </w:r>
      </w:hyperlink>
    </w:p>
    <w:p>
      <w:pPr>
        <w:pStyle w:val="Heading2"/>
      </w:pPr>
      <w:r>
        <w:t>12. Radford et al. (2021)</w:t>
      </w:r>
    </w:p>
    <w:p>
      <w:r>
        <w:t>Learning Transferable Visual Models From Natural Language Supervision. ICML 2021. Контрастивные текстовый и визуальный кодировщики. Исходные данные: Web image–text pairs. Протокол: Предобучение, zero-shot классификация. Метрики: Accuracy на визуальных benchmark.</w:t>
      </w:r>
    </w:p>
    <w:p>
      <w:r>
        <w:t>Ограничение для ВКР: Фотографии и график продаж имеют разные распределения. Решение для эксперимента: Проверять отдельный image-only baseline.</w:t>
      </w:r>
    </w:p>
    <w:p>
      <w:hyperlink r:id="rId20">
        <w:r>
          <w:rPr>
            <w:color w:val="237C8B"/>
            <w:sz w:val="18"/>
          </w:rPr>
          <w:t>https://arxiv.org/abs/2103.00020</w:t>
        </w:r>
      </w:hyperlink>
    </w:p>
    <w:p>
      <w:pPr>
        <w:pStyle w:val="Heading2"/>
      </w:pPr>
      <w:r>
        <w:t>13. Kim et al. (2021)</w:t>
      </w:r>
    </w:p>
    <w:p>
      <w:r>
        <w:t>ViLT: Vision-and-Language Transformer Without Convolution or Region Supervision. ICML 2021. Совместный Transformer для patch/text. Исходные данные: Vision-language corpora. Протокол: Предобучение и VQA/retrieval. Метрики: VQA accuracy; retrieval.</w:t>
      </w:r>
    </w:p>
    <w:p>
      <w:r>
        <w:t>Ограничение для ВКР: Не доказывает пользу производного изображения ряда. Решение для эксперимента: Сравнить раннее слияние с отдельными кодировщиками.</w:t>
      </w:r>
    </w:p>
    <w:p>
      <w:hyperlink r:id="rId21">
        <w:r>
          <w:rPr>
            <w:color w:val="237C8B"/>
            <w:sz w:val="18"/>
          </w:rPr>
          <w:t>https://arxiv.org/abs/2102.03334</w:t>
        </w:r>
      </w:hyperlink>
    </w:p>
    <w:p>
      <w:pPr>
        <w:pStyle w:val="Heading2"/>
      </w:pPr>
      <w:r>
        <w:t>14. Li et al. (2023)</w:t>
      </w:r>
    </w:p>
    <w:p>
      <w:r>
        <w:t>BLIP-2: Bootstrapping Language-Image Pre-training with Frozen Image Encoders and Large Language Models. ICML 2023. Q-Former между замороженными моделями. Исходные данные: Image–text corpora. Протокол: Предобучение, zero-shot VQA. Метрики: VQA; caption/retrieval scores.</w:t>
      </w:r>
    </w:p>
    <w:p>
      <w:r>
        <w:t>Ограничение для ВКР: Стоимость и предметный сдвиг сохраняются. Решение для эксперимента: Обосновать компактный мост модальностей.</w:t>
      </w:r>
    </w:p>
    <w:p>
      <w:hyperlink r:id="rId22">
        <w:r>
          <w:rPr>
            <w:color w:val="237C8B"/>
            <w:sz w:val="18"/>
          </w:rPr>
          <w:t>https://arxiv.org/abs/2301.12597</w:t>
        </w:r>
      </w:hyperlink>
    </w:p>
    <w:p>
      <w:pPr>
        <w:pStyle w:val="Heading2"/>
      </w:pPr>
      <w:r>
        <w:t>15. Lim et al. (2019)</w:t>
      </w:r>
    </w:p>
    <w:p>
      <w:r>
        <w:t>Temporal Fusion Transformers for Interpretable Multi-horizon Time Series Forecasting. International Journal of Forecasting 2021. Variable selection + temporal attention. Исходные данные: Наборы многогоризонтного прогноза. Протокол: Известные будущие и прошлые ковариаты разделены. Метрики: Quantile loss.</w:t>
      </w:r>
    </w:p>
    <w:p>
      <w:r>
        <w:t>Ограничение для ВКР: Известные будущие признаки нельзя имитировать будущими покупками. Решение для эксперимента: Проверять доступность каждой ковариаты во времени.</w:t>
      </w:r>
    </w:p>
    <w:p>
      <w:hyperlink r:id="rId23">
        <w:r>
          <w:rPr>
            <w:color w:val="237C8B"/>
            <w:sz w:val="18"/>
          </w:rPr>
          <w:t>https://arxiv.org/abs/1912.09363</w:t>
        </w:r>
      </w:hyperlink>
    </w:p>
    <w:p>
      <w:pPr>
        <w:pStyle w:val="Heading2"/>
      </w:pPr>
      <w:r>
        <w:t>16. Jin et al. (2023)</w:t>
      </w:r>
    </w:p>
    <w:p>
      <w:r>
        <w:t>Time-LLM: Time Series Forecasting by Reprogramming Large Language Models. ICLR 2024. Перепрограммирование ряда в LLM. Исходные данные: Time-series forecasting benchmarks. Протокол: Фиксированные горизонты и split. Метрики: MSE; MAE.</w:t>
      </w:r>
    </w:p>
    <w:p>
      <w:r>
        <w:t>Ограничение для ВКР: Более дорогая модель может проиграть простому baseline. Решение для эксперимента: Сравнить текстовую историю с числовым MLP.</w:t>
      </w:r>
    </w:p>
    <w:p>
      <w:hyperlink r:id="rId24">
        <w:r>
          <w:rPr>
            <w:color w:val="237C8B"/>
            <w:sz w:val="18"/>
          </w:rPr>
          <w:t>https://arxiv.org/abs/2310.01728</w:t>
        </w:r>
      </w:hyperlink>
    </w:p>
    <w:p>
      <w:pPr>
        <w:pStyle w:val="Heading2"/>
      </w:pPr>
      <w:r>
        <w:t>17. Zeng et al. (2022)</w:t>
      </w:r>
    </w:p>
    <w:p>
      <w:r>
        <w:t>Are Transformers Effective for Time Series Forecasting?. AAAI 2023. Простые линейные временные модели. Исходные данные: Long-term time-series benchmarks. Протокол: Единый прогнозный протокол. Метрики: MSE; MAE.</w:t>
      </w:r>
    </w:p>
    <w:p>
      <w:r>
        <w:t>Ограничение для ВКР: Результат временного прогноза не переносится на скидки автоматически. Решение для эксперимента: Обязательный числовой baseline.</w:t>
      </w:r>
    </w:p>
    <w:p>
      <w:hyperlink r:id="rId25">
        <w:r>
          <w:rPr>
            <w:color w:val="237C8B"/>
            <w:sz w:val="18"/>
          </w:rPr>
          <w:t>https://arxiv.org/abs/2205.13504</w:t>
        </w:r>
      </w:hyperlink>
    </w:p>
    <w:p>
      <w:pPr>
        <w:pStyle w:val="Heading2"/>
      </w:pPr>
      <w:r>
        <w:t>18. Wu et al. (2022)</w:t>
      </w:r>
    </w:p>
    <w:p>
      <w:r>
        <w:t>TimesNet: Temporal 2D-Variation Modeling for General Time Series Analysis. ICLR 2023. Преобразование периодов в 2D. Исходные данные: Временные ряды нескольких задач. Протокол: Прогноз, классификация, аномалии. Метрики: MSE; MAE; task metrics.</w:t>
      </w:r>
    </w:p>
    <w:p>
      <w:r>
        <w:t>Ограничение для ВКР: Четырёх точек недостаточно для богатой периодичности. Решение для эксперимента: Не приписывать маленькому графику новые сведения.</w:t>
      </w:r>
    </w:p>
    <w:p>
      <w:hyperlink r:id="rId26">
        <w:r>
          <w:rPr>
            <w:color w:val="237C8B"/>
            <w:sz w:val="18"/>
          </w:rPr>
          <w:t>https://arxiv.org/abs/2210.02186</w:t>
        </w:r>
      </w:hyperlink>
    </w:p>
    <w:p>
      <w:pPr>
        <w:pStyle w:val="Heading2"/>
      </w:pPr>
      <w:r>
        <w:t>19. Sunehag et al. (2017)</w:t>
      </w:r>
    </w:p>
    <w:p>
      <w:r>
        <w:t>Value-Decomposition Networks For Cooperative Multi-Agent Learning. AAMAS 2018. Сумма локальных Q-функций. Исходные данные: Кооперативные игровые среды. Протокол: Общая награда, децентрализованные действия. Метрики: Team return.</w:t>
      </w:r>
    </w:p>
    <w:p>
      <w:r>
        <w:t>Ограничение для ВКР: Аддитивность ограничивает взаимодействия. Решение для эксперимента: Сравнить VDN с IQL при общем бюджете.</w:t>
      </w:r>
    </w:p>
    <w:p>
      <w:hyperlink r:id="rId27">
        <w:r>
          <w:rPr>
            <w:color w:val="237C8B"/>
            <w:sz w:val="18"/>
          </w:rPr>
          <w:t>https://arxiv.org/abs/1706.05296</w:t>
        </w:r>
      </w:hyperlink>
    </w:p>
    <w:p>
      <w:pPr>
        <w:pStyle w:val="Heading2"/>
      </w:pPr>
      <w:r>
        <w:t>20. Rashid et al. (2018)</w:t>
      </w:r>
    </w:p>
    <w:p>
      <w:r>
        <w:t>QMIX: Monotonic Value Function Factorisation for Deep Multi-Agent Reinforcement Learning. ICML 2018. Монотонный state-conditioned mixer. Исходные данные: Кооперативные задачи StarCraft. Протокол: CTDE с локальным исполнением. Метрики: Team win rate/return.</w:t>
      </w:r>
    </w:p>
    <w:p>
      <w:r>
        <w:t>Ограничение для ВКР: Не все взаимодействия категорий монотонны. Решение для эксперимента: Проверить неотрицательные веса mixer.</w:t>
      </w:r>
    </w:p>
    <w:p>
      <w:hyperlink r:id="rId28">
        <w:r>
          <w:rPr>
            <w:color w:val="237C8B"/>
            <w:sz w:val="18"/>
          </w:rPr>
          <w:t>https://proceedings.mlr.press/v80/rashid18a.html</w:t>
        </w:r>
      </w:hyperlink>
    </w:p>
    <w:p>
      <w:pPr>
        <w:pStyle w:val="Heading2"/>
      </w:pPr>
      <w:r>
        <w:t>21. Son et al. (2019)</w:t>
      </w:r>
    </w:p>
    <w:p>
      <w:r>
        <w:t>QTRAN: Learning to Factorize with Transformation for Cooperative Multi-Agent Reinforcement Learning. ICML 2019. Joint-Q + оптимальные/неоптимальные ограничения. Исходные данные: Кооперативные среды. Протокол: TD и трансформационные потери. Метрики: Team return.</w:t>
      </w:r>
    </w:p>
    <w:p>
      <w:r>
        <w:t>Ограничение для ВКР: Дополнительные ограничения усложняют оптимизацию. Решение для эксперимента: Сохранять TD/constraint losses и неудачи.</w:t>
      </w:r>
    </w:p>
    <w:p>
      <w:hyperlink r:id="rId29">
        <w:r>
          <w:rPr>
            <w:color w:val="237C8B"/>
            <w:sz w:val="18"/>
          </w:rPr>
          <w:t>https://arxiv.org/abs/1905.05408</w:t>
        </w:r>
      </w:hyperlink>
    </w:p>
    <w:p>
      <w:pPr>
        <w:pStyle w:val="Heading2"/>
      </w:pPr>
      <w:r>
        <w:t>22. Foerster et al. (2017)</w:t>
      </w:r>
    </w:p>
    <w:p>
      <w:r>
        <w:t>Counterfactual Multi-Agent Policy Gradients. AAAI 2018. Центральный action-conditioned critic. Исходные данные: Кооперативные игровые задачи. Протокол: Counterfactual baseline при общей награде. Метрики: Team return/win rate.</w:t>
      </w:r>
    </w:p>
    <w:p>
      <w:r>
        <w:t>Ограничение для ВКР: Critic требует глобального состояния при обучении. Решение для эксперимента: Обнулить действие текущего агента во входе critic.</w:t>
      </w:r>
    </w:p>
    <w:p>
      <w:hyperlink r:id="rId30">
        <w:r>
          <w:rPr>
            <w:color w:val="237C8B"/>
            <w:sz w:val="18"/>
          </w:rPr>
          <w:t>https://arxiv.org/abs/1705.08926</w:t>
        </w:r>
      </w:hyperlink>
    </w:p>
    <w:p>
      <w:pPr>
        <w:pStyle w:val="Heading2"/>
      </w:pPr>
      <w:r>
        <w:t>23. Yu et al. (2021)</w:t>
      </w:r>
    </w:p>
    <w:p>
      <w:r>
        <w:t>The Surprising Effectiveness of PPO in Cooperative, Multi-Agent Games. NeurIPS 2022. PPO с централизованной value-функцией. Исходные данные: SMAC, MPE, Hanabi. Протокол: Контролируемое сравнение cooperative MARL. Метрики: Team return; sample efficiency.</w:t>
      </w:r>
    </w:p>
    <w:p>
      <w:r>
        <w:t>Ограничение для ВКР: Чувствителен к деталям обучения и масштабу reward. Решение для эксперимента: Сравнить с IPPO при том же rollout-бюджете.</w:t>
      </w:r>
    </w:p>
    <w:p>
      <w:hyperlink r:id="rId31">
        <w:r>
          <w:rPr>
            <w:color w:val="237C8B"/>
            <w:sz w:val="18"/>
          </w:rPr>
          <w:t>https://arxiv.org/abs/2103.01955</w:t>
        </w:r>
      </w:hyperlink>
    </w:p>
    <w:p>
      <w:pPr>
        <w:pStyle w:val="Heading2"/>
      </w:pPr>
      <w:r>
        <w:t>24. Schulman et al. (2017)</w:t>
      </w:r>
    </w:p>
    <w:p>
      <w:r>
        <w:t>Proximal Policy Optimization Algorithms. Препринт / первичный отчёт. Clipped policy-gradient objective. Исходные данные: Наборы задач управления. Протокол: On-policy rollout; несколько эпох. Метрики: Return; sample efficiency.</w:t>
      </w:r>
    </w:p>
    <w:p>
      <w:r>
        <w:t>Ограничение для ВКР: Многократное использование off-policy данных недопустимо. Решение для эксперимента: Отдельный централизованный PPO baseline.</w:t>
      </w:r>
    </w:p>
    <w:p>
      <w:hyperlink r:id="rId32">
        <w:r>
          <w:rPr>
            <w:color w:val="237C8B"/>
            <w:sz w:val="18"/>
          </w:rPr>
          <w:t>https://arxiv.org/abs/1707.06347</w:t>
        </w:r>
      </w:hyperlink>
    </w:p>
    <w:p>
      <w:pPr>
        <w:pStyle w:val="Heading2"/>
      </w:pPr>
      <w:r>
        <w:t>25. Achiam et al. (2017)</w:t>
      </w:r>
    </w:p>
    <w:p>
      <w:r>
        <w:t>Constrained Policy Optimization. ICML 2017. Policy optimization с ограничением стоимости. Исходные данные: Constrained control tasks. Протокол: Reward и constraint отдельно. Метрики: Return; constraint cost.</w:t>
      </w:r>
    </w:p>
    <w:p>
      <w:r>
        <w:t>Ограничение для ВКР: Ожидаемое ограничение не равно жёсткому лимиту каждой сделки. Решение для эксперимента: Сохранить внешний жёсткий контроллер.</w:t>
      </w:r>
    </w:p>
    <w:p>
      <w:hyperlink r:id="rId33">
        <w:r>
          <w:rPr>
            <w:color w:val="237C8B"/>
            <w:sz w:val="18"/>
          </w:rPr>
          <w:t>https://arxiv.org/abs/1705.10528</w:t>
        </w:r>
      </w:hyperlink>
    </w:p>
    <w:p>
      <w:pPr>
        <w:pStyle w:val="Heading2"/>
      </w:pPr>
      <w:r>
        <w:t>26. Ming Tan (1993)</w:t>
      </w:r>
    </w:p>
    <w:p>
      <w:r>
        <w:t>Multi-Agent Reinforcement Learning: Independent vs. Cooperative Agents. ICML 1993. Независимые и кооперативные Q-агенты. Исходные данные: Многоагентные задачи обучения. Протокол: Обмен опытом против независимого обучения. Метрики: Скорость и результат обучения.</w:t>
      </w:r>
    </w:p>
    <w:p>
      <w:r>
        <w:t>Ограничение для ВКР: Небольшие среды не доказывают эффект в торговле. Решение для эксперимента: IQL как контроль отсутствия координации.</w:t>
      </w:r>
    </w:p>
    <w:p>
      <w:hyperlink r:id="rId34">
        <w:r>
          <w:rPr>
            <w:color w:val="237C8B"/>
            <w:sz w:val="18"/>
          </w:rPr>
          <w:t>https://web.media.mit.edu/~cynthiab/Readings/tan-MAS-reinfLearn.pdf</w:t>
        </w:r>
      </w:hyperlink>
    </w:p>
    <w:p>
      <w:pPr>
        <w:pStyle w:val="Heading2"/>
      </w:pPr>
      <w:r>
        <w:t>27. Новиков Н.П., Виноградов В.И. (2024)</w:t>
      </w:r>
    </w:p>
    <w:p>
      <w:r>
        <w:t>Опыт использования архитектуры сети Transformer для аппроксимации политики агента в обучении с подкреплением. Моделирование и анализ данных 14(2), 7–22; отечественная работа. Transformer для аппроксимации политики. Исходные данные: Задачи RL, описанные авторами. Протокол: Сравнение архитектур политики. Метрики: Вознаграждение в исходных средах.</w:t>
      </w:r>
    </w:p>
    <w:p>
      <w:r>
        <w:t>Ограничение для ВКР: Не является экспериментом персонализированных скидок. Решение для эксперимента: Отечественный контекст; не смешивать RL и доказательство MARL-эффекта.</w:t>
      </w:r>
    </w:p>
    <w:p>
      <w:hyperlink r:id="rId35">
        <w:r>
          <w:rPr>
            <w:color w:val="237C8B"/>
            <w:sz w:val="18"/>
          </w:rPr>
          <w:t>https://psyjournals.ru/journals/mda/archive/2024_n2/Novikov_Vinogradov</w:t>
        </w:r>
      </w:hyperlink>
    </w:p>
    <w:p>
      <w:pPr>
        <w:pStyle w:val="Heading2"/>
      </w:pPr>
      <w:r>
        <w:t>28. Поляк Б.Т. (1964)</w:t>
      </w:r>
    </w:p>
    <w:p>
      <w:r>
        <w:t>О некоторых способах ускорения сходимости итерационных методов. ЖВМиМФ 4(5), 791–803; отечественная работа. Метод тяжёлого шарика. Исходные данные: Теоретические задачи минимизации. Протокол: Анализ ускорения итераций. Метрики: Скорость сходимости.</w:t>
      </w:r>
    </w:p>
    <w:p>
      <w:r>
        <w:t>Ограничение для ВКР: Детерминированная теория не гарантирует преимущества SGD momentum. Решение для эксперимента: Включить SGD с momentum.</w:t>
      </w:r>
    </w:p>
    <w:p>
      <w:hyperlink r:id="rId36">
        <w:r>
          <w:rPr>
            <w:color w:val="237C8B"/>
            <w:sz w:val="18"/>
          </w:rPr>
          <w:t>https://www.mathnet.ru/rus/zvmmf7713</w:t>
        </w:r>
      </w:hyperlink>
    </w:p>
    <w:p>
      <w:pPr>
        <w:pStyle w:val="Heading2"/>
      </w:pPr>
      <w:r>
        <w:t>29. Нестеров Ю.Е. (1983)</w:t>
      </w:r>
    </w:p>
    <w:p>
      <w:r>
        <w:t>Метод решения задачи выпуклого программирования со скоростью сходимости O(1/k²). Доклады АН СССР 269(3), 543–547; отечественная работа. Ускоренный градиентный метод. Исходные данные: Гладкая выпуклая оптимизация. Протокол: Теоретическая оценка. Метрики: O(1/k²).</w:t>
      </w:r>
    </w:p>
    <w:p>
      <w:r>
        <w:t>Ограничение для ВКР: Модель лабораторной невыпукла. Решение для эксперимента: Измерить Nesterov эмпирически, без переноса теоремы.</w:t>
      </w:r>
    </w:p>
    <w:p>
      <w:hyperlink r:id="rId37">
        <w:r>
          <w:rPr>
            <w:color w:val="237C8B"/>
            <w:sz w:val="18"/>
          </w:rPr>
          <w:t>https://www.mathnet.ru/rus/dan46009</w:t>
        </w:r>
      </w:hyperlink>
    </w:p>
    <w:p>
      <w:pPr>
        <w:pStyle w:val="Heading2"/>
      </w:pPr>
      <w:r>
        <w:t>30. Duchi, Hazan, Singer (2011)</w:t>
      </w:r>
    </w:p>
    <w:p>
      <w:r>
        <w:t>Adaptive Subgradient Methods for Online Learning and Stochastic Optimization. JMLR 12. Накопление квадратов градиента. Исходные данные: Online/стохастическая оптимизация. Протокол: Теория и эмпирическое сравнение. Метрики: Regret; loss.</w:t>
      </w:r>
    </w:p>
    <w:p>
      <w:r>
        <w:t>Ограничение для ВКР: Шаг может быстро уменьшаться. Решение для эксперимента: Проверить общую LR-сетку и кривые.</w:t>
      </w:r>
    </w:p>
    <w:p>
      <w:hyperlink r:id="rId38">
        <w:r>
          <w:rPr>
            <w:color w:val="237C8B"/>
            <w:sz w:val="18"/>
          </w:rPr>
          <w:t>https://jmlr.org/papers/v12/duchi11a.html</w:t>
        </w:r>
      </w:hyperlink>
    </w:p>
    <w:p>
      <w:pPr>
        <w:pStyle w:val="Heading2"/>
      </w:pPr>
      <w:r>
        <w:t>31. Zeiler (2012)</w:t>
      </w:r>
    </w:p>
    <w:p>
      <w:r>
        <w:t>ADADELTA: An Adaptive Learning Rate Method. Препринт / первичный отчёт. Адаптивный масштаб обновлений. Исходные данные: Обучение нейронных сетей. Протокол: Сравнение адаптивных шагов. Метрики: Loss; task quality.</w:t>
      </w:r>
    </w:p>
    <w:p>
      <w:r>
        <w:t>Ограничение для ВКР: Общая узкая LR-сетка может быть невыгодна Adadelta. Решение для эксперимента: Оговорить потолок равного tuning-бюджета.</w:t>
      </w:r>
    </w:p>
    <w:p>
      <w:hyperlink r:id="rId39">
        <w:r>
          <w:rPr>
            <w:color w:val="237C8B"/>
            <w:sz w:val="18"/>
          </w:rPr>
          <w:t>https://arxiv.org/abs/1212.5701</w:t>
        </w:r>
      </w:hyperlink>
    </w:p>
    <w:p>
      <w:pPr>
        <w:pStyle w:val="Heading2"/>
      </w:pPr>
      <w:r>
        <w:t>32. Kingma and Ba (2014)</w:t>
      </w:r>
    </w:p>
    <w:p>
      <w:r>
        <w:t>Adam: A Method for Stochastic Optimization. ICLR 2015. Первый/второй момент градиента. Исходные данные: Оптимизация ML-моделей. Протокол: Теория и эксперименты. Метрики: Loss; скорость обучения.</w:t>
      </w:r>
    </w:p>
    <w:p>
      <w:r>
        <w:t>Ограничение для ВКР: Универсальное превосходство не доказано. Решение для эксперимента: Сравнить на общей инициализации.</w:t>
      </w:r>
    </w:p>
    <w:p>
      <w:hyperlink r:id="rId40">
        <w:r>
          <w:rPr>
            <w:color w:val="237C8B"/>
            <w:sz w:val="18"/>
          </w:rPr>
          <w:t>https://arxiv.org/abs/1412.6980</w:t>
        </w:r>
      </w:hyperlink>
    </w:p>
    <w:p>
      <w:pPr>
        <w:pStyle w:val="Heading2"/>
      </w:pPr>
      <w:r>
        <w:t>33. Loshchilov and Hutter (2017)</w:t>
      </w:r>
    </w:p>
    <w:p>
      <w:r>
        <w:t>Decoupled Weight Decay Regularization. ICLR 2019. Отделённый weight decay. Исходные данные: Нейросетевые benchmark. Протокол: Adam с L2 против decoupled decay. Метрики: Generalization quality.</w:t>
      </w:r>
    </w:p>
    <w:p>
      <w:r>
        <w:t>Ограничение для ВКР: Эффект зависит от regularization и tuning. Решение для эксперимента: Указать фактический weight decay штатного AdamW.</w:t>
      </w:r>
    </w:p>
    <w:p>
      <w:hyperlink r:id="rId41">
        <w:r>
          <w:rPr>
            <w:color w:val="237C8B"/>
            <w:sz w:val="18"/>
          </w:rPr>
          <w:t>https://arxiv.org/abs/1711.05101</w:t>
        </w:r>
      </w:hyperlink>
    </w:p>
    <w:p>
      <w:pPr>
        <w:pStyle w:val="Heading2"/>
      </w:pPr>
      <w:r>
        <w:t>34. Smith, Elsen, De (2020)</w:t>
      </w:r>
    </w:p>
    <w:p>
      <w:r>
        <w:t>On the Generalization Benefit of Noise in Stochastic Gradient Descent. ICML 2020. Анализ шума mini-batch SGD. Исходные данные: Нейросетевые задачи. Протокол: Batch size и learning rate контролируются. Метрики: Test quality; convergence.</w:t>
      </w:r>
    </w:p>
    <w:p>
      <w:r>
        <w:t>Ограничение для ВКР: Нельзя считать любой шум полезным. Решение для эксперимента: Оценить дисперсию градиента и менять один фактор.</w:t>
      </w:r>
    </w:p>
    <w:p>
      <w:hyperlink r:id="rId42">
        <w:r>
          <w:rPr>
            <w:color w:val="237C8B"/>
            <w:sz w:val="18"/>
          </w:rPr>
          <w:t>https://proceedings.mlr.press/v119/smith20a.html</w:t>
        </w:r>
      </w:hyperlink>
    </w:p>
    <w:p>
      <w:pPr>
        <w:pStyle w:val="Heading2"/>
      </w:pPr>
      <w:r>
        <w:t>35. Liu et al. (2023)</w:t>
      </w:r>
    </w:p>
    <w:p>
      <w:r>
        <w:t>High Probability Convergence of Stochastic Gradient Methods. ICML 2023. Высоковероятностный анализ. Исходные данные: Выпуклая/невыпуклая оптимизация. Протокол: Предположение sub-Gaussian шума. Метрики: Вероятностные границы сходимости.</w:t>
      </w:r>
    </w:p>
    <w:p>
      <w:r>
        <w:t>Ограничение для ВКР: Предпосылка шума не установлена по одному графику. Решение для эксперимента: Эмпирические CI не называть теоретической гарантией.</w:t>
      </w:r>
    </w:p>
    <w:p>
      <w:hyperlink r:id="rId43">
        <w:r>
          <w:rPr>
            <w:color w:val="237C8B"/>
            <w:sz w:val="18"/>
          </w:rPr>
          <w:t>https://proceedings.mlr.press/v202/liu23aa.html</w:t>
        </w:r>
      </w:hyperlink>
    </w:p>
    <w:p>
      <w:pPr>
        <w:pStyle w:val="Heading2"/>
      </w:pPr>
      <w:r>
        <w:t>36. Even (2023)</w:t>
      </w:r>
    </w:p>
    <w:p>
      <w:r>
        <w:t>Stochastic Gradient Descent under Markovian Sampling Schemes. ICML 2023. SGD при марковском сэмплировании. Исходные данные: Теоретические марковские схемы. Протокол: Скорость сходимости с зависимыми выборками. Метрики: Bounds; variance reduction.</w:t>
      </w:r>
    </w:p>
    <w:p>
      <w:r>
        <w:t>Ограничение для ВКР: Матрица режимов спроса не равна схеме градиентного сэмплирования. Решение для эксперимента: Разделить covariate stress и теорию Markov SGD.</w:t>
      </w:r>
    </w:p>
    <w:p>
      <w:hyperlink r:id="rId44">
        <w:r>
          <w:rPr>
            <w:color w:val="237C8B"/>
            <w:sz w:val="18"/>
          </w:rPr>
          <w:t>https://proceedings.mlr.press/v202/even23a.html</w:t>
        </w:r>
      </w:hyperlink>
    </w:p>
    <w:p>
      <w:r>
        <w:t>Полная сравнительная матрица приложена в literature.csv. Рейтинги A/A* и квартиль Q1 не приписываются изданиям без отдельной проверки; статус препринтов и первичного лекционного источника RMSProp указан явно.</w:t>
      </w:r>
    </w:p>
    <w:p>
      <w:pPr>
        <w:pStyle w:val="Heading1"/>
      </w:pPr>
      <w:r>
        <w:t>Данные, очистка и временной протокол</w:t>
      </w:r>
    </w:p>
    <w:p>
      <w:r>
        <w:t>Источник: Complete Journey, обработанная версия пакета completejourney. Транзакции: 1,469,307; товарный каталог: 92 331 строка. Точные дубликаты транзакций: 0; исключённые некорректные строки: 11061. Пропусков в исходных полях транзакций не найдено. Служебные купонные записи и топливо исключены из выбора товарных категорий.</w:t>
      </w:r>
    </w:p>
    <w:p>
      <w:r>
        <w:t>Основная выборка: 200 покупателей, 8 категорий. Дополнительный перенос: 20 покупателей, отсутствующих в обучении. Единица наблюдения — покупатель, категория и неделя. Класс 1 означает хотя бы одну покупку в категории в целевую неделю. Панель содержит 66,560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Объекты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1674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38345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8055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7943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1657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p/>
    <w:p>
      <w:r>
        <w:t>Признаки используют четыре недели до целевой. Части идут в порядке времени 60/20/20, пограничные окна удалены: последняя целевая неделя предыдущей части раньше первой недели истории следующей части. Временной индекс взят из набора, гражданский часовой пояс не выдумывается. Масштабирование и текстовый словарь обучены только на train. Идентификатор покупателя не подаётся в модель.</w:t>
      </w:r>
    </w:p>
    <w:p>
      <w:r>
        <w:t>Дисбаланс требует Macro-F1 и F1 класса покупки наряду с accuracy. Повторяющиеся числовые профили допустимы у независимых покупателей и сами по себе не доказывают утечку. Автоматическая проверка меняет будущие транзакции и требует неизменности прошлых признаков.</w:t>
      </w:r>
    </w:p>
    <w:p>
      <w:r>
        <w:t>Версия источника: 5b5d06192b9856edd04e4d405787af2f2e4a1fef. SHA-256 панели: 5063df19106d13e603a54abd67efa7c48d7dbc95a28216ee310c0105d3200428. Лицензия пакета указана как CC0; URL, контрольные суммы файлов и схемы находятся в shared/data/manifest.json и schemas.json. Источник: https://bradleyboehmke.github.io/completejourney/</w:t>
      </w:r>
    </w:p>
    <w:p>
      <w:r>
        <w:t>Аудит текстовых профилей: уникальных 20037, повторяющихся групп 2127, точных профилей в нескольких частях 988. Для фиксированных 500 test-объектов проверен ближайший train-профиль по TF-IDF cosine; сходство ≥0,97 у 397, в том числе один и тот же покупатель у 6. Пустые/сходные истории могут повторяться у независимых покупателей; это ограничение различимости, а не доказательство утечки будущей метки. Ближайшие пары и описательные статистики сохранены в shared/data.</w:t>
      </w:r>
    </w:p>
    <w:p>
      <w:pPr>
        <w:pStyle w:val="Heading1"/>
      </w:pPr>
      <w:r>
        <w:t>Итоговая архитектура и интерфейсы</w:t>
      </w:r>
    </w:p>
    <w:p>
      <w:r>
        <w:t>Сбор транзакций и каталога; валидация product_id, скидок и времени; история покупателя; текстовый прогноз LLM; числовой/визуальный/текстовый модуль; агенты товарных категорий; ограничитель бюджета и маржи; журнал и объяснение человеку. Политики работают офлайн и не отправляют реальные предложения.</w:t>
      </w:r>
    </w:p>
    <w:p>
      <w:r>
        <w:t>Панель передаётся как id, household, category, week, history_start/end, text, numbers, label. LLM выдаёт вероятность покупки, мультимодальный модуль — вероятность того же события. Агенты получают прогнозы и остаток бюджета; выход — вектор дискретных скидок. Контроллер проверяет реализуемость и сохраняет исходный и применённый векторы.</w:t>
      </w:r>
    </w:p>
    <w:p>
      <w:r>
        <w:t>В демонстрации воспроизводится сохранённый реальный ответ выбранной LLM, выполняется числовой модуль и политика; для одной категории фиксированное late fusion усредняет две вероятности. Обучение MARL использовало выбранную компактную модель. Эффективность полного объединённого контура отдельно не измерялась; демонстрация проверяет интерфейсы, а не доказывает прирост прибыли от LLM.</w:t>
      </w:r>
    </w:p>
    <w:p>
      <w:pPr>
        <w:pStyle w:val="Heading1"/>
      </w:pPr>
      <w:r>
        <w:t>Сводные результаты и неопределённость</w:t>
      </w:r>
    </w:p>
    <w:p>
      <w:r>
        <w:t>LLM: Qwen/Qwen2.5-0.5B-Instruct</w:t>
      </w:r>
    </w:p>
    <w:p>
      <w:r>
        <w:t>Мультимодальность: early</w:t>
      </w:r>
    </w:p>
    <w:p>
      <w:r>
        <w:t>MARL: COMA</w:t>
      </w:r>
    </w:p>
    <w:p>
      <w:r>
        <w:t>Оптимизация: AdamW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95% CI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LLM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Macro-F1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0.3976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[0.2500;0.5637]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Модальности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Macro-F1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0.6255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[0.5974;0.6499]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MARL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COMA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Прибыль симуляции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7.1958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[7.0966;7.2950]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Оптимизация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Macro-F1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0.6419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[0.6372;0.6466]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Схема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CI 2,5%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CI 97,5%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text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0.6141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0.1198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0.5879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0.6350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numbers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0.5762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0.1384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0.5500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0.5982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image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0.5788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0.1240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0.5554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0.6002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0.6255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0.1186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0.5974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0.6499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late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0.6078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0.1187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0.5775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0.6326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text_image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0.6133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0.1200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0.5872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0.6346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numbers_image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0.5897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0.1211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0.5627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0.6131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0.6266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0.1185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0.5977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Прибыль симуляции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SD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Нарушения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COMA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7.1958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0.1385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IAC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6.9341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0.2156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IPPO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6.9831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0.4338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IQL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6.6276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0.7089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MAPPO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7.0214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0.6377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PPO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6.7789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0.1937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QMIX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6.6879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0.2766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QTRAN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6.9133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0.5598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Uniform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7.1349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VDN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6.8455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0.4405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Оптимизатор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SD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Adadelta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0.5943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0.0144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Adagrad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0.6309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0.0042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0.6413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0.0064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AdamW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0.6419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0.0065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Momentum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0.5910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0.0132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Nesterov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0.5905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0.0134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RMSprop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0.6472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0.0104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SGD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0.5913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0.0146</w:t>
            </w:r>
          </w:p>
        </w:tc>
      </w:tr>
    </w:tbl>
    <w:p/>
    <w:p>
      <w:r>
        <w:t>Таблицы исходных конфигураций и всех режимов LLM находятся в первой работе; сравнение схем использует ансамбли пяти seed, оптимизаторов — распределение seed, MARL — обучающие seed и общие случайные сценарии. Эти интервалы имеют разные единицы неопределённости и не сравниваются между собой как одна метрика.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Гипотеза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Результат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Граница вывода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 подтверждена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Фиксированный тест / заданный симулятор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 подтверждена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Фиксированный тест / заданный симулятор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Локально подтверждена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Фиксированный тест / заданный симулятор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 подтверждена после поправки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Восемь сравнений, Bonferroni</w:t>
            </w:r>
          </w:p>
        </w:tc>
      </w:tr>
    </w:tbl>
    <w:p/>
    <w:p>
      <w:pPr>
        <w:pStyle w:val="Heading1"/>
      </w:pPr>
      <w:r>
        <w:t>Абляции и отрицательные результаты</w:t>
      </w:r>
    </w:p>
    <w:p>
      <w:r>
        <w:t>Мультимодальный прирост не сохраняет значимость после поправки на восемь сравнений. Некоторые сложные схемы хуже простого текста. Для MARL небольшая разность средней прибыли с равномерным baseline не доказывает экономическую полезность. У многих конфигураций LLM свободный JSON может отличаться от схемы; constrained decoder скрывает только формат, но не ошибочный прогноз. 300/2000 шагов не доказывают сходимости.</w:t>
      </w:r>
    </w:p>
    <w:p>
      <w:r>
        <w:t>Все фактически завершённые и прерванные пилоты различаются в журнале. Неподтверждённые гипотезы сохраняются в итогах. Ни одно число не взято из демонстрационных таблиц исходной методички. Историческая классификация и синтетическая реакция спроса имеют разные подписи.</w:t>
      </w:r>
    </w:p>
    <w:p>
      <w:pPr>
        <w:pStyle w:val="Heading1"/>
      </w:pPr>
      <w:r>
        <w:t>Ответственность и границы применения</w:t>
      </w:r>
    </w:p>
    <w:p>
      <w:r>
        <w:t>Покупательские идентификаторы псевдонимизированы источником; они применяются только для группировки и не становятся признаком. Доход, возраст и другие демографические поля исключены. На реальной площадке необходимо ограничить доступ к транзакциям, срок хранения и цель обработки. Нельзя считать отсутствие чувствительных полей гарантией отсутствия дискриминации: категории покупок также могут быть прокси.</w:t>
      </w:r>
    </w:p>
    <w:p>
      <w:r>
        <w:t>Перед внедрением нужны согласованная политика допустимых различий предложений, проверка отказов и ручной контроль. LLM не распоряжается бюджетом и не изменяет цены. Сейчас реализованы проверки формата ответа, допустимости действий, бюджета и маржи; общий fallback для неизвестного товара и отсутствующей истории остаётся следующим этапом. Правовые выводы без отдельной проверки юрисдикции не делаются.</w:t>
      </w:r>
    </w:p>
    <w:p>
      <w:r>
        <w:t>Основные угрозы: перенос продуктовой розницы на e-commerce; один магазин и короткое окно; повторение пользователей между временными частями; малый LLM-test; общая первичная информация трёх модальностей; допущения о стоимости и эластичности; отсутствие рандомизации скидок; общие сценарии baseline; узкая LR-сетка и короткое обучение.</w:t>
      </w:r>
    </w:p>
    <w:p>
      <w:pPr>
        <w:pStyle w:val="Heading1"/>
      </w:pPr>
      <w:r>
        <w:t>Вывод и следующий эксперимент</w:t>
      </w:r>
    </w:p>
    <w:p>
      <w:r>
        <w:t>Проект реализует минимальную исследовательскую систему и воспроизводимый способ сравнения. Результаты поддерживают сохранение простых baseline и жёсткого контроллера, но не дают оснований обещать рост реальных продаж. Следующий шаг — получить timestamped онлайн-историю показов предложений и рандомизированную вариацию скидки, провести более длинный out-of-time тест и сравнить инкрементальную прибыль с заранее заданными ограничениями.</w:t>
      </w:r>
    </w:p>
    <w:p>
      <w:r>
        <w:t>Материалы защиты: 14 слайдов defense.pptx, demo_scenario.md, demo.py, results/demo.json, experiment_passport.json, contributions.csv, literature.csv, artifact_manifest.json и artifacts.zip. Архив содержит код, отчёты, таблицы, логи и инструкции; веса и окружение устанавливаются отдельно. Ссылка на внешний репозиторий не выдумывается, сдаётся локальный архив.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12.15115" TargetMode="External"/><Relationship Id="rId10" Type="http://schemas.openxmlformats.org/officeDocument/2006/relationships/hyperlink" Target="https://arxiv.org/abs/2505.09388" TargetMode="External"/><Relationship Id="rId11" Type="http://schemas.openxmlformats.org/officeDocument/2006/relationships/hyperlink" Target="https://arxiv.org/abs/2502.02737" TargetMode="External"/><Relationship Id="rId12" Type="http://schemas.openxmlformats.org/officeDocument/2006/relationships/hyperlink" Target="https://arxiv.org/abs/2005.14165" TargetMode="External"/><Relationship Id="rId13" Type="http://schemas.openxmlformats.org/officeDocument/2006/relationships/hyperlink" Target="https://arxiv.org/abs/2106.09685" TargetMode="External"/><Relationship Id="rId14" Type="http://schemas.openxmlformats.org/officeDocument/2006/relationships/hyperlink" Target="https://arxiv.org/abs/2305.14314" TargetMode="External"/><Relationship Id="rId15" Type="http://schemas.openxmlformats.org/officeDocument/2006/relationships/hyperlink" Target="https://arxiv.org/abs/2506.09440" TargetMode="External"/><Relationship Id="rId16" Type="http://schemas.openxmlformats.org/officeDocument/2006/relationships/hyperlink" Target="https://arxiv.org/abs/2405.13929" TargetMode="External"/><Relationship Id="rId17" Type="http://schemas.openxmlformats.org/officeDocument/2006/relationships/hyperlink" Target="https://arxiv.org/abs/2203.13366" TargetMode="External"/><Relationship Id="rId18" Type="http://schemas.openxmlformats.org/officeDocument/2006/relationships/hyperlink" Target="https://arxiv.org/abs/2406.05987" TargetMode="External"/><Relationship Id="rId19" Type="http://schemas.openxmlformats.org/officeDocument/2006/relationships/hyperlink" Target="https://arxiv.org/abs/1703.04247" TargetMode="External"/><Relationship Id="rId20" Type="http://schemas.openxmlformats.org/officeDocument/2006/relationships/hyperlink" Target="https://arxiv.org/abs/2103.00020" TargetMode="External"/><Relationship Id="rId21" Type="http://schemas.openxmlformats.org/officeDocument/2006/relationships/hyperlink" Target="https://arxiv.org/abs/2102.03334" TargetMode="External"/><Relationship Id="rId22" Type="http://schemas.openxmlformats.org/officeDocument/2006/relationships/hyperlink" Target="https://arxiv.org/abs/2301.12597" TargetMode="External"/><Relationship Id="rId23" Type="http://schemas.openxmlformats.org/officeDocument/2006/relationships/hyperlink" Target="https://arxiv.org/abs/1912.09363" TargetMode="External"/><Relationship Id="rId24" Type="http://schemas.openxmlformats.org/officeDocument/2006/relationships/hyperlink" Target="https://arxiv.org/abs/2310.01728" TargetMode="External"/><Relationship Id="rId25" Type="http://schemas.openxmlformats.org/officeDocument/2006/relationships/hyperlink" Target="https://arxiv.org/abs/2205.13504" TargetMode="External"/><Relationship Id="rId26" Type="http://schemas.openxmlformats.org/officeDocument/2006/relationships/hyperlink" Target="https://arxiv.org/abs/2210.02186" TargetMode="External"/><Relationship Id="rId27" Type="http://schemas.openxmlformats.org/officeDocument/2006/relationships/hyperlink" Target="https://arxiv.org/abs/1706.05296" TargetMode="External"/><Relationship Id="rId28" Type="http://schemas.openxmlformats.org/officeDocument/2006/relationships/hyperlink" Target="https://proceedings.mlr.press/v80/rashid18a.html" TargetMode="External"/><Relationship Id="rId29" Type="http://schemas.openxmlformats.org/officeDocument/2006/relationships/hyperlink" Target="https://arxiv.org/abs/1905.05408" TargetMode="External"/><Relationship Id="rId30" Type="http://schemas.openxmlformats.org/officeDocument/2006/relationships/hyperlink" Target="https://arxiv.org/abs/1705.08926" TargetMode="External"/><Relationship Id="rId31" Type="http://schemas.openxmlformats.org/officeDocument/2006/relationships/hyperlink" Target="https://arxiv.org/abs/2103.01955" TargetMode="External"/><Relationship Id="rId32" Type="http://schemas.openxmlformats.org/officeDocument/2006/relationships/hyperlink" Target="https://arxiv.org/abs/1707.06347" TargetMode="External"/><Relationship Id="rId33" Type="http://schemas.openxmlformats.org/officeDocument/2006/relationships/hyperlink" Target="https://arxiv.org/abs/1705.10528" TargetMode="External"/><Relationship Id="rId34" Type="http://schemas.openxmlformats.org/officeDocument/2006/relationships/hyperlink" Target="https://web.media.mit.edu/~cynthiab/Readings/tan-MAS-reinfLearn.pdf" TargetMode="External"/><Relationship Id="rId35" Type="http://schemas.openxmlformats.org/officeDocument/2006/relationships/hyperlink" Target="https://psyjournals.ru/journals/mda/archive/2024_n2/Novikov_Vinogradov" TargetMode="External"/><Relationship Id="rId36" Type="http://schemas.openxmlformats.org/officeDocument/2006/relationships/hyperlink" Target="https://www.mathnet.ru/rus/zvmmf7713" TargetMode="External"/><Relationship Id="rId37" Type="http://schemas.openxmlformats.org/officeDocument/2006/relationships/hyperlink" Target="https://www.mathnet.ru/rus/dan46009" TargetMode="External"/><Relationship Id="rId38" Type="http://schemas.openxmlformats.org/officeDocument/2006/relationships/hyperlink" Target="https://jmlr.org/papers/v12/duchi11a.html" TargetMode="External"/><Relationship Id="rId39" Type="http://schemas.openxmlformats.org/officeDocument/2006/relationships/hyperlink" Target="https://arxiv.org/abs/1212.5701" TargetMode="External"/><Relationship Id="rId40" Type="http://schemas.openxmlformats.org/officeDocument/2006/relationships/hyperlink" Target="https://arxiv.org/abs/1412.6980" TargetMode="External"/><Relationship Id="rId41" Type="http://schemas.openxmlformats.org/officeDocument/2006/relationships/hyperlink" Target="https://arxiv.org/abs/1711.05101" TargetMode="External"/><Relationship Id="rId42" Type="http://schemas.openxmlformats.org/officeDocument/2006/relationships/hyperlink" Target="https://proceedings.mlr.press/v119/smith20a.html" TargetMode="External"/><Relationship Id="rId43" Type="http://schemas.openxmlformats.org/officeDocument/2006/relationships/hyperlink" Target="https://proceedings.mlr.press/v202/liu23aa.html" TargetMode="External"/><Relationship Id="rId44" Type="http://schemas.openxmlformats.org/officeDocument/2006/relationships/hyperlink" Target="https://proceedings.mlr.press/v202/even23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5. Защита исследовательского проекта</dc:title>
  <dc:subject>Разработка многоагентной системы персонализированного управления скидками в электронной коммерции</dc:subject>
  <dc:creator>Индивидуальный исследовательский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