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437C7" w14:textId="77777777" w:rsidR="009E0E98" w:rsidRDefault="00F718DE">
      <w:r>
        <w:t>Supplementary Material.  Population modeling methods</w:t>
      </w:r>
    </w:p>
    <w:p w14:paraId="4C4CD357" w14:textId="77777777" w:rsidR="00D404CB" w:rsidRDefault="00D404CB"/>
    <w:p w14:paraId="6B0F916B" w14:textId="6194955B" w:rsidR="00A24DBB" w:rsidRDefault="00A24DBB" w:rsidP="00F718DE">
      <w:pPr>
        <w:tabs>
          <w:tab w:val="left" w:pos="3330"/>
        </w:tabs>
      </w:pPr>
      <w:r>
        <w:t xml:space="preserve">Patch-based integral projection models </w:t>
      </w:r>
    </w:p>
    <w:p w14:paraId="4F4AAA29" w14:textId="77777777" w:rsidR="00A24DBB" w:rsidRDefault="00A24DBB" w:rsidP="00F718DE">
      <w:pPr>
        <w:tabs>
          <w:tab w:val="left" w:pos="3330"/>
        </w:tabs>
      </w:pPr>
    </w:p>
    <w:p w14:paraId="3A5488CC" w14:textId="50C12A56" w:rsidR="00F718DE" w:rsidRDefault="00B64754" w:rsidP="00F718DE">
      <w:pPr>
        <w:tabs>
          <w:tab w:val="left" w:pos="3330"/>
        </w:tabs>
        <w:rPr>
          <w:rFonts w:ascii="Cambria" w:hAnsi="Cambria"/>
        </w:rPr>
      </w:pPr>
      <w:r>
        <w:t xml:space="preserve">Our analysis of </w:t>
      </w:r>
      <w:proofErr w:type="spellStart"/>
      <w:r w:rsidRPr="001F3451">
        <w:rPr>
          <w:i/>
        </w:rPr>
        <w:t>Callitris</w:t>
      </w:r>
      <w:proofErr w:type="spellEnd"/>
      <w:r w:rsidRPr="001F3451">
        <w:rPr>
          <w:i/>
        </w:rPr>
        <w:t xml:space="preserve"> </w:t>
      </w:r>
      <w:proofErr w:type="spellStart"/>
      <w:r w:rsidRPr="001F3451">
        <w:rPr>
          <w:i/>
        </w:rPr>
        <w:t>intratropica</w:t>
      </w:r>
      <w:proofErr w:type="spellEnd"/>
      <w:r>
        <w:t xml:space="preserve"> demography</w:t>
      </w:r>
      <w:r w:rsidR="00F718DE">
        <w:rPr>
          <w:rFonts w:ascii="Cambria" w:hAnsi="Cambria"/>
        </w:rPr>
        <w:t xml:space="preserve"> </w:t>
      </w:r>
      <w:r>
        <w:rPr>
          <w:rFonts w:ascii="Cambria" w:hAnsi="Cambria"/>
        </w:rPr>
        <w:t>incorporated</w:t>
      </w:r>
      <w:r w:rsidR="00F718DE">
        <w:rPr>
          <w:rFonts w:ascii="Cambria" w:hAnsi="Cambria"/>
        </w:rPr>
        <w:t xml:space="preserve"> </w:t>
      </w:r>
      <w:r w:rsidR="00F718DE" w:rsidRPr="00DD64A7">
        <w:rPr>
          <w:rFonts w:ascii="Cambria" w:hAnsi="Cambria"/>
        </w:rPr>
        <w:t>two cov</w:t>
      </w:r>
      <w:r>
        <w:rPr>
          <w:rFonts w:ascii="Cambria" w:hAnsi="Cambria"/>
        </w:rPr>
        <w:t xml:space="preserve">ariates – </w:t>
      </w:r>
      <w:r w:rsidR="00F718DE">
        <w:rPr>
          <w:rFonts w:ascii="Cambria" w:hAnsi="Cambria"/>
        </w:rPr>
        <w:t>(</w:t>
      </w:r>
      <w:proofErr w:type="spellStart"/>
      <w:r w:rsidR="00F718DE" w:rsidRPr="00DD64A7">
        <w:rPr>
          <w:rFonts w:ascii="Cambria" w:hAnsi="Cambria"/>
        </w:rPr>
        <w:t>i</w:t>
      </w:r>
      <w:proofErr w:type="spellEnd"/>
      <w:r w:rsidR="00F718DE" w:rsidRPr="00DD64A7">
        <w:rPr>
          <w:rFonts w:ascii="Cambria" w:hAnsi="Cambria"/>
        </w:rPr>
        <w:t xml:space="preserve">) fire </w:t>
      </w:r>
      <w:r>
        <w:rPr>
          <w:rFonts w:ascii="Cambria" w:hAnsi="Cambria"/>
        </w:rPr>
        <w:t>disturbance (no fire vs. low intensity fire vs. high intensity fire)</w:t>
      </w:r>
      <w:r w:rsidR="00F718DE">
        <w:rPr>
          <w:rFonts w:ascii="Cambria" w:hAnsi="Cambria"/>
        </w:rPr>
        <w:t xml:space="preserve"> </w:t>
      </w:r>
      <w:r w:rsidR="00F718DE" w:rsidRPr="00DD64A7">
        <w:rPr>
          <w:rFonts w:ascii="Cambria" w:hAnsi="Cambria"/>
        </w:rPr>
        <w:t xml:space="preserve">and </w:t>
      </w:r>
      <w:r>
        <w:rPr>
          <w:rFonts w:ascii="Cambria" w:hAnsi="Cambria"/>
        </w:rPr>
        <w:t>(ii) grove state (</w:t>
      </w:r>
      <w:r w:rsidR="00F718DE">
        <w:rPr>
          <w:rFonts w:ascii="Cambria" w:hAnsi="Cambria"/>
        </w:rPr>
        <w:t xml:space="preserve">intact groves vs. degraded groves vs. </w:t>
      </w:r>
      <w:r w:rsidR="00F718DE" w:rsidRPr="00DD64A7">
        <w:rPr>
          <w:rFonts w:ascii="Cambria" w:hAnsi="Cambria"/>
        </w:rPr>
        <w:t>singleton</w:t>
      </w:r>
      <w:r w:rsidR="00F718DE">
        <w:rPr>
          <w:rFonts w:ascii="Cambria" w:hAnsi="Cambria"/>
        </w:rPr>
        <w:t xml:space="preserve"> trees</w:t>
      </w:r>
      <w:r>
        <w:rPr>
          <w:rFonts w:ascii="Cambria" w:hAnsi="Cambria"/>
        </w:rPr>
        <w:t xml:space="preserve">) – </w:t>
      </w:r>
      <w:r w:rsidR="00F718DE">
        <w:rPr>
          <w:rFonts w:ascii="Cambria" w:hAnsi="Cambria"/>
        </w:rPr>
        <w:t>in</w:t>
      </w:r>
      <w:r>
        <w:rPr>
          <w:rFonts w:ascii="Cambria" w:hAnsi="Cambria"/>
        </w:rPr>
        <w:t>to</w:t>
      </w:r>
      <w:r w:rsidR="00F718DE">
        <w:rPr>
          <w:rFonts w:ascii="Cambria" w:hAnsi="Cambria"/>
        </w:rPr>
        <w:t xml:space="preserve"> </w:t>
      </w:r>
      <w:r>
        <w:rPr>
          <w:rFonts w:ascii="Cambria" w:hAnsi="Cambria"/>
        </w:rPr>
        <w:t>size-</w:t>
      </w:r>
      <w:r w:rsidR="00F718DE" w:rsidRPr="00DD64A7">
        <w:rPr>
          <w:rFonts w:ascii="Cambria" w:hAnsi="Cambria"/>
        </w:rPr>
        <w:t>de</w:t>
      </w:r>
      <w:r w:rsidR="00F718DE">
        <w:rPr>
          <w:rFonts w:ascii="Cambria" w:hAnsi="Cambria"/>
        </w:rPr>
        <w:t xml:space="preserve">pendent </w:t>
      </w:r>
      <w:r>
        <w:rPr>
          <w:rFonts w:ascii="Cambria" w:hAnsi="Cambria"/>
        </w:rPr>
        <w:t xml:space="preserve">linear and generalized linear </w:t>
      </w:r>
      <w:r w:rsidR="00F718DE">
        <w:rPr>
          <w:rFonts w:ascii="Cambria" w:hAnsi="Cambria"/>
        </w:rPr>
        <w:t xml:space="preserve">models of </w:t>
      </w:r>
      <w:r w:rsidR="00F718DE" w:rsidRPr="00500409">
        <w:rPr>
          <w:rFonts w:ascii="Cambria" w:hAnsi="Cambria"/>
          <w:i/>
        </w:rPr>
        <w:t xml:space="preserve">C. </w:t>
      </w:r>
      <w:proofErr w:type="spellStart"/>
      <w:r w:rsidR="00F718DE" w:rsidRPr="00500409">
        <w:rPr>
          <w:rFonts w:ascii="Cambria" w:hAnsi="Cambria"/>
          <w:i/>
        </w:rPr>
        <w:t>intratropica</w:t>
      </w:r>
      <w:proofErr w:type="spellEnd"/>
      <w:r w:rsidR="00F718DE">
        <w:rPr>
          <w:rFonts w:ascii="Cambria" w:hAnsi="Cambria"/>
        </w:rPr>
        <w:t xml:space="preserve"> survival, growth and fecundity</w:t>
      </w:r>
      <w:r>
        <w:rPr>
          <w:rFonts w:ascii="Cambria" w:hAnsi="Cambria"/>
        </w:rPr>
        <w:t xml:space="preserve"> (see Methods)</w:t>
      </w:r>
      <w:r w:rsidR="00F718DE">
        <w:rPr>
          <w:rFonts w:ascii="Cambria" w:hAnsi="Cambria"/>
        </w:rPr>
        <w:t xml:space="preserve">. </w:t>
      </w:r>
      <w:r w:rsidR="00F718DE" w:rsidRPr="00DD64A7">
        <w:rPr>
          <w:rFonts w:ascii="Cambria" w:hAnsi="Cambria"/>
        </w:rPr>
        <w:t xml:space="preserve"> </w:t>
      </w:r>
      <w:r w:rsidR="00F718DE">
        <w:rPr>
          <w:rFonts w:ascii="Cambria" w:hAnsi="Cambria"/>
        </w:rPr>
        <w:t>We use</w:t>
      </w:r>
      <w:r>
        <w:rPr>
          <w:rFonts w:ascii="Cambria" w:hAnsi="Cambria"/>
        </w:rPr>
        <w:t>d</w:t>
      </w:r>
      <w:r w:rsidR="00F718DE">
        <w:rPr>
          <w:rFonts w:ascii="Cambria" w:hAnsi="Cambria"/>
        </w:rPr>
        <w:t xml:space="preserve"> these vital rate functions to construct integral projection models (IPMs) of population dynamics </w:t>
      </w:r>
      <w:r w:rsidR="00F718DE">
        <w:rPr>
          <w:rFonts w:ascii="Cambria" w:hAnsi="Cambria"/>
        </w:rPr>
        <w:fldChar w:fldCharType="begin" w:fldLock="1"/>
      </w:r>
      <w:r w:rsidR="00A24DBB">
        <w:rPr>
          <w:rFonts w:ascii="Cambria" w:hAnsi="Cambria"/>
        </w:rPr>
        <w:instrText>ADDIN CSL_CITATION { "citationItems" : [ { "id" : "ITEM-1", "itemData" : { "ISBN" : "0012-9658", "author" : [ { "dropping-particle" : "", "family" : "Easterling", "given" : "M R", "non-dropping-particle" : "", "parse-names" : false, "suffix" : "" }, { "dropping-particle" : "", "family" : "Ellner", "given" : "S P", "non-dropping-particle" : "", "parse-names" : false, "suffix" : "" }, { "dropping-particle" : "", "family" : "Dixon", "given" : "P M", "non-dropping-particle" : "", "parse-names" : false, "suffix" : "" } ], "container-title" : "Ecology", "id" : "ITEM-1", "issue" : "3", "issued" : { "date-parts" : [ [ "2000" ] ] }, "page" : "694-708", "title" : "Size-specific sensitivity: applying a new structured population model", "type" : "article-journal", "volume" : "81" }, "uris" : [ "http://www.mendeley.com/documents/?uuid=874de56b-a951-4976-b4d3-f9861ad0b485" ] }, { "id" : "ITEM-2", "itemData" : { "author" : [ { "dropping-particle" : "", "family" : "Ellner", "given" : "S P", "non-dropping-particle" : "", "parse-names" : false, "suffix" : "" }, { "dropping-particle" : "", "family" : "Rees", "given" : "M", "non-dropping-particle" : "", "parse-names" : false, "suffix" : "" } ], "container-title" : "The American Naturalist", "id" : "ITEM-2", "issue" : "3", "issued" : { "date-parts" : [ [ "2006" ] ] }, "page" : "410-428", "title" : "Integral projection models for species with complex demography", "type" : "article-journal", "volume" : "167" }, "uris" : [ "http://www.mendeley.com/documents/?uuid=5ed5850d-7f76-4655-b329-73e21788289e" ] } ], "mendeley" : { "previouslyFormattedCitation" : "(Easterling, Ellner, &amp; Dixon, 2000; Ellner &amp; Rees, 2006)" }, "properties" : { "noteIndex" : 0 }, "schema" : "https://github.com/citation-style-language/schema/raw/master/csl-citation.json" }</w:instrText>
      </w:r>
      <w:r w:rsidR="00F718DE">
        <w:rPr>
          <w:rFonts w:ascii="Cambria" w:hAnsi="Cambria"/>
        </w:rPr>
        <w:fldChar w:fldCharType="separate"/>
      </w:r>
      <w:r w:rsidR="00B73EF2" w:rsidRPr="00B73EF2">
        <w:rPr>
          <w:rFonts w:ascii="Cambria" w:hAnsi="Cambria"/>
          <w:noProof/>
        </w:rPr>
        <w:t>(Easterling, Ellner, &amp; Dixon, 2000; Ellner &amp; Rees, 2006)</w:t>
      </w:r>
      <w:r w:rsidR="00F718DE">
        <w:rPr>
          <w:rFonts w:ascii="Cambria" w:hAnsi="Cambria"/>
        </w:rPr>
        <w:fldChar w:fldCharType="end"/>
      </w:r>
      <w:r w:rsidR="00F718DE">
        <w:rPr>
          <w:rFonts w:ascii="Cambria" w:hAnsi="Cambria"/>
        </w:rPr>
        <w:t xml:space="preserve"> and assess the population stability of each grove state under each fire disturbance type.</w:t>
      </w:r>
      <w:r>
        <w:rPr>
          <w:rFonts w:ascii="Cambria" w:hAnsi="Cambria"/>
        </w:rPr>
        <w:t xml:space="preserve">  We also</w:t>
      </w:r>
      <w:r w:rsidR="00F718DE">
        <w:rPr>
          <w:rFonts w:ascii="Cambria" w:hAnsi="Cambria"/>
        </w:rPr>
        <w:t xml:space="preserve"> construct</w:t>
      </w:r>
      <w:r>
        <w:rPr>
          <w:rFonts w:ascii="Cambria" w:hAnsi="Cambria"/>
        </w:rPr>
        <w:t>ed</w:t>
      </w:r>
      <w:r w:rsidR="00F718DE">
        <w:rPr>
          <w:rFonts w:ascii="Cambria" w:hAnsi="Cambria"/>
        </w:rPr>
        <w:t xml:space="preserve"> an environmental state transition matrix </w:t>
      </w:r>
      <w:r w:rsidR="00F718DE">
        <w:rPr>
          <w:rFonts w:ascii="Cambria" w:hAnsi="Cambria"/>
        </w:rPr>
        <w:fldChar w:fldCharType="begin" w:fldLock="1"/>
      </w:r>
      <w:r w:rsidR="00A24DBB">
        <w:rPr>
          <w:rFonts w:ascii="Cambria" w:hAnsi="Cambria"/>
        </w:rPr>
        <w:instrText>ADDIN CSL_CITATION { "citationItems" : [ { "id" : "ITEM-1", "itemData" : { "author" : [ { "dropping-particle" : "", "family" : "Horvitz", "given" : "CC", "non-dropping-particle" : "", "parse-names" : false, "suffix" : "" }, { "dropping-particle" : "", "family" : "Schemske", "given" : "DW", "non-dropping-particle" : "", "parse-names" : false, "suffix" : "" } ], "container-title" : "Frugivores and seed dispersal. Dr. W.  \u2026", "id" : "ITEM-1", "issued" : { "date-parts" : [ [ "1986" ] ] }, "title" : "Seed dispersal and environmental heterogeneity in a neotropical herb: a model of population and patch dynamics", "type" : "article-journal" }, "uris" : [ "http://www.mendeley.com/documents/?uuid=d2562157-a493-4790-b0eb-0a6601de5bac" ] } ], "mendeley" : { "previouslyFormattedCitation" : "(Horvitz &amp; Schemske, 1986)" }, "properties" : { "noteIndex" : 0 }, "schema" : "https://github.com/citation-style-language/schema/raw/master/csl-citation.json" }</w:instrText>
      </w:r>
      <w:r w:rsidR="00F718DE">
        <w:rPr>
          <w:rFonts w:ascii="Cambria" w:hAnsi="Cambria"/>
        </w:rPr>
        <w:fldChar w:fldCharType="separate"/>
      </w:r>
      <w:r w:rsidR="00B73EF2" w:rsidRPr="00B73EF2">
        <w:rPr>
          <w:rFonts w:ascii="Cambria" w:hAnsi="Cambria"/>
          <w:noProof/>
        </w:rPr>
        <w:t>(Horvitz &amp; Schemske, 1986)</w:t>
      </w:r>
      <w:r w:rsidR="00F718DE">
        <w:rPr>
          <w:rFonts w:ascii="Cambria" w:hAnsi="Cambria"/>
        </w:rPr>
        <w:fldChar w:fldCharType="end"/>
      </w:r>
      <w:r>
        <w:rPr>
          <w:rFonts w:ascii="Cambria" w:hAnsi="Cambria"/>
        </w:rPr>
        <w:t xml:space="preserve"> using a</w:t>
      </w:r>
      <w:r w:rsidR="00F718DE">
        <w:rPr>
          <w:rFonts w:ascii="Cambria" w:hAnsi="Cambria"/>
        </w:rPr>
        <w:t xml:space="preserve"> Markov chain of grove st</w:t>
      </w:r>
      <w:r>
        <w:rPr>
          <w:rFonts w:ascii="Cambria" w:hAnsi="Cambria"/>
        </w:rPr>
        <w:t xml:space="preserve">ate transition probabilities per </w:t>
      </w:r>
      <w:r w:rsidR="00F718DE">
        <w:rPr>
          <w:rFonts w:ascii="Cambria" w:hAnsi="Cambria"/>
        </w:rPr>
        <w:t>fire disturbance type</w:t>
      </w:r>
      <w:r>
        <w:rPr>
          <w:rFonts w:ascii="Cambria" w:hAnsi="Cambria"/>
        </w:rPr>
        <w:t>.  This enabled us</w:t>
      </w:r>
      <w:r w:rsidR="00F718DE">
        <w:rPr>
          <w:rFonts w:ascii="Cambria" w:hAnsi="Cambria"/>
        </w:rPr>
        <w:t xml:space="preserve"> </w:t>
      </w:r>
      <w:r w:rsidR="00F718DE" w:rsidRPr="00DD64A7">
        <w:rPr>
          <w:rFonts w:ascii="Cambria" w:hAnsi="Cambria"/>
        </w:rPr>
        <w:t xml:space="preserve">to </w:t>
      </w:r>
      <w:r w:rsidR="00F718DE">
        <w:rPr>
          <w:rFonts w:ascii="Cambria" w:hAnsi="Cambria"/>
        </w:rPr>
        <w:t>examine how the frequency of low-intensity and high intensity fires affects the long-term projected proportions of intact</w:t>
      </w:r>
      <w:r w:rsidR="001F3451">
        <w:rPr>
          <w:rFonts w:ascii="Cambria" w:hAnsi="Cambria"/>
        </w:rPr>
        <w:t xml:space="preserve"> grove,</w:t>
      </w:r>
      <w:r w:rsidR="00F718DE">
        <w:rPr>
          <w:rFonts w:ascii="Cambria" w:hAnsi="Cambria"/>
        </w:rPr>
        <w:t xml:space="preserve"> degraded groves and singleton trees.  </w:t>
      </w:r>
      <w:r>
        <w:rPr>
          <w:rFonts w:ascii="Cambria" w:hAnsi="Cambria"/>
        </w:rPr>
        <w:t xml:space="preserve">We then integrated the IPM </w:t>
      </w:r>
      <w:r w:rsidR="00F718DE" w:rsidRPr="00B51349">
        <w:rPr>
          <w:rFonts w:ascii="Cambria" w:hAnsi="Cambria"/>
        </w:rPr>
        <w:t>and environmental stat</w:t>
      </w:r>
      <w:r>
        <w:rPr>
          <w:rFonts w:ascii="Cambria" w:hAnsi="Cambria"/>
        </w:rPr>
        <w:t>e transition matrix into</w:t>
      </w:r>
      <w:r w:rsidR="00F718DE" w:rsidRPr="00B51349">
        <w:rPr>
          <w:rFonts w:ascii="Cambria" w:hAnsi="Cambria"/>
        </w:rPr>
        <w:t xml:space="preserve"> a </w:t>
      </w:r>
      <w:r w:rsidR="00F718DE">
        <w:rPr>
          <w:rFonts w:ascii="Cambria" w:hAnsi="Cambria"/>
        </w:rPr>
        <w:t>‘</w:t>
      </w:r>
      <w:proofErr w:type="spellStart"/>
      <w:r w:rsidR="00F718DE" w:rsidRPr="00B51349">
        <w:rPr>
          <w:rFonts w:ascii="Cambria" w:hAnsi="Cambria"/>
        </w:rPr>
        <w:t>megamatrix</w:t>
      </w:r>
      <w:proofErr w:type="spellEnd"/>
      <w:r w:rsidR="00F718DE">
        <w:rPr>
          <w:rFonts w:ascii="Cambria" w:hAnsi="Cambria"/>
        </w:rPr>
        <w:t>’</w:t>
      </w:r>
      <w:r w:rsidR="001F3451">
        <w:rPr>
          <w:rFonts w:ascii="Cambria" w:hAnsi="Cambria"/>
        </w:rPr>
        <w:t xml:space="preserve"> that modeled</w:t>
      </w:r>
      <w:r>
        <w:rPr>
          <w:rFonts w:ascii="Cambria" w:hAnsi="Cambria"/>
        </w:rPr>
        <w:t xml:space="preserve"> the patch- and size-based </w:t>
      </w:r>
      <w:r w:rsidR="00F718DE" w:rsidRPr="00B51349">
        <w:rPr>
          <w:rFonts w:ascii="Cambria" w:hAnsi="Cambria"/>
        </w:rPr>
        <w:t>population dynamics</w:t>
      </w:r>
      <w:r w:rsidR="001F3451">
        <w:rPr>
          <w:rFonts w:ascii="Cambria" w:hAnsi="Cambria"/>
        </w:rPr>
        <w:t xml:space="preserve"> of C. </w:t>
      </w:r>
      <w:proofErr w:type="spellStart"/>
      <w:r w:rsidR="001F3451">
        <w:rPr>
          <w:rFonts w:ascii="Cambria" w:hAnsi="Cambria"/>
        </w:rPr>
        <w:t>intratropica</w:t>
      </w:r>
      <w:proofErr w:type="spellEnd"/>
      <w:r w:rsidR="00F718DE">
        <w:rPr>
          <w:rFonts w:ascii="Cambria" w:hAnsi="Cambria"/>
        </w:rPr>
        <w:t xml:space="preserve"> </w:t>
      </w:r>
      <w:r w:rsidR="00F718DE">
        <w:rPr>
          <w:rFonts w:ascii="Cambria" w:hAnsi="Cambria"/>
        </w:rPr>
        <w:fldChar w:fldCharType="begin" w:fldLock="1"/>
      </w:r>
      <w:r w:rsidR="00A24DBB">
        <w:rPr>
          <w:rFonts w:ascii="Cambria" w:hAnsi="Cambria"/>
        </w:rPr>
        <w:instrText>ADDIN CSL_CITATION { "citationItems" : [ { "id" : "ITEM-1", "itemData" : { "author" : [ { "dropping-particle" : "", "family" : "Pascarella", "given" : "JB", "non-dropping-particle" : "", "parse-names" : false, "suffix" : "" }, { "dropping-particle" : "", "family" : "Horvitz", "given" : "CC", "non-dropping-particle" : "", "parse-names" : false, "suffix" : "" } ], "container-title" : "Ecology", "id" : "ITEM-1", "issued" : { "date-parts" : [ [ "1998" ] ] }, "title" : "Hurricane disturbance and the population dynamics of a tropical understory shrub: megamatrix elasticity analysis", "type" : "article-journal" }, "uris" : [ "http://www.mendeley.com/documents/?uuid=e76cc452-eaed-4de0-b21f-728b36d6ebf9" ] }, { "id" : "ITEM-2", "itemData" : { "author" : [ { "dropping-particle" : "", "family" : "Valverde", "given" : "Teresa", "non-dropping-particle" : "", "parse-names" : false, "suffix" : "" }, { "dropping-particle" : "", "family" : "Silvertown", "given" : "Jonathan", "non-dropping-particle" : "", "parse-names" : false, "suffix" : "" } ], "container-title" : "Oikos", "id" : "ITEM-2", "issue" : "1", "issued" : { "date-parts" : [ [ "1997" ] ] }, "page" : "67-77", "title" : "An integrated model of demography , patch dynamics and seed dispersal in a woodland herb , Primula vulgaris", "type" : "article-journal", "volume" : "80" }, "uris" : [ "http://www.mendeley.com/documents/?uuid=bd7d3a43-e186-46bc-a136-58f2bab52b75" ] } ], "mendeley" : { "previouslyFormattedCitation" : "(Pascarella &amp; Horvitz, 1998; Valverde &amp; Silvertown, 1997)" }, "properties" : { "noteIndex" : 0 }, "schema" : "https://github.com/citation-style-language/schema/raw/master/csl-citation.json" }</w:instrText>
      </w:r>
      <w:r w:rsidR="00F718DE">
        <w:rPr>
          <w:rFonts w:ascii="Cambria" w:hAnsi="Cambria"/>
        </w:rPr>
        <w:fldChar w:fldCharType="separate"/>
      </w:r>
      <w:r w:rsidR="00B73EF2" w:rsidRPr="00B73EF2">
        <w:rPr>
          <w:rFonts w:ascii="Cambria" w:hAnsi="Cambria"/>
          <w:noProof/>
        </w:rPr>
        <w:t>(Pascarella &amp; Horvitz, 1998; Valverde &amp; Silvertown, 1997)</w:t>
      </w:r>
      <w:r w:rsidR="00F718DE">
        <w:rPr>
          <w:rFonts w:ascii="Cambria" w:hAnsi="Cambria"/>
        </w:rPr>
        <w:fldChar w:fldCharType="end"/>
      </w:r>
      <w:r>
        <w:rPr>
          <w:rFonts w:ascii="Cambria" w:hAnsi="Cambria"/>
        </w:rPr>
        <w:t xml:space="preserve"> and thereby allowed us to examine how </w:t>
      </w:r>
      <w:r w:rsidR="00F718DE">
        <w:rPr>
          <w:rFonts w:ascii="Cambria" w:hAnsi="Cambria"/>
        </w:rPr>
        <w:t>changes in the frequency of low and high intensity fires affects overall population</w:t>
      </w:r>
      <w:r w:rsidR="00F718DE" w:rsidRPr="00B51349">
        <w:rPr>
          <w:rFonts w:ascii="Cambria" w:hAnsi="Cambria"/>
        </w:rPr>
        <w:t xml:space="preserve"> stabilit</w:t>
      </w:r>
      <w:r w:rsidR="00F718DE">
        <w:rPr>
          <w:rFonts w:ascii="Cambria" w:hAnsi="Cambria"/>
        </w:rPr>
        <w:t xml:space="preserve">y of </w:t>
      </w:r>
      <w:r w:rsidR="00F718DE" w:rsidRPr="00500409">
        <w:rPr>
          <w:rFonts w:ascii="Cambria" w:hAnsi="Cambria"/>
          <w:i/>
        </w:rPr>
        <w:t xml:space="preserve">C. </w:t>
      </w:r>
      <w:proofErr w:type="spellStart"/>
      <w:r w:rsidR="00F718DE" w:rsidRPr="00500409">
        <w:rPr>
          <w:rFonts w:ascii="Cambria" w:hAnsi="Cambria"/>
          <w:i/>
        </w:rPr>
        <w:t>intratropica</w:t>
      </w:r>
      <w:proofErr w:type="spellEnd"/>
      <w:r w:rsidR="00F718DE">
        <w:rPr>
          <w:rFonts w:ascii="Cambria" w:hAnsi="Cambria"/>
        </w:rPr>
        <w:t xml:space="preserve"> across all grove states.</w:t>
      </w:r>
    </w:p>
    <w:p w14:paraId="5810CBEE" w14:textId="77777777" w:rsidR="00F718DE" w:rsidRDefault="00F718DE"/>
    <w:p w14:paraId="687AB1A6" w14:textId="670FB8A4" w:rsidR="00F718DE" w:rsidRDefault="001F3451" w:rsidP="00B64754">
      <w:pPr>
        <w:tabs>
          <w:tab w:val="left" w:pos="3330"/>
        </w:tabs>
        <w:rPr>
          <w:rFonts w:ascii="Cambria" w:hAnsi="Cambria"/>
        </w:rPr>
      </w:pPr>
      <w:r>
        <w:rPr>
          <w:rFonts w:ascii="Cambria" w:hAnsi="Cambria"/>
        </w:rPr>
        <w:t xml:space="preserve">The IPM </w:t>
      </w:r>
      <w:r w:rsidR="00B73EF2">
        <w:rPr>
          <w:rFonts w:ascii="Cambria" w:hAnsi="Cambria"/>
        </w:rPr>
        <w:t>combines continuous vital rate functions (see Methods) into a single function – the kernel - to derive probabilities of individuals among</w:t>
      </w:r>
      <w:r w:rsidR="00B73EF2" w:rsidRPr="00DD64A7">
        <w:rPr>
          <w:rFonts w:ascii="Cambria" w:hAnsi="Cambria"/>
        </w:rPr>
        <w:t xml:space="preserve"> </w:t>
      </w:r>
      <w:r w:rsidR="00B73EF2">
        <w:rPr>
          <w:rFonts w:ascii="Cambria" w:hAnsi="Cambria"/>
        </w:rPr>
        <w:t xml:space="preserve">size </w:t>
      </w:r>
      <w:r w:rsidR="00B73EF2" w:rsidRPr="00DD64A7">
        <w:rPr>
          <w:rFonts w:ascii="Cambria" w:hAnsi="Cambria"/>
        </w:rPr>
        <w:t>stage</w:t>
      </w:r>
      <w:r w:rsidR="00B73EF2">
        <w:rPr>
          <w:rFonts w:ascii="Cambria" w:hAnsi="Cambria"/>
        </w:rPr>
        <w:t>s</w:t>
      </w:r>
      <w:r w:rsidR="00B73EF2" w:rsidRPr="00DD64A7">
        <w:rPr>
          <w:rFonts w:ascii="Cambria" w:hAnsi="Cambria"/>
        </w:rPr>
        <w:t xml:space="preserve"> remaining in that stage, transitioning to another stage, and</w:t>
      </w:r>
      <w:r w:rsidR="00B73EF2">
        <w:rPr>
          <w:rFonts w:ascii="Cambria" w:hAnsi="Cambria"/>
        </w:rPr>
        <w:t>/or producing new individuals</w:t>
      </w:r>
      <w:r w:rsidR="00B73EF2" w:rsidRPr="00DD64A7">
        <w:rPr>
          <w:rFonts w:ascii="Cambria" w:hAnsi="Cambria"/>
        </w:rPr>
        <w:t xml:space="preserve"> the next year</w:t>
      </w:r>
      <w:r w:rsidR="00B73EF2">
        <w:rPr>
          <w:rFonts w:ascii="Cambria" w:hAnsi="Cambria"/>
        </w:rPr>
        <w:t>.  Thus, they are effectively</w:t>
      </w:r>
      <w:r w:rsidR="00B344BB">
        <w:rPr>
          <w:rFonts w:ascii="Cambria" w:hAnsi="Cambria"/>
        </w:rPr>
        <w:t xml:space="preserve"> operational</w:t>
      </w:r>
      <w:r w:rsidR="00B73EF2">
        <w:rPr>
          <w:rFonts w:ascii="Cambria" w:hAnsi="Cambria"/>
        </w:rPr>
        <w:t xml:space="preserve">ized as very large population matrix models </w:t>
      </w:r>
      <w:r w:rsidR="00B344BB">
        <w:rPr>
          <w:rFonts w:ascii="Cambria" w:hAnsi="Cambria"/>
        </w:rPr>
        <w:t>from which one can derive long-term population stability, l</w:t>
      </w:r>
      <w:r w:rsidR="00B344BB" w:rsidRPr="00DD64A7">
        <w:rPr>
          <w:rFonts w:ascii="Cambria" w:hAnsi="Cambria"/>
        </w:rPr>
        <w:t xml:space="preserve">ambda </w:t>
      </w:r>
      <w:r w:rsidR="00B64754">
        <w:rPr>
          <w:rFonts w:ascii="Cambria" w:hAnsi="Cambria"/>
        </w:rPr>
        <w:t xml:space="preserve">(λ) as </w:t>
      </w:r>
      <w:r w:rsidR="00B344BB">
        <w:rPr>
          <w:rFonts w:ascii="Cambria" w:hAnsi="Cambria"/>
        </w:rPr>
        <w:t>th</w:t>
      </w:r>
      <w:r w:rsidR="00B64754">
        <w:rPr>
          <w:rFonts w:ascii="Cambria" w:hAnsi="Cambria"/>
        </w:rPr>
        <w:t xml:space="preserve">e dominant eigenvalue </w:t>
      </w:r>
      <w:r w:rsidR="00B344BB">
        <w:rPr>
          <w:rFonts w:ascii="Cambria" w:hAnsi="Cambria"/>
        </w:rPr>
        <w:t>of the resultant matrix.  Values of λ&gt;1 indicate a growing population whereas λ&lt;</w:t>
      </w:r>
      <w:r w:rsidR="00B344BB" w:rsidRPr="00DD64A7">
        <w:rPr>
          <w:rFonts w:ascii="Cambria" w:hAnsi="Cambria"/>
        </w:rPr>
        <w:t>1 indicates a population</w:t>
      </w:r>
      <w:r w:rsidR="00B344BB">
        <w:rPr>
          <w:rFonts w:ascii="Cambria" w:hAnsi="Cambria"/>
        </w:rPr>
        <w:t xml:space="preserve"> expected to decline, although lambda may </w:t>
      </w:r>
      <w:r w:rsidR="00B344BB" w:rsidRPr="00DD64A7">
        <w:rPr>
          <w:rFonts w:ascii="Cambria" w:hAnsi="Cambria"/>
        </w:rPr>
        <w:t>best</w:t>
      </w:r>
      <w:r w:rsidR="00B344BB">
        <w:rPr>
          <w:rFonts w:ascii="Cambria" w:hAnsi="Cambria"/>
        </w:rPr>
        <w:t xml:space="preserve"> be interpreted as</w:t>
      </w:r>
      <w:r w:rsidR="00B344BB" w:rsidRPr="00DD64A7">
        <w:rPr>
          <w:rFonts w:ascii="Cambria" w:hAnsi="Cambria"/>
        </w:rPr>
        <w:t xml:space="preserve"> </w:t>
      </w:r>
      <w:r w:rsidR="00B344BB">
        <w:rPr>
          <w:rFonts w:ascii="Cambria" w:hAnsi="Cambria"/>
        </w:rPr>
        <w:t xml:space="preserve">a </w:t>
      </w:r>
      <w:r w:rsidR="00B344BB" w:rsidRPr="00DD64A7">
        <w:rPr>
          <w:rFonts w:ascii="Cambria" w:hAnsi="Cambria"/>
        </w:rPr>
        <w:t>measure of relative growth rat</w:t>
      </w:r>
      <w:r w:rsidR="00B344BB">
        <w:rPr>
          <w:rFonts w:ascii="Cambria" w:hAnsi="Cambria"/>
        </w:rPr>
        <w:t>e among</w:t>
      </w:r>
      <w:r w:rsidR="00B344BB" w:rsidRPr="00DD64A7">
        <w:rPr>
          <w:rFonts w:ascii="Cambria" w:hAnsi="Cambria"/>
        </w:rPr>
        <w:t xml:space="preserve"> populations, rather than a prediction of actual future p</w:t>
      </w:r>
      <w:r w:rsidR="00B344BB">
        <w:rPr>
          <w:rFonts w:ascii="Cambria" w:hAnsi="Cambria"/>
        </w:rPr>
        <w:t xml:space="preserve">opulation growth </w:t>
      </w:r>
      <w:r w:rsidR="00B344BB">
        <w:rPr>
          <w:rFonts w:ascii="Cambria" w:hAnsi="Cambria"/>
        </w:rPr>
        <w:fldChar w:fldCharType="begin" w:fldLock="1"/>
      </w:r>
      <w:r w:rsidR="00A24DBB">
        <w:rPr>
          <w:rFonts w:ascii="Cambria" w:hAnsi="Cambria"/>
        </w:rPr>
        <w:instrText>ADDIN CSL_CITATION { "citationItems" : [ { "id" : "ITEM-1", "itemData" : { "author" : [ { "dropping-particle" : "", "family" : "Menges", "given" : "ES", "non-dropping-particle" : "", "parse-names" : false, "suffix" : "" } ], "container-title" : "Trends in Ecology &amp; Evolution", "id" : "ITEM-1", "issued" : { "date-parts" : [ [ "2000" ] ] }, "title" : "Population viability analyses in plants: challenges and opportunities", "type" : "article-journal" }, "uris" : [ "http://www.mendeley.com/documents/?uuid=d0c3d650-2dfb-49a7-983b-3e99168fb21d" ] } ], "mendeley" : { "previouslyFormattedCitation" : "(Menges, 2000)" }, "properties" : { "noteIndex" : 0 }, "schema" : "https://github.com/citation-style-language/schema/raw/master/csl-citation.json" }</w:instrText>
      </w:r>
      <w:r w:rsidR="00B344BB">
        <w:rPr>
          <w:rFonts w:ascii="Cambria" w:hAnsi="Cambria"/>
        </w:rPr>
        <w:fldChar w:fldCharType="separate"/>
      </w:r>
      <w:r w:rsidR="00B73EF2" w:rsidRPr="00B73EF2">
        <w:rPr>
          <w:rFonts w:ascii="Cambria" w:hAnsi="Cambria"/>
          <w:noProof/>
        </w:rPr>
        <w:t>(Menges, 2000)</w:t>
      </w:r>
      <w:r w:rsidR="00B344BB">
        <w:rPr>
          <w:rFonts w:ascii="Cambria" w:hAnsi="Cambria"/>
        </w:rPr>
        <w:fldChar w:fldCharType="end"/>
      </w:r>
      <w:r w:rsidR="00B344BB">
        <w:rPr>
          <w:rFonts w:ascii="Cambria" w:hAnsi="Cambria"/>
        </w:rPr>
        <w:t>.  T</w:t>
      </w:r>
      <w:r w:rsidR="00B344BB" w:rsidRPr="00DD64A7">
        <w:rPr>
          <w:rFonts w:ascii="Cambria" w:hAnsi="Cambria"/>
        </w:rPr>
        <w:t>he advantages of IPM</w:t>
      </w:r>
      <w:r w:rsidR="00B344BB">
        <w:rPr>
          <w:rFonts w:ascii="Cambria" w:hAnsi="Cambria"/>
        </w:rPr>
        <w:t>s</w:t>
      </w:r>
      <w:r w:rsidR="00B344BB" w:rsidRPr="00DD64A7">
        <w:rPr>
          <w:rFonts w:ascii="Cambria" w:hAnsi="Cambria"/>
        </w:rPr>
        <w:t xml:space="preserve"> over matrix models are twofold.  First, whereas matrix models have limited capacity to handle environmental covariates, the use of linear and generalized linear models of vital rate functions in IPM</w:t>
      </w:r>
      <w:r w:rsidR="00B344BB">
        <w:rPr>
          <w:rFonts w:ascii="Cambria" w:hAnsi="Cambria"/>
        </w:rPr>
        <w:t>s</w:t>
      </w:r>
      <w:r w:rsidR="00B344BB" w:rsidRPr="00DD64A7">
        <w:rPr>
          <w:rFonts w:ascii="Cambria" w:hAnsi="Cambria"/>
        </w:rPr>
        <w:t xml:space="preserve"> allows the inclusion of covariates derived from data collected within a single population. </w:t>
      </w:r>
      <w:r w:rsidR="00B344BB">
        <w:rPr>
          <w:rFonts w:ascii="Cambria" w:hAnsi="Cambria"/>
        </w:rPr>
        <w:t xml:space="preserve"> </w:t>
      </w:r>
      <w:r w:rsidR="00B344BB" w:rsidRPr="00DD64A7">
        <w:rPr>
          <w:rFonts w:ascii="Cambria" w:hAnsi="Cambria"/>
        </w:rPr>
        <w:t>Second, continuous vital rate functions enable IPMs to effectively estimate transition probabilities ac</w:t>
      </w:r>
      <w:r w:rsidR="00B344BB">
        <w:rPr>
          <w:rFonts w:ascii="Cambria" w:hAnsi="Cambria"/>
        </w:rPr>
        <w:t>ross many more size class divisions</w:t>
      </w:r>
      <w:r w:rsidR="00B344BB" w:rsidRPr="00DD64A7">
        <w:rPr>
          <w:rFonts w:ascii="Cambria" w:hAnsi="Cambria"/>
        </w:rPr>
        <w:t xml:space="preserve"> (i</w:t>
      </w:r>
      <w:r w:rsidR="00B344BB">
        <w:rPr>
          <w:rFonts w:ascii="Cambria" w:hAnsi="Cambria"/>
        </w:rPr>
        <w:t>.</w:t>
      </w:r>
      <w:r w:rsidR="00B344BB" w:rsidRPr="00DD64A7">
        <w:rPr>
          <w:rFonts w:ascii="Cambria" w:hAnsi="Cambria"/>
        </w:rPr>
        <w:t>e</w:t>
      </w:r>
      <w:r w:rsidR="00B344BB">
        <w:rPr>
          <w:rFonts w:ascii="Cambria" w:hAnsi="Cambria"/>
        </w:rPr>
        <w:t>.</w:t>
      </w:r>
      <w:r w:rsidR="00B344BB" w:rsidRPr="00DD64A7">
        <w:rPr>
          <w:rFonts w:ascii="Cambria" w:hAnsi="Cambria"/>
        </w:rPr>
        <w:t>, 100s) than traditional matrix models (typically &lt;10).  These probabilities are therefore</w:t>
      </w:r>
      <w:r w:rsidR="00B344BB">
        <w:rPr>
          <w:rFonts w:ascii="Cambria" w:hAnsi="Cambria"/>
        </w:rPr>
        <w:t xml:space="preserve"> based on size </w:t>
      </w:r>
      <w:r w:rsidR="00B344BB" w:rsidRPr="00DD64A7">
        <w:rPr>
          <w:rFonts w:ascii="Cambria" w:hAnsi="Cambria"/>
        </w:rPr>
        <w:t xml:space="preserve">transitions </w:t>
      </w:r>
      <w:r w:rsidR="00B344BB">
        <w:rPr>
          <w:rFonts w:ascii="Cambria" w:hAnsi="Cambria"/>
        </w:rPr>
        <w:t>observable</w:t>
      </w:r>
      <w:r w:rsidR="00B344BB" w:rsidRPr="00DD64A7">
        <w:rPr>
          <w:rFonts w:ascii="Cambria" w:hAnsi="Cambria"/>
        </w:rPr>
        <w:t xml:space="preserve"> in the field and provide more accurate predictions of population behavior, especially for slow-growing</w:t>
      </w:r>
      <w:r w:rsidR="00B344BB">
        <w:rPr>
          <w:rFonts w:ascii="Cambria" w:hAnsi="Cambria"/>
        </w:rPr>
        <w:t>, long-lived</w:t>
      </w:r>
      <w:r w:rsidR="00B344BB" w:rsidRPr="00DD64A7">
        <w:rPr>
          <w:rFonts w:ascii="Cambria" w:hAnsi="Cambria"/>
        </w:rPr>
        <w:t xml:space="preserve"> plants</w:t>
      </w:r>
      <w:r w:rsidR="00B344BB">
        <w:rPr>
          <w:rFonts w:ascii="Cambria" w:hAnsi="Cambria"/>
        </w:rPr>
        <w:t xml:space="preserve"> </w:t>
      </w:r>
      <w:r w:rsidR="00B344BB">
        <w:rPr>
          <w:rFonts w:ascii="Cambria" w:hAnsi="Cambria"/>
        </w:rPr>
        <w:fldChar w:fldCharType="begin" w:fldLock="1"/>
      </w:r>
      <w:r w:rsidR="00A24DBB">
        <w:rPr>
          <w:rFonts w:ascii="Cambria" w:hAnsi="Cambria"/>
        </w:rPr>
        <w:instrText>ADDIN CSL_CITATION { "citationItems" : [ { "id" : "ITEM-1", "itemData" : { "ISBN" : "1365-2745", "author" : [ { "dropping-particle" : "", "family" : "Zuidema", "given" : "P A", "non-dropping-particle" : "", "parse-names" : false, "suffix" : "" }, { "dropping-particle" : "", "family" : "Jongejans", "given" : "E", "non-dropping-particle" : "", "parse-names" : false, "suffix" : "" }, { "dropping-particle" : "", "family" : "Chien", "given" : "P D", "non-dropping-particle" : "", "parse-names" : false, "suffix" : "" }, { "dropping-particle" : "", "family" : "During", "given" : "H J", "non-dropping-particle" : "", "parse-names" : false, "suffix" : "" }, { "dropping-particle" : "", "family" : "Schieving", "given" : "F", "non-dropping-particle" : "", "parse-names" : false, "suffix" : "" } ], "container-title" : "Journal of Ecology", "id" : "ITEM-1", "issue" : "2", "issued" : { "date-parts" : [ [ "2010" ] ] }, "page" : "345-355", "title" : "Integral Projection Models for trees: a new parameterization method and a validation of model output", "type" : "article-journal", "volume" : "98" }, "uris" : [ "http://www.mendeley.com/documents/?uuid=90c42b72-f812-4069-b87c-648ee6b4632e" ] } ], "mendeley" : { "previouslyFormattedCitation" : "(Zuidema, Jongejans, Chien, During, &amp; Schieving, 2010)" }, "properties" : { "noteIndex" : 0 }, "schema" : "https://github.com/citation-style-language/schema/raw/master/csl-citation.json" }</w:instrText>
      </w:r>
      <w:r w:rsidR="00B344BB">
        <w:rPr>
          <w:rFonts w:ascii="Cambria" w:hAnsi="Cambria"/>
        </w:rPr>
        <w:fldChar w:fldCharType="separate"/>
      </w:r>
      <w:r w:rsidR="00B73EF2" w:rsidRPr="00B73EF2">
        <w:rPr>
          <w:rFonts w:ascii="Cambria" w:hAnsi="Cambria"/>
          <w:noProof/>
        </w:rPr>
        <w:t>(Zuidema, Jongejans, Chien, During, &amp; Schieving, 2010)</w:t>
      </w:r>
      <w:r w:rsidR="00B344BB">
        <w:rPr>
          <w:rFonts w:ascii="Cambria" w:hAnsi="Cambria"/>
        </w:rPr>
        <w:fldChar w:fldCharType="end"/>
      </w:r>
      <w:r w:rsidR="00B344BB" w:rsidRPr="00DD64A7">
        <w:rPr>
          <w:rFonts w:ascii="Cambria" w:hAnsi="Cambria"/>
        </w:rPr>
        <w:t>.</w:t>
      </w:r>
    </w:p>
    <w:p w14:paraId="7288FA72" w14:textId="77777777" w:rsidR="00B64754" w:rsidRPr="00B64754" w:rsidRDefault="00B64754" w:rsidP="00B64754">
      <w:pPr>
        <w:tabs>
          <w:tab w:val="left" w:pos="3330"/>
        </w:tabs>
        <w:rPr>
          <w:rFonts w:ascii="Cambria" w:hAnsi="Cambria"/>
        </w:rPr>
      </w:pPr>
    </w:p>
    <w:p w14:paraId="45FE189A" w14:textId="15EF2280" w:rsidR="00716E00" w:rsidRPr="00B64754" w:rsidRDefault="00716E00" w:rsidP="00716E00">
      <w:pPr>
        <w:tabs>
          <w:tab w:val="left" w:pos="3330"/>
        </w:tabs>
        <w:rPr>
          <w:rFonts w:ascii="Cambria" w:hAnsi="Cambria"/>
        </w:rPr>
      </w:pPr>
      <w:r w:rsidRPr="00B64754">
        <w:rPr>
          <w:rFonts w:ascii="Cambria" w:hAnsi="Cambria"/>
        </w:rPr>
        <w:t xml:space="preserve">We constructed the IPM kernel using four sections of transition probabilities, derived from </w:t>
      </w:r>
      <w:r w:rsidRPr="00B64754">
        <w:rPr>
          <w:rFonts w:ascii="Cambria" w:hAnsi="Cambria"/>
          <w:i/>
        </w:rPr>
        <w:t xml:space="preserve">C. </w:t>
      </w:r>
      <w:proofErr w:type="spellStart"/>
      <w:r w:rsidRPr="00B64754">
        <w:rPr>
          <w:rFonts w:ascii="Cambria" w:hAnsi="Cambria"/>
          <w:i/>
        </w:rPr>
        <w:t>intratropica</w:t>
      </w:r>
      <w:proofErr w:type="spellEnd"/>
      <w:r w:rsidRPr="00B64754">
        <w:rPr>
          <w:rFonts w:ascii="Cambria" w:hAnsi="Cambria"/>
        </w:rPr>
        <w:t xml:space="preserve"> vital rates, according to </w:t>
      </w:r>
      <w:proofErr w:type="spellStart"/>
      <w:r w:rsidRPr="00B64754">
        <w:rPr>
          <w:rFonts w:ascii="Cambria" w:hAnsi="Cambria"/>
        </w:rPr>
        <w:t>Zuidema</w:t>
      </w:r>
      <w:proofErr w:type="spellEnd"/>
      <w:r w:rsidRPr="00B64754">
        <w:rPr>
          <w:rFonts w:ascii="Cambria" w:hAnsi="Cambria"/>
        </w:rPr>
        <w:t xml:space="preserve"> et al (2010).  These sections included (</w:t>
      </w:r>
      <w:proofErr w:type="spellStart"/>
      <w:r w:rsidRPr="00B64754">
        <w:rPr>
          <w:rFonts w:ascii="Cambria" w:hAnsi="Cambria"/>
        </w:rPr>
        <w:t>i</w:t>
      </w:r>
      <w:proofErr w:type="spellEnd"/>
      <w:r w:rsidRPr="00B64754">
        <w:rPr>
          <w:rFonts w:ascii="Cambria" w:hAnsi="Cambria"/>
        </w:rPr>
        <w:t>) seedlings remaining seedlings (</w:t>
      </w:r>
      <w:proofErr w:type="spellStart"/>
      <w:r w:rsidRPr="00B64754">
        <w:rPr>
          <w:rFonts w:ascii="Cambria" w:hAnsi="Cambria"/>
        </w:rPr>
        <w:t>k</w:t>
      </w:r>
      <w:r w:rsidRPr="00B64754">
        <w:rPr>
          <w:rFonts w:ascii="Cambria" w:hAnsi="Cambria"/>
          <w:vertAlign w:val="subscript"/>
        </w:rPr>
        <w:t>SS</w:t>
      </w:r>
      <w:proofErr w:type="spellEnd"/>
      <w:r w:rsidRPr="00B64754">
        <w:rPr>
          <w:rFonts w:ascii="Cambria" w:hAnsi="Cambria"/>
        </w:rPr>
        <w:t>), (ii) seedlings transitioning to adults (</w:t>
      </w:r>
      <w:proofErr w:type="spellStart"/>
      <w:r w:rsidRPr="00B64754">
        <w:rPr>
          <w:rFonts w:ascii="Cambria" w:hAnsi="Cambria"/>
        </w:rPr>
        <w:t>k</w:t>
      </w:r>
      <w:r w:rsidR="00B73EF2">
        <w:rPr>
          <w:rFonts w:ascii="Cambria" w:hAnsi="Cambria"/>
          <w:vertAlign w:val="subscript"/>
        </w:rPr>
        <w:t>A</w:t>
      </w:r>
      <w:r w:rsidRPr="00B64754">
        <w:rPr>
          <w:rFonts w:ascii="Cambria" w:hAnsi="Cambria"/>
          <w:vertAlign w:val="subscript"/>
        </w:rPr>
        <w:t>S</w:t>
      </w:r>
      <w:proofErr w:type="spellEnd"/>
      <w:r w:rsidRPr="00B64754">
        <w:rPr>
          <w:rFonts w:ascii="Cambria" w:hAnsi="Cambria"/>
        </w:rPr>
        <w:t>), (iii) adults remaining to adults (</w:t>
      </w:r>
      <w:proofErr w:type="spellStart"/>
      <w:r w:rsidRPr="00B64754">
        <w:rPr>
          <w:rFonts w:ascii="Cambria" w:hAnsi="Cambria"/>
        </w:rPr>
        <w:t>k</w:t>
      </w:r>
      <w:r w:rsidR="00B73EF2">
        <w:rPr>
          <w:rFonts w:ascii="Cambria" w:hAnsi="Cambria"/>
          <w:vertAlign w:val="subscript"/>
        </w:rPr>
        <w:t>AA</w:t>
      </w:r>
      <w:proofErr w:type="spellEnd"/>
      <w:r w:rsidRPr="00B64754">
        <w:rPr>
          <w:rFonts w:ascii="Cambria" w:hAnsi="Cambria"/>
        </w:rPr>
        <w:t xml:space="preserve">), and </w:t>
      </w:r>
      <w:proofErr w:type="gramStart"/>
      <w:r w:rsidRPr="00B64754">
        <w:rPr>
          <w:rFonts w:ascii="Cambria" w:hAnsi="Cambria"/>
        </w:rPr>
        <w:t>(iv) adults</w:t>
      </w:r>
      <w:proofErr w:type="gramEnd"/>
      <w:r w:rsidRPr="00B64754">
        <w:rPr>
          <w:rFonts w:ascii="Cambria" w:hAnsi="Cambria"/>
        </w:rPr>
        <w:t xml:space="preserve"> contributing to </w:t>
      </w:r>
      <w:r w:rsidRPr="00B64754">
        <w:rPr>
          <w:rFonts w:ascii="Cambria" w:hAnsi="Cambria"/>
        </w:rPr>
        <w:lastRenderedPageBreak/>
        <w:t>seedlings (</w:t>
      </w:r>
      <w:proofErr w:type="spellStart"/>
      <w:r w:rsidRPr="00B64754">
        <w:rPr>
          <w:rFonts w:ascii="Cambria" w:hAnsi="Cambria"/>
        </w:rPr>
        <w:t>k</w:t>
      </w:r>
      <w:r w:rsidRPr="00B64754">
        <w:rPr>
          <w:rFonts w:ascii="Cambria" w:hAnsi="Cambria"/>
          <w:vertAlign w:val="subscript"/>
        </w:rPr>
        <w:t>S</w:t>
      </w:r>
      <w:r w:rsidR="00B73EF2">
        <w:rPr>
          <w:rFonts w:ascii="Cambria" w:hAnsi="Cambria"/>
          <w:vertAlign w:val="subscript"/>
        </w:rPr>
        <w:t>A</w:t>
      </w:r>
      <w:proofErr w:type="spellEnd"/>
      <w:r w:rsidRPr="00B64754">
        <w:rPr>
          <w:rFonts w:ascii="Cambria" w:hAnsi="Cambria"/>
        </w:rPr>
        <w:t>).  Each of these sections was then combined to create the complete kernel:</w:t>
      </w:r>
    </w:p>
    <w:p w14:paraId="4002A9FB" w14:textId="7F66DEC1" w:rsidR="00716E00" w:rsidRPr="00B64754" w:rsidRDefault="00D31DD0" w:rsidP="00716E00">
      <w:pPr>
        <w:tabs>
          <w:tab w:val="left" w:pos="3330"/>
        </w:tabs>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SS</m:t>
                        </m:r>
                      </m:sub>
                    </m:sSub>
                  </m:e>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SA</m:t>
                        </m:r>
                      </m:sub>
                    </m:sSub>
                  </m:e>
                </m:mr>
                <m:m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AS</m:t>
                        </m:r>
                      </m:sub>
                    </m:sSub>
                  </m:e>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AA</m:t>
                        </m:r>
                      </m:sub>
                    </m:sSub>
                  </m:e>
                </m:mr>
              </m:m>
            </m:e>
          </m:d>
        </m:oMath>
      </m:oMathPara>
    </w:p>
    <w:p w14:paraId="43BD8E64" w14:textId="77777777" w:rsidR="00B64754" w:rsidRPr="00B64754" w:rsidRDefault="00B64754" w:rsidP="00716E00">
      <w:pPr>
        <w:tabs>
          <w:tab w:val="left" w:pos="3330"/>
        </w:tabs>
      </w:pPr>
    </w:p>
    <w:p w14:paraId="413FDA73" w14:textId="556A4796" w:rsidR="00716E00" w:rsidRPr="00B64754" w:rsidRDefault="00716E00" w:rsidP="00716E00">
      <w:pPr>
        <w:tabs>
          <w:tab w:val="left" w:pos="3330"/>
        </w:tabs>
        <w:rPr>
          <w:rFonts w:ascii="Cambria" w:hAnsi="Cambria"/>
        </w:rPr>
      </w:pPr>
      <w:r w:rsidRPr="00B64754">
        <w:rPr>
          <w:rFonts w:ascii="Cambria" w:hAnsi="Cambria"/>
        </w:rPr>
        <w:t xml:space="preserve">Thus, the left hand side of the kernel is determined by the product of seedling growth and survival, with </w:t>
      </w:r>
      <w:proofErr w:type="spellStart"/>
      <w:r w:rsidRPr="00B64754">
        <w:rPr>
          <w:rFonts w:ascii="Cambria" w:hAnsi="Cambria"/>
        </w:rPr>
        <w:t>k</w:t>
      </w:r>
      <w:r w:rsidR="00B73EF2">
        <w:rPr>
          <w:rFonts w:ascii="Cambria" w:hAnsi="Cambria"/>
          <w:vertAlign w:val="subscript"/>
        </w:rPr>
        <w:t>A</w:t>
      </w:r>
      <w:r w:rsidRPr="00B64754">
        <w:rPr>
          <w:rFonts w:ascii="Cambria" w:hAnsi="Cambria"/>
          <w:vertAlign w:val="subscript"/>
        </w:rPr>
        <w:t>S</w:t>
      </w:r>
      <w:proofErr w:type="spellEnd"/>
      <w:r w:rsidRPr="00B64754">
        <w:rPr>
          <w:rFonts w:ascii="Cambria" w:hAnsi="Cambria"/>
        </w:rPr>
        <w:t xml:space="preserve"> representing the growth of seedlings beyond &gt;1300 mm in height (</w:t>
      </w:r>
      <w:proofErr w:type="spellStart"/>
      <w:r w:rsidRPr="00B64754">
        <w:rPr>
          <w:rFonts w:ascii="Cambria" w:hAnsi="Cambria"/>
        </w:rPr>
        <w:t>ie</w:t>
      </w:r>
      <w:proofErr w:type="spellEnd"/>
      <w:r w:rsidRPr="00B64754">
        <w:rPr>
          <w:rFonts w:ascii="Cambria" w:hAnsi="Cambria"/>
        </w:rPr>
        <w:t xml:space="preserve"> into the 'adult' size range).  The lower right hand quadrant, </w:t>
      </w:r>
      <w:proofErr w:type="spellStart"/>
      <w:r w:rsidRPr="00B64754">
        <w:rPr>
          <w:rFonts w:ascii="Cambria" w:hAnsi="Cambria"/>
        </w:rPr>
        <w:t>k</w:t>
      </w:r>
      <w:r w:rsidR="00B73EF2">
        <w:rPr>
          <w:rFonts w:ascii="Cambria" w:hAnsi="Cambria"/>
          <w:vertAlign w:val="subscript"/>
        </w:rPr>
        <w:t>AA</w:t>
      </w:r>
      <w:proofErr w:type="spellEnd"/>
      <w:r w:rsidRPr="00B64754">
        <w:rPr>
          <w:rFonts w:ascii="Cambria" w:hAnsi="Cambria"/>
        </w:rPr>
        <w:t xml:space="preserve">, represents adult growth and survival.  The production of new seedlings by adults, </w:t>
      </w:r>
      <w:proofErr w:type="spellStart"/>
      <w:r w:rsidRPr="00B64754">
        <w:rPr>
          <w:rFonts w:ascii="Cambria" w:hAnsi="Cambria"/>
        </w:rPr>
        <w:t>k</w:t>
      </w:r>
      <w:r w:rsidRPr="00B64754">
        <w:rPr>
          <w:rFonts w:ascii="Cambria" w:hAnsi="Cambria"/>
          <w:vertAlign w:val="subscript"/>
        </w:rPr>
        <w:t>S</w:t>
      </w:r>
      <w:r w:rsidR="00B73EF2">
        <w:rPr>
          <w:rFonts w:ascii="Cambria" w:hAnsi="Cambria"/>
          <w:vertAlign w:val="subscript"/>
        </w:rPr>
        <w:t>A</w:t>
      </w:r>
      <w:proofErr w:type="spellEnd"/>
      <w:r w:rsidRPr="00B64754">
        <w:rPr>
          <w:rFonts w:ascii="Cambria" w:hAnsi="Cambria"/>
        </w:rPr>
        <w:t>, was determined using a fertility function based on the product of (</w:t>
      </w:r>
      <w:proofErr w:type="spellStart"/>
      <w:r w:rsidRPr="00B64754">
        <w:rPr>
          <w:rFonts w:ascii="Cambria" w:hAnsi="Cambria"/>
        </w:rPr>
        <w:t>i</w:t>
      </w:r>
      <w:proofErr w:type="spellEnd"/>
      <w:r w:rsidRPr="00B64754">
        <w:rPr>
          <w:rFonts w:ascii="Cambria" w:hAnsi="Cambria"/>
        </w:rPr>
        <w:t xml:space="preserve">) adult survival, (ii) the size-based probability of cone production, (iii) the number of seeds germinated per cone, and </w:t>
      </w:r>
      <w:proofErr w:type="gramStart"/>
      <w:r w:rsidRPr="00B64754">
        <w:rPr>
          <w:rFonts w:ascii="Cambria" w:hAnsi="Cambria"/>
        </w:rPr>
        <w:t>(</w:t>
      </w:r>
      <w:r w:rsidR="00B64754">
        <w:rPr>
          <w:rFonts w:ascii="Cambria" w:hAnsi="Cambria"/>
        </w:rPr>
        <w:t>i</w:t>
      </w:r>
      <w:r w:rsidRPr="00B64754">
        <w:rPr>
          <w:rFonts w:ascii="Cambria" w:hAnsi="Cambria"/>
        </w:rPr>
        <w:t>v) the</w:t>
      </w:r>
      <w:proofErr w:type="gramEnd"/>
      <w:r w:rsidRPr="00B64754">
        <w:rPr>
          <w:rFonts w:ascii="Cambria" w:hAnsi="Cambria"/>
        </w:rPr>
        <w:t xml:space="preserve"> probability of seedling establishment.  </w:t>
      </w:r>
    </w:p>
    <w:p w14:paraId="5A0C730F" w14:textId="77777777" w:rsidR="00B64754" w:rsidRDefault="00B64754" w:rsidP="00716E00">
      <w:pPr>
        <w:tabs>
          <w:tab w:val="left" w:pos="3330"/>
        </w:tabs>
        <w:rPr>
          <w:rFonts w:ascii="Cambria" w:hAnsi="Cambria"/>
        </w:rPr>
      </w:pPr>
    </w:p>
    <w:p w14:paraId="49AC4691" w14:textId="565DC72F" w:rsidR="00716E00" w:rsidRPr="00B64754" w:rsidRDefault="00716E00" w:rsidP="00716E00">
      <w:pPr>
        <w:tabs>
          <w:tab w:val="left" w:pos="3330"/>
        </w:tabs>
        <w:rPr>
          <w:rFonts w:ascii="Cambria" w:hAnsi="Cambria"/>
        </w:rPr>
      </w:pPr>
      <w:r w:rsidRPr="00B64754">
        <w:rPr>
          <w:rFonts w:ascii="Cambria" w:hAnsi="Cambria"/>
        </w:rPr>
        <w:t xml:space="preserve">We used the midpoint rule </w:t>
      </w:r>
      <w:r w:rsidR="00B73EF2">
        <w:rPr>
          <w:rFonts w:ascii="Cambria" w:hAnsi="Cambria"/>
        </w:rPr>
        <w:t xml:space="preserve">according to </w:t>
      </w:r>
      <w:r w:rsidR="00B73EF2" w:rsidRPr="00B64754">
        <w:rPr>
          <w:rFonts w:ascii="Cambria" w:hAnsi="Cambria"/>
        </w:rPr>
        <w:fldChar w:fldCharType="begin" w:fldLock="1"/>
      </w:r>
      <w:r w:rsidR="00A24DBB">
        <w:rPr>
          <w:rFonts w:ascii="Cambria" w:hAnsi="Cambria"/>
        </w:rPr>
        <w:instrText>ADDIN CSL_CITATION { "citationItems" : [ { "id" : "ITEM-1", "itemData" : { "ISBN" : "1365-2745", "author" : [ { "dropping-particle" : "", "family" : "Zuidema", "given" : "P A", "non-dropping-particle" : "", "parse-names" : false, "suffix" : "" }, { "dropping-particle" : "", "family" : "Jongejans", "given" : "E", "non-dropping-particle" : "", "parse-names" : false, "suffix" : "" }, { "dropping-particle" : "", "family" : "Chien", "given" : "P D", "non-dropping-particle" : "", "parse-names" : false, "suffix" : "" }, { "dropping-particle" : "", "family" : "During", "given" : "H J", "non-dropping-particle" : "", "parse-names" : false, "suffix" : "" }, { "dropping-particle" : "", "family" : "Schieving", "given" : "F", "non-dropping-particle" : "", "parse-names" : false, "suffix" : "" } ], "container-title" : "Journal of Ecology", "id" : "ITEM-1", "issue" : "2", "issued" : { "date-parts" : [ [ "2010" ] ] }, "page" : "345-355", "title" : "Integral Projection Models for trees: a new parameterization method and a validation of model output", "type" : "article-journal", "volume" : "98" }, "uris" : [ "http://www.mendeley.com/documents/?uuid=90c42b72-f812-4069-b87c-648ee6b4632e" ] } ], "mendeley" : { "manualFormatting" : "Zuidema et al. (2010)", "previouslyFormattedCitation" : "(Zuidema et al., 2010)" }, "properties" : { "noteIndex" : 0 }, "schema" : "https://github.com/citation-style-language/schema/raw/master/csl-citation.json" }</w:instrText>
      </w:r>
      <w:r w:rsidR="00B73EF2" w:rsidRPr="00B64754">
        <w:rPr>
          <w:rFonts w:ascii="Cambria" w:hAnsi="Cambria"/>
        </w:rPr>
        <w:fldChar w:fldCharType="separate"/>
      </w:r>
      <w:r w:rsidR="00B73EF2" w:rsidRPr="00B64754">
        <w:rPr>
          <w:rFonts w:ascii="Cambria" w:hAnsi="Cambria"/>
          <w:noProof/>
        </w:rPr>
        <w:t xml:space="preserve">Zuidema et al. </w:t>
      </w:r>
      <w:r w:rsidR="00B73EF2">
        <w:rPr>
          <w:rFonts w:ascii="Cambria" w:hAnsi="Cambria"/>
          <w:noProof/>
        </w:rPr>
        <w:t>(</w:t>
      </w:r>
      <w:r w:rsidR="00B73EF2" w:rsidRPr="00B64754">
        <w:rPr>
          <w:rFonts w:ascii="Cambria" w:hAnsi="Cambria"/>
          <w:noProof/>
        </w:rPr>
        <w:t>2010)</w:t>
      </w:r>
      <w:r w:rsidR="00B73EF2" w:rsidRPr="00B64754">
        <w:rPr>
          <w:rFonts w:ascii="Cambria" w:hAnsi="Cambria"/>
        </w:rPr>
        <w:fldChar w:fldCharType="end"/>
      </w:r>
      <w:r w:rsidR="00B73EF2">
        <w:rPr>
          <w:rFonts w:ascii="Cambria" w:hAnsi="Cambria"/>
        </w:rPr>
        <w:t xml:space="preserve"> </w:t>
      </w:r>
      <w:r w:rsidRPr="00B64754">
        <w:rPr>
          <w:rFonts w:ascii="Cambria" w:hAnsi="Cambria"/>
        </w:rPr>
        <w:t xml:space="preserve">to numerically integrate the demographic kernel and produce transition probabilities across C. </w:t>
      </w:r>
      <w:proofErr w:type="spellStart"/>
      <w:r w:rsidRPr="00B64754">
        <w:rPr>
          <w:rFonts w:ascii="Cambria" w:hAnsi="Cambria"/>
        </w:rPr>
        <w:t>intratropica</w:t>
      </w:r>
      <w:proofErr w:type="spellEnd"/>
      <w:r w:rsidRPr="00B64754">
        <w:rPr>
          <w:rFonts w:ascii="Cambria" w:hAnsi="Cambria"/>
        </w:rPr>
        <w:t xml:space="preserve"> size classes.  Each statistical model was a function of adult or seedling size and incorporated fire disturbance and grove state as categorical covariates where possible and appropriate (see Table S1).  The use of these covariates effectively resulted in nine separate IPMs, each accounting for a different combination of fire disturbance a</w:t>
      </w:r>
      <w:r w:rsidR="00B73EF2">
        <w:rPr>
          <w:rFonts w:ascii="Cambria" w:hAnsi="Cambria"/>
        </w:rPr>
        <w:t>nd grove state categories: (</w:t>
      </w:r>
      <w:proofErr w:type="spellStart"/>
      <w:r w:rsidR="00B73EF2">
        <w:rPr>
          <w:rFonts w:ascii="Cambria" w:hAnsi="Cambria"/>
        </w:rPr>
        <w:t>i</w:t>
      </w:r>
      <w:proofErr w:type="spellEnd"/>
      <w:r w:rsidR="00B73EF2">
        <w:rPr>
          <w:rFonts w:ascii="Cambria" w:hAnsi="Cambria"/>
        </w:rPr>
        <w:t xml:space="preserve">) </w:t>
      </w:r>
      <w:proofErr w:type="spellStart"/>
      <w:r w:rsidR="00B73EF2">
        <w:rPr>
          <w:rFonts w:ascii="Cambria" w:hAnsi="Cambria"/>
        </w:rPr>
        <w:t>unburnt</w:t>
      </w:r>
      <w:proofErr w:type="spellEnd"/>
      <w:r w:rsidR="00B73EF2">
        <w:rPr>
          <w:rFonts w:ascii="Cambria" w:hAnsi="Cambria"/>
        </w:rPr>
        <w:t xml:space="preserve">, intact groves, (ii) </w:t>
      </w:r>
      <w:proofErr w:type="spellStart"/>
      <w:r w:rsidR="00B73EF2">
        <w:rPr>
          <w:rFonts w:ascii="Cambria" w:hAnsi="Cambria"/>
        </w:rPr>
        <w:t>unburnt</w:t>
      </w:r>
      <w:proofErr w:type="spellEnd"/>
      <w:r w:rsidR="00B73EF2">
        <w:rPr>
          <w:rFonts w:ascii="Cambria" w:hAnsi="Cambria"/>
        </w:rPr>
        <w:t xml:space="preserve">, degraded groves, (iii) </w:t>
      </w:r>
      <w:proofErr w:type="spellStart"/>
      <w:r w:rsidR="00B73EF2">
        <w:rPr>
          <w:rFonts w:ascii="Cambria" w:hAnsi="Cambria"/>
        </w:rPr>
        <w:t>u</w:t>
      </w:r>
      <w:r w:rsidRPr="00B64754">
        <w:rPr>
          <w:rFonts w:ascii="Cambria" w:hAnsi="Cambria"/>
        </w:rPr>
        <w:t>nbu</w:t>
      </w:r>
      <w:r w:rsidR="00B73EF2">
        <w:rPr>
          <w:rFonts w:ascii="Cambria" w:hAnsi="Cambria"/>
        </w:rPr>
        <w:t>rnt</w:t>
      </w:r>
      <w:proofErr w:type="spellEnd"/>
      <w:r w:rsidR="00B73EF2">
        <w:rPr>
          <w:rFonts w:ascii="Cambria" w:hAnsi="Cambria"/>
        </w:rPr>
        <w:t xml:space="preserve"> singletons, (iv) low intensity burn</w:t>
      </w:r>
      <w:r w:rsidRPr="00B64754">
        <w:rPr>
          <w:rFonts w:ascii="Cambria" w:hAnsi="Cambria"/>
        </w:rPr>
        <w:t xml:space="preserve">, intact groves, (v) </w:t>
      </w:r>
      <w:r w:rsidR="00B73EF2">
        <w:rPr>
          <w:rFonts w:ascii="Cambria" w:hAnsi="Cambria"/>
        </w:rPr>
        <w:t>low intensity burn</w:t>
      </w:r>
      <w:r w:rsidRPr="00B64754">
        <w:rPr>
          <w:rFonts w:ascii="Cambria" w:hAnsi="Cambria"/>
        </w:rPr>
        <w:t xml:space="preserve">, degraded groves, (vi) </w:t>
      </w:r>
      <w:r w:rsidR="00B73EF2">
        <w:rPr>
          <w:rFonts w:ascii="Cambria" w:hAnsi="Cambria"/>
        </w:rPr>
        <w:t xml:space="preserve">low intensity burn, </w:t>
      </w:r>
      <w:r w:rsidRPr="00B64754">
        <w:rPr>
          <w:rFonts w:ascii="Cambria" w:hAnsi="Cambria"/>
        </w:rPr>
        <w:t xml:space="preserve">singletons, (vii) </w:t>
      </w:r>
      <w:r w:rsidR="00B73EF2">
        <w:rPr>
          <w:rFonts w:ascii="Cambria" w:hAnsi="Cambria"/>
        </w:rPr>
        <w:t>high intensity burn</w:t>
      </w:r>
      <w:r w:rsidRPr="00B64754">
        <w:rPr>
          <w:rFonts w:ascii="Cambria" w:hAnsi="Cambria"/>
        </w:rPr>
        <w:t xml:space="preserve">, intact groves, (viii) </w:t>
      </w:r>
      <w:r w:rsidR="00B73EF2">
        <w:rPr>
          <w:rFonts w:ascii="Cambria" w:hAnsi="Cambria"/>
        </w:rPr>
        <w:t>high intensity burn</w:t>
      </w:r>
      <w:r w:rsidRPr="00B64754">
        <w:rPr>
          <w:rFonts w:ascii="Cambria" w:hAnsi="Cambria"/>
        </w:rPr>
        <w:t xml:space="preserve">, degraded groves, and (ix) </w:t>
      </w:r>
      <w:r w:rsidR="00B73EF2">
        <w:rPr>
          <w:rFonts w:ascii="Cambria" w:hAnsi="Cambria"/>
        </w:rPr>
        <w:t>high intensity burn</w:t>
      </w:r>
      <w:r w:rsidR="00B73EF2" w:rsidRPr="00B64754">
        <w:rPr>
          <w:rFonts w:ascii="Cambria" w:hAnsi="Cambria"/>
        </w:rPr>
        <w:t xml:space="preserve">, </w:t>
      </w:r>
      <w:r w:rsidRPr="00B64754">
        <w:rPr>
          <w:rFonts w:ascii="Cambria" w:hAnsi="Cambria"/>
        </w:rPr>
        <w:t xml:space="preserve">singletons.  We calculated the projected population growth rate (λ) for each IPM with the </w:t>
      </w:r>
      <w:proofErr w:type="spellStart"/>
      <w:r w:rsidRPr="00B64754">
        <w:rPr>
          <w:rFonts w:ascii="Cambria" w:hAnsi="Cambria"/>
        </w:rPr>
        <w:t>popbio</w:t>
      </w:r>
      <w:proofErr w:type="spellEnd"/>
      <w:r w:rsidRPr="00B64754">
        <w:rPr>
          <w:rFonts w:ascii="Cambria" w:hAnsi="Cambria"/>
        </w:rPr>
        <w:t xml:space="preserve"> package in R </w:t>
      </w:r>
      <w:r w:rsidRPr="00B64754">
        <w:rPr>
          <w:rFonts w:ascii="Cambria" w:hAnsi="Cambria"/>
        </w:rPr>
        <w:fldChar w:fldCharType="begin" w:fldLock="1"/>
      </w:r>
      <w:r w:rsidR="00A24DBB">
        <w:rPr>
          <w:rFonts w:ascii="Cambria" w:hAnsi="Cambria"/>
        </w:rPr>
        <w:instrText>ADDIN CSL_CITATION { "citationItems" : [ { "id" : "ITEM-1", "itemData" : { "author" : [ { "dropping-particle" : "", "family" : "Stubben", "given" : "CJ", "non-dropping-particle" : "", "parse-names" : false, "suffix" : "" }, { "dropping-particle" : "", "family" : "Milligan", "given" : "BG", "non-dropping-particle" : "", "parse-names" : false, "suffix" : "" } ], "container-title" : "Journal of Statistical Software", "id" : "ITEM-1", "issued" : { "date-parts" : [ [ "2007" ] ] }, "title" : "Estimating and analyzing demographic models using the popbio package in R", "type" : "article-journal" }, "uris" : [ "http://www.mendeley.com/documents/?uuid=7f43ba63-b74e-44fd-8536-4651be20541e" ] } ], "mendeley" : { "previouslyFormattedCitation" : "(Stubben &amp; Milligan, 2007)" }, "properties" : { "noteIndex" : 0 }, "schema" : "https://github.com/citation-style-language/schema/raw/master/csl-citation.json" }</w:instrText>
      </w:r>
      <w:r w:rsidRPr="00B64754">
        <w:rPr>
          <w:rFonts w:ascii="Cambria" w:hAnsi="Cambria"/>
        </w:rPr>
        <w:fldChar w:fldCharType="separate"/>
      </w:r>
      <w:r w:rsidR="00B73EF2" w:rsidRPr="00B73EF2">
        <w:rPr>
          <w:rFonts w:ascii="Cambria" w:hAnsi="Cambria"/>
          <w:noProof/>
        </w:rPr>
        <w:t>(Stubben &amp; Milligan, 2007)</w:t>
      </w:r>
      <w:r w:rsidRPr="00B64754">
        <w:rPr>
          <w:rFonts w:ascii="Cambria" w:hAnsi="Cambria"/>
        </w:rPr>
        <w:fldChar w:fldCharType="end"/>
      </w:r>
      <w:r w:rsidRPr="00B64754">
        <w:rPr>
          <w:rFonts w:ascii="Cambria" w:hAnsi="Cambria"/>
        </w:rPr>
        <w:t>.</w:t>
      </w:r>
    </w:p>
    <w:p w14:paraId="27CAC319" w14:textId="77777777" w:rsidR="00B64754" w:rsidRDefault="00B64754" w:rsidP="00716E00">
      <w:pPr>
        <w:tabs>
          <w:tab w:val="left" w:pos="3330"/>
        </w:tabs>
        <w:rPr>
          <w:rFonts w:ascii="Cambria" w:hAnsi="Cambria"/>
        </w:rPr>
      </w:pPr>
    </w:p>
    <w:p w14:paraId="711C0BE1" w14:textId="77777777" w:rsidR="00716E00" w:rsidRPr="00B64754" w:rsidRDefault="00716E00" w:rsidP="00716E00">
      <w:pPr>
        <w:tabs>
          <w:tab w:val="left" w:pos="3330"/>
        </w:tabs>
        <w:rPr>
          <w:rFonts w:ascii="Cambria" w:hAnsi="Cambria"/>
        </w:rPr>
      </w:pPr>
      <w:r w:rsidRPr="00B64754">
        <w:rPr>
          <w:rFonts w:ascii="Cambria" w:hAnsi="Cambria"/>
        </w:rPr>
        <w:t>Environmental State Change Transition Matrix</w:t>
      </w:r>
    </w:p>
    <w:p w14:paraId="28AB50C1" w14:textId="77777777" w:rsidR="00B64754" w:rsidRDefault="00B64754" w:rsidP="00716E00">
      <w:pPr>
        <w:tabs>
          <w:tab w:val="left" w:pos="3330"/>
        </w:tabs>
        <w:rPr>
          <w:rFonts w:ascii="Cambria" w:hAnsi="Cambria"/>
        </w:rPr>
      </w:pPr>
    </w:p>
    <w:p w14:paraId="49A88549" w14:textId="66D2E213" w:rsidR="00CB779D" w:rsidRDefault="00716E00" w:rsidP="00716E00">
      <w:pPr>
        <w:tabs>
          <w:tab w:val="left" w:pos="3330"/>
        </w:tabs>
        <w:rPr>
          <w:rFonts w:ascii="Cambria" w:hAnsi="Cambria"/>
        </w:rPr>
      </w:pPr>
      <w:r w:rsidRPr="00B64754">
        <w:rPr>
          <w:rFonts w:ascii="Cambria" w:hAnsi="Cambria"/>
        </w:rPr>
        <w:t xml:space="preserve">We used the differential responses to low and high intensity fires among intact groves, degraded groves and singleton </w:t>
      </w:r>
      <w:r w:rsidRPr="00B64754">
        <w:rPr>
          <w:rFonts w:ascii="Cambria" w:hAnsi="Cambria"/>
          <w:i/>
        </w:rPr>
        <w:t xml:space="preserve">C. </w:t>
      </w:r>
      <w:proofErr w:type="spellStart"/>
      <w:r w:rsidRPr="00B64754">
        <w:rPr>
          <w:rFonts w:ascii="Cambria" w:hAnsi="Cambria"/>
          <w:i/>
        </w:rPr>
        <w:t>intratropica</w:t>
      </w:r>
      <w:proofErr w:type="spellEnd"/>
      <w:r w:rsidRPr="00B64754">
        <w:rPr>
          <w:rFonts w:ascii="Cambria" w:hAnsi="Cambria"/>
        </w:rPr>
        <w:t xml:space="preserve"> trees derived from field observations and experimental burns </w:t>
      </w:r>
      <w:r w:rsidRPr="00B64754">
        <w:rPr>
          <w:rFonts w:ascii="Cambria" w:hAnsi="Cambria"/>
        </w:rPr>
        <w:fldChar w:fldCharType="begin" w:fldLock="1"/>
      </w:r>
      <w:r w:rsidR="00A24DBB">
        <w:rPr>
          <w:rFonts w:ascii="Cambria" w:hAnsi="Cambria"/>
        </w:rPr>
        <w:instrText>ADDIN CSL_CITATION { "citationItems" : [ { "id" : "ITEM-1", "itemData" : { "author" : [ { "dropping-particle" : "", "family" : "Trauernicht", "given" : "C", "non-dropping-particle" : "", "parse-names" : false, "suffix" : "" }, { "dropping-particle" : "", "family" : "Murphy", "given" : "B P", "non-dropping-particle" : "", "parse-names" : false, "suffix" : "" }, { "dropping-particle" : "", "family" : "Portner", "given" : "T E", "non-dropping-particle" : "", "parse-names" : false, "suffix" : "" }, { "dropping-particle" : "", "family" : "Bowman", "given" : "D M J S", "non-dropping-particle" : "", "parse-names" : false, "suffix" : "" } ], "container-title" : "Journal of Ecology", "id" : "ITEM-1", "issued" : { "date-parts" : [ [ "2012" ] ] }, "page" : "958-968", "title" : "Tree cover\u2013fire interactions promote the persistence of a fire-sensitive conifer in a highly flammable savanna", "type" : "article-journal", "volume" : "100" }, "uris" : [ "http://www.mendeley.com/documents/?uuid=c89df0ce-7155-4358-8bdc-16f74fd766ed" ] }, { "id" : "ITEM-2", "itemData" : { "author" : [ { "dropping-particle" : "", "family" : "Trauernicht", "given" : "C", "non-dropping-particle" : "", "parse-names" : false, "suffix" : "" }, { "dropping-particle" : "", "family" : "Murphy", "given" : "B P", "non-dropping-particle" : "", "parse-names" : false, "suffix" : "" }, { "dropping-particle" : "", "family" : "Tangalin", "given" : "N", "non-dropping-particle" : "", "parse-names" : false, "suffix" : "" }, { "dropping-particle" : "", "family" : "Bowman", "given" : "D.M.J.S.", "non-dropping-particle" : "", "parse-names" : false, "suffix" : "" } ], "container-title" : "Ecology and Evolution", "id" : "ITEM-2", "issued" : { "date-parts" : [ [ "2013" ] ] }, "title" : "Cultural legacies, fire ecology, and environmental change in the Stone Country of Arnhem Land and Kakadu National Park, Australia", "type" : "article-journal" }, "uris" : [ "http://www.mendeley.com/documents/?uuid=736c9f8a-e087-4d3d-a647-432b53bd6833" ] }, { "id" : "ITEM-3", "itemData" : { "DOI" : "10.1016/j.foreco.2011.03.030", "ISBN" : "0378-1127", "abstract" : "Massive environmental changes have occurred since European settlement of Australia more than 200 years ago. We examined the demographics of Callitris columellaris F. Muell. (Cupressaceae) across Australia as a potential bio-indicator of environmental change. This species is a widespread obligate seeder with large reproductive potential but is sensitive to fire and herbivory. We measured variation in tree size, stem density, basal area, and seedling recruitment among 90 sites that encompassed a wide range of climates and landscape settings across Australia. Soils from each site were analysed for pH, %C, % N and %P. We also noted evidence of fire and herbivory. Climate at each site was classified as tropical, temperate or arid. Case studies and published literature are used to illustrate the contrasting effects of disturbance in the three climate zones. Climate had a strong influence on stand basal area, density of juveniles and proportions of seedlings and saplings in a population, as well as on prevailing disturbance regimes. Structure of Callitris populations was not strongly associated with soil fertility. In the arid zone overall, and in many individual populations, there were relatively few juveniles and evidence of a chronic recruitment deficit during the last 100-200 years, consistent with reported adverse effects of introduced herbivores on Callitris regeneration. By contrast, most tropical and temperate populations conformed to a negative exponential distribution, consistent with frequent regeneration. Many temperate sites showed extremely dense juvenile populations. In the tropics, juvenile density is lower, probably because of frequent, relatively mild fires that kill many juveniles but few adult trees. We conclude that C. columellaris is a sensitive bio-indicator, and is in decline across much of arid Australia, reflecting the inherent vulnerability of ecosystems in regions with low productivity. (C) 2011 Elsevier B.V. All rights reserved.", "author" : [ { "dropping-particle" : "", "family" : "Prior", "given" : "L D", "non-dropping-particle" : "", "parse-names" : false, "suffix" : "" }, { "dropping-particle" : "", "family" : "McCaw", "given" : "W L", "non-dropping-particle" : "", "parse-names" : false, "suffix" : "" }, { "dropping-particle" : "", "family" : "Grierson", "given" : "P F", "non-dropping-particle" : "", "parse-names" : false, "suffix" : "" }, { "dropping-particle" : "", "family" : "Murphy", "given" : "B P", "non-dropping-particle" : "", "parse-names" : false, "suffix" : "" }, { "dropping-particle" : "", "family" : "Bowman", "given" : "D.M.J.S.", "non-dropping-particle" : "", "parse-names" : false, "suffix" : "" } ], "container-title" : "Forest Ecology and Management", "id" : "ITEM-3", "issue" : "2", "issued" : { "date-parts" : [ [ "2011" ] ] }, "note" : "Prior, Lynda D. McCaw, W. Lachlan Grierson, Pauline F. Murphy, Brett P. Bowman, David M. J. S.", "page" : "252-262", "title" : "Population structures of the widespread Australian conifer Callitris columellaris are a bio-indicator of continental environmental change", "type" : "article-journal", "volume" : "262" }, "uris" : [ "http://www.mendeley.com/documents/?uuid=972a84e5-42db-419b-954c-e49fc0102248" ] } ], "mendeley" : { "previouslyFormattedCitation" : "(Prior, McCaw, Grierson, Murphy, &amp; Bowman, 2011; Trauernicht, Murphy, Portner, &amp; Bowman, 2012; Trauernicht, Murphy, Tangalin, &amp; Bowman, 2013)" }, "properties" : { "noteIndex" : 0 }, "schema" : "https://github.com/citation-style-language/schema/raw/master/csl-citation.json" }</w:instrText>
      </w:r>
      <w:r w:rsidRPr="00B64754">
        <w:rPr>
          <w:rFonts w:ascii="Cambria" w:hAnsi="Cambria"/>
        </w:rPr>
        <w:fldChar w:fldCharType="separate"/>
      </w:r>
      <w:r w:rsidR="00B73EF2" w:rsidRPr="00B73EF2">
        <w:rPr>
          <w:rFonts w:ascii="Cambria" w:hAnsi="Cambria"/>
          <w:noProof/>
        </w:rPr>
        <w:t>(Prior, McCaw, Grierson, Murphy, &amp; Bowman, 2011; Trauernicht, Murphy, Portner, &amp; Bowman, 2012; Trauernicht, Murphy, Tangalin, &amp; Bowman, 2013)</w:t>
      </w:r>
      <w:r w:rsidRPr="00B64754">
        <w:rPr>
          <w:rFonts w:ascii="Cambria" w:hAnsi="Cambria"/>
        </w:rPr>
        <w:fldChar w:fldCharType="end"/>
      </w:r>
      <w:r w:rsidRPr="00B64754">
        <w:rPr>
          <w:rFonts w:ascii="Cambria" w:hAnsi="Cambria"/>
        </w:rPr>
        <w:t xml:space="preserve"> to develop fire-dependent transition probabilities among </w:t>
      </w:r>
      <w:r w:rsidRPr="00B64754">
        <w:rPr>
          <w:rFonts w:ascii="Cambria" w:hAnsi="Cambria"/>
          <w:i/>
        </w:rPr>
        <w:t xml:space="preserve">C. </w:t>
      </w:r>
      <w:proofErr w:type="spellStart"/>
      <w:r w:rsidRPr="00B64754">
        <w:rPr>
          <w:rFonts w:ascii="Cambria" w:hAnsi="Cambria"/>
          <w:i/>
        </w:rPr>
        <w:t>intratropica</w:t>
      </w:r>
      <w:proofErr w:type="spellEnd"/>
      <w:r w:rsidR="00B64754">
        <w:rPr>
          <w:rFonts w:ascii="Cambria" w:hAnsi="Cambria"/>
        </w:rPr>
        <w:t xml:space="preserve"> grove states (Fig 2)</w:t>
      </w:r>
      <w:r w:rsidRPr="00B64754">
        <w:rPr>
          <w:rFonts w:ascii="Cambria" w:hAnsi="Cambria"/>
        </w:rPr>
        <w:t xml:space="preserve">.  We used these probabilities to constructed three 3 × 3 Markov chain matrices for grove state transition probabilities from time </w:t>
      </w:r>
      <w:r w:rsidRPr="00B64754">
        <w:rPr>
          <w:rFonts w:ascii="Cambria" w:hAnsi="Cambria"/>
          <w:i/>
        </w:rPr>
        <w:t>t</w:t>
      </w:r>
      <w:r w:rsidRPr="00B64754">
        <w:rPr>
          <w:rFonts w:ascii="Cambria" w:hAnsi="Cambria"/>
        </w:rPr>
        <w:t xml:space="preserve"> to time </w:t>
      </w:r>
      <w:r w:rsidRPr="00B64754">
        <w:rPr>
          <w:rFonts w:ascii="Cambria" w:hAnsi="Cambria"/>
          <w:i/>
        </w:rPr>
        <w:t>t+1</w:t>
      </w:r>
      <w:r w:rsidRPr="00B64754">
        <w:rPr>
          <w:rFonts w:ascii="Cambria" w:hAnsi="Cambria"/>
        </w:rPr>
        <w:t xml:space="preserve"> under each fire disturbance type: (1) </w:t>
      </w:r>
      <w:r w:rsidRPr="00B64754">
        <w:rPr>
          <w:rFonts w:ascii="Cambria" w:hAnsi="Cambria"/>
          <w:i/>
        </w:rPr>
        <w:t>G</w:t>
      </w:r>
      <w:r w:rsidRPr="00B64754">
        <w:rPr>
          <w:rFonts w:ascii="Cambria" w:hAnsi="Cambria"/>
          <w:vertAlign w:val="subscript"/>
        </w:rPr>
        <w:t>U</w:t>
      </w:r>
      <w:r w:rsidRPr="00B64754">
        <w:rPr>
          <w:rFonts w:ascii="Cambria" w:hAnsi="Cambria"/>
        </w:rPr>
        <w:t xml:space="preserve"> for </w:t>
      </w:r>
      <w:proofErr w:type="spellStart"/>
      <w:r w:rsidRPr="00B64754">
        <w:rPr>
          <w:rFonts w:ascii="Cambria" w:hAnsi="Cambria"/>
        </w:rPr>
        <w:t>unburnt</w:t>
      </w:r>
      <w:proofErr w:type="spellEnd"/>
      <w:r w:rsidRPr="00B64754">
        <w:rPr>
          <w:rFonts w:ascii="Cambria" w:hAnsi="Cambria"/>
        </w:rPr>
        <w:t xml:space="preserve"> groves, (ii) </w:t>
      </w:r>
      <w:r w:rsidRPr="00B64754">
        <w:rPr>
          <w:rFonts w:ascii="Cambria" w:hAnsi="Cambria"/>
          <w:i/>
        </w:rPr>
        <w:t>G</w:t>
      </w:r>
      <w:r w:rsidRPr="00B64754">
        <w:rPr>
          <w:rFonts w:ascii="Cambria" w:hAnsi="Cambria"/>
          <w:vertAlign w:val="subscript"/>
        </w:rPr>
        <w:t>E</w:t>
      </w:r>
      <w:r w:rsidRPr="00B64754">
        <w:rPr>
          <w:rFonts w:ascii="Cambria" w:hAnsi="Cambria"/>
        </w:rPr>
        <w:t xml:space="preserve"> for early burnt groves, and </w:t>
      </w:r>
      <w:r w:rsidRPr="00B64754">
        <w:rPr>
          <w:rFonts w:ascii="Cambria" w:hAnsi="Cambria"/>
          <w:i/>
        </w:rPr>
        <w:t>G</w:t>
      </w:r>
      <w:r w:rsidRPr="00B64754">
        <w:rPr>
          <w:rFonts w:ascii="Cambria" w:hAnsi="Cambria"/>
          <w:vertAlign w:val="subscript"/>
        </w:rPr>
        <w:t>L</w:t>
      </w:r>
      <w:r w:rsidRPr="00B64754">
        <w:rPr>
          <w:rFonts w:ascii="Cambria" w:hAnsi="Cambria"/>
        </w:rPr>
        <w:t xml:space="preserve"> for late burnt groves.  Thus, for example, grove states remain mostly stable under no fires in </w:t>
      </w:r>
      <w:r w:rsidRPr="00B64754">
        <w:rPr>
          <w:rFonts w:ascii="Cambria" w:hAnsi="Cambria"/>
          <w:i/>
        </w:rPr>
        <w:t>G</w:t>
      </w:r>
      <w:r w:rsidRPr="00B64754">
        <w:rPr>
          <w:rFonts w:ascii="Cambria" w:hAnsi="Cambria"/>
          <w:vertAlign w:val="subscript"/>
        </w:rPr>
        <w:t>U</w:t>
      </w:r>
      <w:r w:rsidRPr="00B64754">
        <w:rPr>
          <w:rFonts w:ascii="Cambria" w:hAnsi="Cambria"/>
        </w:rPr>
        <w:t xml:space="preserve">, whereas proportions of intact and degraded groves switch to the degraded and singleton states, respectively, under late dry season (high intensity) burns in </w:t>
      </w:r>
      <w:r w:rsidRPr="00B64754">
        <w:rPr>
          <w:rFonts w:ascii="Cambria" w:hAnsi="Cambria"/>
          <w:i/>
        </w:rPr>
        <w:t>G</w:t>
      </w:r>
      <w:r w:rsidRPr="00B64754">
        <w:rPr>
          <w:rFonts w:ascii="Cambria" w:hAnsi="Cambria"/>
          <w:vertAlign w:val="subscript"/>
        </w:rPr>
        <w:t>L</w:t>
      </w:r>
      <w:r w:rsidRPr="00B64754">
        <w:rPr>
          <w:rFonts w:ascii="Cambria" w:hAnsi="Cambria"/>
        </w:rPr>
        <w:t xml:space="preserve">. </w:t>
      </w:r>
      <w:r w:rsidR="00F77311">
        <w:rPr>
          <w:rFonts w:ascii="Cambria" w:hAnsi="Cambria"/>
        </w:rPr>
        <w:t xml:space="preserve">  </w:t>
      </w:r>
    </w:p>
    <w:p w14:paraId="72BE46CD" w14:textId="77777777" w:rsidR="00CB779D" w:rsidRDefault="00CB779D" w:rsidP="00716E00">
      <w:pPr>
        <w:tabs>
          <w:tab w:val="left" w:pos="3330"/>
        </w:tabs>
        <w:rPr>
          <w:rFonts w:ascii="Cambria" w:hAnsi="Cambria"/>
        </w:rPr>
      </w:pPr>
    </w:p>
    <w:p w14:paraId="42F1D01C" w14:textId="2DE93A69" w:rsidR="00BF01C4" w:rsidRDefault="00F77311" w:rsidP="00716E00">
      <w:pPr>
        <w:tabs>
          <w:tab w:val="left" w:pos="3330"/>
        </w:tabs>
        <w:rPr>
          <w:rFonts w:ascii="Cambria" w:hAnsi="Cambria"/>
        </w:rPr>
      </w:pPr>
      <w:r>
        <w:rPr>
          <w:rFonts w:ascii="Cambria" w:hAnsi="Cambria"/>
        </w:rPr>
        <w:t>These grove state transitions do not include ‘empty patches’ (</w:t>
      </w:r>
      <w:proofErr w:type="spellStart"/>
      <w:r>
        <w:rPr>
          <w:rFonts w:ascii="Cambria" w:hAnsi="Cambria"/>
        </w:rPr>
        <w:t>ie</w:t>
      </w:r>
      <w:proofErr w:type="spellEnd"/>
      <w:r>
        <w:rPr>
          <w:rFonts w:ascii="Cambria" w:hAnsi="Cambria"/>
        </w:rPr>
        <w:t xml:space="preserve">, dead groves/eucalypt savanna) because we are not modeling the abundance/proportion of C. </w:t>
      </w:r>
      <w:proofErr w:type="spellStart"/>
      <w:r>
        <w:rPr>
          <w:rFonts w:ascii="Cambria" w:hAnsi="Cambria"/>
        </w:rPr>
        <w:t>intratropica</w:t>
      </w:r>
      <w:proofErr w:type="spellEnd"/>
      <w:r>
        <w:rPr>
          <w:rFonts w:ascii="Cambria" w:hAnsi="Cambria"/>
        </w:rPr>
        <w:t xml:space="preserve"> patches relative to all patches in the landscape.  Rather, we are only interested in linking fire disturbance to the proportion of the </w:t>
      </w:r>
      <w:r w:rsidR="001723DA">
        <w:rPr>
          <w:rFonts w:ascii="Cambria" w:hAnsi="Cambria"/>
        </w:rPr>
        <w:t xml:space="preserve">C. </w:t>
      </w:r>
      <w:proofErr w:type="spellStart"/>
      <w:r w:rsidR="001723DA">
        <w:rPr>
          <w:rFonts w:ascii="Cambria" w:hAnsi="Cambria"/>
        </w:rPr>
        <w:t>intratropica</w:t>
      </w:r>
      <w:proofErr w:type="spellEnd"/>
      <w:r w:rsidR="001723DA">
        <w:rPr>
          <w:rFonts w:ascii="Cambria" w:hAnsi="Cambria"/>
        </w:rPr>
        <w:t xml:space="preserve"> </w:t>
      </w:r>
      <w:r>
        <w:rPr>
          <w:rFonts w:ascii="Cambria" w:hAnsi="Cambria"/>
        </w:rPr>
        <w:t xml:space="preserve">population </w:t>
      </w:r>
      <w:r w:rsidR="001723DA">
        <w:rPr>
          <w:rFonts w:ascii="Cambria" w:hAnsi="Cambria"/>
        </w:rPr>
        <w:t xml:space="preserve">occurring </w:t>
      </w:r>
      <w:r>
        <w:rPr>
          <w:rFonts w:ascii="Cambria" w:hAnsi="Cambria"/>
        </w:rPr>
        <w:t>among these three grove states to understand how</w:t>
      </w:r>
      <w:r w:rsidR="001723DA">
        <w:rPr>
          <w:rFonts w:ascii="Cambria" w:hAnsi="Cambria"/>
        </w:rPr>
        <w:t xml:space="preserve"> differences in</w:t>
      </w:r>
      <w:r>
        <w:rPr>
          <w:rFonts w:ascii="Cambria" w:hAnsi="Cambria"/>
        </w:rPr>
        <w:t xml:space="preserve"> population behavior </w:t>
      </w:r>
      <w:r w:rsidR="001723DA">
        <w:rPr>
          <w:rFonts w:ascii="Cambria" w:hAnsi="Cambria"/>
        </w:rPr>
        <w:t xml:space="preserve">among grove states </w:t>
      </w:r>
      <w:r>
        <w:rPr>
          <w:rFonts w:ascii="Cambria" w:hAnsi="Cambria"/>
        </w:rPr>
        <w:t>contributes to overall popul</w:t>
      </w:r>
      <w:r w:rsidR="00CB779D">
        <w:rPr>
          <w:rFonts w:ascii="Cambria" w:hAnsi="Cambria"/>
        </w:rPr>
        <w:t xml:space="preserve">ation stability.  ‘Grove mortality’ under high intensity fires, although not explicitly accounted for in the grove state transitions, is modeled using population-level mortality integrated via the </w:t>
      </w:r>
      <w:proofErr w:type="spellStart"/>
      <w:r w:rsidR="00CB779D">
        <w:rPr>
          <w:rFonts w:ascii="Cambria" w:hAnsi="Cambria"/>
        </w:rPr>
        <w:t>megamatrix</w:t>
      </w:r>
      <w:proofErr w:type="spellEnd"/>
      <w:r w:rsidR="00CB779D">
        <w:rPr>
          <w:rFonts w:ascii="Cambria" w:hAnsi="Cambria"/>
        </w:rPr>
        <w:t xml:space="preserve"> model that combines patch and population dynamics (see below).  Singleton trees are a category both in the patch-dynamic model as well as the population dynamic model (the IPM).  In the </w:t>
      </w:r>
      <w:proofErr w:type="spellStart"/>
      <w:r w:rsidR="00CB779D">
        <w:rPr>
          <w:rFonts w:ascii="Cambria" w:hAnsi="Cambria"/>
        </w:rPr>
        <w:t>megamatrix</w:t>
      </w:r>
      <w:proofErr w:type="spellEnd"/>
      <w:r w:rsidR="00CB779D">
        <w:rPr>
          <w:rFonts w:ascii="Cambria" w:hAnsi="Cambria"/>
        </w:rPr>
        <w:t xml:space="preserve">, when an individual transitions into the singleton environmental state, that tree’s mortality (and thus the mortality of the ‘grove state’) is determined by the vital rate models </w:t>
      </w:r>
      <w:r w:rsidR="002B14DE">
        <w:rPr>
          <w:rFonts w:ascii="Cambria" w:hAnsi="Cambria"/>
        </w:rPr>
        <w:t>for singleton trees under the given</w:t>
      </w:r>
      <w:r w:rsidR="00CB779D">
        <w:rPr>
          <w:rFonts w:ascii="Cambria" w:hAnsi="Cambria"/>
        </w:rPr>
        <w:t xml:space="preserve"> fire disturbance.</w:t>
      </w:r>
      <w:r w:rsidR="002B14DE">
        <w:rPr>
          <w:rFonts w:ascii="Cambria" w:hAnsi="Cambria"/>
        </w:rPr>
        <w:t xml:space="preserve">  </w:t>
      </w:r>
      <w:r w:rsidR="00CB779D">
        <w:rPr>
          <w:rFonts w:ascii="Cambria" w:hAnsi="Cambria"/>
        </w:rPr>
        <w:t>I</w:t>
      </w:r>
      <w:r w:rsidR="00736849">
        <w:rPr>
          <w:rFonts w:ascii="Cambria" w:hAnsi="Cambria"/>
        </w:rPr>
        <w:t xml:space="preserve">n addition, although the formation of new groves via the recruitment of </w:t>
      </w:r>
      <w:r w:rsidR="00736849" w:rsidRPr="00736849">
        <w:rPr>
          <w:rFonts w:ascii="Cambria" w:hAnsi="Cambria"/>
          <w:i/>
        </w:rPr>
        <w:t xml:space="preserve">C. </w:t>
      </w:r>
      <w:proofErr w:type="spellStart"/>
      <w:r w:rsidR="00736849" w:rsidRPr="00736849">
        <w:rPr>
          <w:rFonts w:ascii="Cambria" w:hAnsi="Cambria"/>
          <w:i/>
        </w:rPr>
        <w:t>intratropica</w:t>
      </w:r>
      <w:proofErr w:type="spellEnd"/>
      <w:r w:rsidR="00736849" w:rsidRPr="00736849">
        <w:rPr>
          <w:rFonts w:ascii="Cambria" w:hAnsi="Cambria"/>
          <w:i/>
        </w:rPr>
        <w:t xml:space="preserve"> </w:t>
      </w:r>
      <w:r w:rsidR="00736849">
        <w:rPr>
          <w:rFonts w:ascii="Cambria" w:hAnsi="Cambria"/>
        </w:rPr>
        <w:t>seedling/sapling cohorts occurs in the field, we d</w:t>
      </w:r>
      <w:r>
        <w:rPr>
          <w:rFonts w:ascii="Cambria" w:hAnsi="Cambria"/>
        </w:rPr>
        <w:t>o not include ‘new groves’ as a category.  Instead, we model grove ‘recruitment’ by allowing for small contributions to intact grove</w:t>
      </w:r>
      <w:r w:rsidR="001723DA">
        <w:rPr>
          <w:rFonts w:ascii="Cambria" w:hAnsi="Cambria"/>
        </w:rPr>
        <w:t>s</w:t>
      </w:r>
      <w:r>
        <w:rPr>
          <w:rFonts w:ascii="Cambria" w:hAnsi="Cambria"/>
        </w:rPr>
        <w:t xml:space="preserve"> from degraded groves and singleton trees under conditions</w:t>
      </w:r>
      <w:r w:rsidR="002B14DE">
        <w:rPr>
          <w:rFonts w:ascii="Cambria" w:hAnsi="Cambria"/>
        </w:rPr>
        <w:t xml:space="preserve"> of no fire</w:t>
      </w:r>
      <w:r w:rsidR="00736849">
        <w:rPr>
          <w:rFonts w:ascii="Cambria" w:hAnsi="Cambria"/>
        </w:rPr>
        <w:t xml:space="preserve"> (See Figure 2).  </w:t>
      </w:r>
      <w:r w:rsidR="002B14DE">
        <w:rPr>
          <w:rFonts w:ascii="Cambria" w:hAnsi="Cambria"/>
        </w:rPr>
        <w:t xml:space="preserve">In the field, seed production from adult trees in any grove state may result in abundant seedling establishment and therefore contribute to the formation of new groves.  However, </w:t>
      </w:r>
      <w:r w:rsidR="00736849">
        <w:rPr>
          <w:rFonts w:ascii="Cambria" w:hAnsi="Cambria"/>
        </w:rPr>
        <w:t xml:space="preserve">this process is ultimately dependent on </w:t>
      </w:r>
      <w:r w:rsidR="002B14DE">
        <w:rPr>
          <w:rFonts w:ascii="Cambria" w:hAnsi="Cambria"/>
        </w:rPr>
        <w:t xml:space="preserve">seedling survival and thus the maintenance of </w:t>
      </w:r>
      <w:proofErr w:type="spellStart"/>
      <w:r w:rsidR="002B14DE">
        <w:rPr>
          <w:rFonts w:ascii="Cambria" w:hAnsi="Cambria"/>
        </w:rPr>
        <w:t>unburnt</w:t>
      </w:r>
      <w:proofErr w:type="spellEnd"/>
      <w:r w:rsidR="002B14DE">
        <w:rPr>
          <w:rFonts w:ascii="Cambria" w:hAnsi="Cambria"/>
        </w:rPr>
        <w:t xml:space="preserve"> habitat – a rare phenomenon in these savannas.  Yet to account for the low frequencies at which grove establishment has been observed in the field, we</w:t>
      </w:r>
      <w:r w:rsidR="00736849">
        <w:rPr>
          <w:rFonts w:ascii="Cambria" w:hAnsi="Cambria"/>
        </w:rPr>
        <w:t xml:space="preserve"> allowed for </w:t>
      </w:r>
      <w:r w:rsidR="002B14DE">
        <w:rPr>
          <w:rFonts w:ascii="Cambria" w:hAnsi="Cambria"/>
        </w:rPr>
        <w:t xml:space="preserve">very small rates of </w:t>
      </w:r>
      <w:r w:rsidR="00736849">
        <w:rPr>
          <w:rFonts w:ascii="Cambria" w:hAnsi="Cambria"/>
        </w:rPr>
        <w:t>g</w:t>
      </w:r>
      <w:r w:rsidR="002B14DE">
        <w:rPr>
          <w:rFonts w:ascii="Cambria" w:hAnsi="Cambria"/>
        </w:rPr>
        <w:t>rove recruitment in our patch dynamic model</w:t>
      </w:r>
      <w:r w:rsidR="00736849">
        <w:rPr>
          <w:rFonts w:ascii="Cambria" w:hAnsi="Cambria"/>
        </w:rPr>
        <w:t>.</w:t>
      </w:r>
    </w:p>
    <w:p w14:paraId="3FB046E6" w14:textId="77777777" w:rsidR="00BF01C4" w:rsidRDefault="00BF01C4" w:rsidP="00716E00">
      <w:pPr>
        <w:tabs>
          <w:tab w:val="left" w:pos="3330"/>
        </w:tabs>
        <w:rPr>
          <w:rFonts w:ascii="Cambria" w:hAnsi="Cambria"/>
        </w:rPr>
      </w:pPr>
    </w:p>
    <w:p w14:paraId="243F8A5E" w14:textId="63EB912B" w:rsidR="002C7E4F" w:rsidRDefault="00736849" w:rsidP="00716E00">
      <w:pPr>
        <w:tabs>
          <w:tab w:val="left" w:pos="3330"/>
        </w:tabs>
        <w:rPr>
          <w:rFonts w:ascii="Cambria" w:hAnsi="Cambria"/>
        </w:rPr>
      </w:pPr>
      <w:r>
        <w:rPr>
          <w:rFonts w:ascii="Cambria" w:hAnsi="Cambria"/>
        </w:rPr>
        <w:t>We then</w:t>
      </w:r>
      <w:r w:rsidR="00716E00" w:rsidRPr="00B64754">
        <w:rPr>
          <w:rFonts w:ascii="Cambria" w:hAnsi="Cambria"/>
        </w:rPr>
        <w:t xml:space="preserve"> derived the probability of fire disturbance from LANDSAT imagery of early and late dry season fire scars for each annual time-step between 1990 and 2011 across the entire 28,000 km</w:t>
      </w:r>
      <w:r w:rsidR="00716E00" w:rsidRPr="00B64754">
        <w:rPr>
          <w:rFonts w:ascii="Cambria" w:hAnsi="Cambria"/>
          <w:vertAlign w:val="superscript"/>
        </w:rPr>
        <w:t>2</w:t>
      </w:r>
      <w:r w:rsidR="00716E00" w:rsidRPr="00B64754">
        <w:rPr>
          <w:rFonts w:ascii="Cambria" w:hAnsi="Cambria"/>
        </w:rPr>
        <w:t xml:space="preserve"> region encompassing our field site and comprising the Western Arnhem Lan</w:t>
      </w:r>
      <w:r w:rsidR="002B14DE">
        <w:rPr>
          <w:rFonts w:ascii="Cambria" w:hAnsi="Cambria"/>
        </w:rPr>
        <w:t xml:space="preserve">d Fire Abatement project </w:t>
      </w:r>
      <w:r w:rsidR="002B14DE">
        <w:rPr>
          <w:rFonts w:ascii="Cambria" w:hAnsi="Cambria"/>
        </w:rPr>
        <w:fldChar w:fldCharType="begin" w:fldLock="1"/>
      </w:r>
      <w:r w:rsidR="00A24DBB">
        <w:rPr>
          <w:rFonts w:ascii="Cambria" w:hAnsi="Cambria"/>
        </w:rPr>
        <w:instrText>ADDIN CSL_CITATION { "citationItems" : [ { "id" : "ITEM-1", "itemData" : { "ISBN" : "1049-8001", "abstract" : "The paper examines the application of the ecological thresholds concept to fire management issues concerning fire-sensitive vegetation types associated with the remote, biodiversity-rich, sandstone Arnhem Plateau, in western Arnhem Land, monsoonal northern Australia. In the absence of detailed assessments of fire regime impacts on component biota such as exist for adjoining Nitmiluk and World Heritage Kakadu National Parks, the paper builds on validated 16-year fire history and vegetation structural mapping products derived principally from Landsat-scale imagery, to apply critical ecological thresholds criteria as defined by fire regime parameters for assessing the status of fire-sensitive habitat and species elements. Assembled data indicate that the 24000 km2 study region today experiences fire regimes characterised generally by high annual frequencies (mean=36.6%) of large (&gt;10 km2) fires that occur mostly in the late dry season under severe fire-weather conditions. Collectively, such conditions substantially exceed defined ecological thresholds for significant proportions of fire-sensitive indicator rain forest and heath vegetation types, and the long-lived obligate seeder conifer tree species, Callitris intratropica. Thresholds criteria are recognised as an effective tool for informing ecological fire management in a variety of geographic settings.", "author" : [ { "dropping-particle" : "", "family" : "Edwards", "given" : "A C", "non-dropping-particle" : "", "parse-names" : false, "suffix" : "" }, { "dropping-particle" : "", "family" : "Russell-Smith", "given" : "J", "non-dropping-particle" : "", "parse-names" : false, "suffix" : "" } ], "container-title" : "International Journal of Wildland Fire", "id" : "ITEM-1", "issue" : "2", "issued" : { "date-parts" : [ [ "2009" ] ] }, "page" : "127-146", "shortTitle" : "Ecological thresholds and the status of fire-sensi", "title" : "Ecological thresholds and the status of fire-sensitive vegetation in western Arnhem Land, northern Australia: implications for management", "type" : "article-journal", "volume" : "18" }, "uris" : [ "http://www.mendeley.com/documents/?uuid=2906a7c8-3adb-4788-aa06-875d024fd04b" ] } ], "mendeley" : { "previouslyFormattedCitation" : "(Edwards &amp; Russell-Smith, 2009)" }, "properties" : { "noteIndex" : 0 }, "schema" : "https://github.com/citation-style-language/schema/raw/master/csl-citation.json" }</w:instrText>
      </w:r>
      <w:r w:rsidR="002B14DE">
        <w:rPr>
          <w:rFonts w:ascii="Cambria" w:hAnsi="Cambria"/>
        </w:rPr>
        <w:fldChar w:fldCharType="separate"/>
      </w:r>
      <w:r w:rsidR="002B14DE" w:rsidRPr="002B14DE">
        <w:rPr>
          <w:rFonts w:ascii="Cambria" w:hAnsi="Cambria"/>
          <w:noProof/>
        </w:rPr>
        <w:t>(Edwards &amp; Russell-Smith, 2009)</w:t>
      </w:r>
      <w:r w:rsidR="002B14DE">
        <w:rPr>
          <w:rFonts w:ascii="Cambria" w:hAnsi="Cambria"/>
        </w:rPr>
        <w:fldChar w:fldCharType="end"/>
      </w:r>
      <w:r w:rsidR="00716E00" w:rsidRPr="00B64754">
        <w:rPr>
          <w:rFonts w:ascii="Cambria" w:hAnsi="Cambria"/>
        </w:rPr>
        <w:t xml:space="preserve">.  We used these data to derive a fire disturbance matrix, </w:t>
      </w:r>
      <w:r w:rsidR="00716E00" w:rsidRPr="00B64754">
        <w:rPr>
          <w:rFonts w:ascii="Cambria" w:hAnsi="Cambria"/>
          <w:i/>
        </w:rPr>
        <w:t>D</w:t>
      </w:r>
      <w:r w:rsidR="00716E00" w:rsidRPr="00B64754">
        <w:rPr>
          <w:rFonts w:ascii="Cambria" w:hAnsi="Cambria"/>
        </w:rPr>
        <w:t>: a 3 × 3 Markov chain consisting of the probability of a given patch of landscape experiencing one of three disturbance states (</w:t>
      </w:r>
      <w:proofErr w:type="spellStart"/>
      <w:r w:rsidR="00716E00" w:rsidRPr="00B64754">
        <w:rPr>
          <w:rFonts w:ascii="Cambria" w:hAnsi="Cambria"/>
        </w:rPr>
        <w:t>unburnt</w:t>
      </w:r>
      <w:proofErr w:type="spellEnd"/>
      <w:r w:rsidR="00716E00" w:rsidRPr="00B64754">
        <w:rPr>
          <w:rFonts w:ascii="Cambria" w:hAnsi="Cambria"/>
        </w:rPr>
        <w:t xml:space="preserve">, early burnt, or late burnt) at time </w:t>
      </w:r>
      <w:r w:rsidR="00716E00" w:rsidRPr="00B64754">
        <w:rPr>
          <w:rFonts w:ascii="Cambria" w:hAnsi="Cambria"/>
          <w:i/>
        </w:rPr>
        <w:t>t+1</w:t>
      </w:r>
      <w:r w:rsidR="00716E00" w:rsidRPr="00B64754">
        <w:rPr>
          <w:rFonts w:ascii="Cambria" w:hAnsi="Cambria"/>
        </w:rPr>
        <w:t xml:space="preserve"> based on its disturbance state at time </w:t>
      </w:r>
      <w:r w:rsidR="00716E00" w:rsidRPr="00B64754">
        <w:rPr>
          <w:rFonts w:ascii="Cambria" w:hAnsi="Cambria"/>
          <w:i/>
        </w:rPr>
        <w:t>t</w:t>
      </w:r>
      <w:r w:rsidR="002C7E4F">
        <w:rPr>
          <w:rFonts w:ascii="Cambria" w:hAnsi="Cambria"/>
        </w:rPr>
        <w:t>:</w:t>
      </w:r>
    </w:p>
    <w:tbl>
      <w:tblPr>
        <w:tblW w:w="6500" w:type="dxa"/>
        <w:tblInd w:w="93" w:type="dxa"/>
        <w:tblLayout w:type="fixed"/>
        <w:tblLook w:val="04A0" w:firstRow="1" w:lastRow="0" w:firstColumn="1" w:lastColumn="0" w:noHBand="0" w:noVBand="1"/>
      </w:tblPr>
      <w:tblGrid>
        <w:gridCol w:w="1275"/>
        <w:gridCol w:w="1325"/>
        <w:gridCol w:w="1300"/>
        <w:gridCol w:w="1300"/>
        <w:gridCol w:w="1300"/>
      </w:tblGrid>
      <w:tr w:rsidR="002C7E4F" w:rsidRPr="008D19D1" w14:paraId="37FAF281" w14:textId="77777777" w:rsidTr="002C7E4F">
        <w:trPr>
          <w:trHeight w:val="300"/>
        </w:trPr>
        <w:tc>
          <w:tcPr>
            <w:tcW w:w="1275" w:type="dxa"/>
            <w:tcBorders>
              <w:top w:val="nil"/>
              <w:left w:val="nil"/>
              <w:right w:val="nil"/>
            </w:tcBorders>
            <w:shd w:val="clear" w:color="auto" w:fill="auto"/>
            <w:noWrap/>
            <w:vAlign w:val="bottom"/>
            <w:hideMark/>
          </w:tcPr>
          <w:p w14:paraId="0C0C9191" w14:textId="77777777" w:rsidR="002C7E4F" w:rsidRPr="008D19D1" w:rsidRDefault="002C7E4F" w:rsidP="002C7E4F">
            <w:pPr>
              <w:rPr>
                <w:rFonts w:ascii="Calibri" w:eastAsia="Times New Roman" w:hAnsi="Calibri" w:cs="Times New Roman"/>
                <w:color w:val="000000"/>
              </w:rPr>
            </w:pPr>
          </w:p>
        </w:tc>
        <w:tc>
          <w:tcPr>
            <w:tcW w:w="1325" w:type="dxa"/>
            <w:tcBorders>
              <w:top w:val="nil"/>
              <w:left w:val="nil"/>
              <w:right w:val="nil"/>
            </w:tcBorders>
            <w:shd w:val="clear" w:color="auto" w:fill="auto"/>
            <w:noWrap/>
            <w:vAlign w:val="bottom"/>
            <w:hideMark/>
          </w:tcPr>
          <w:p w14:paraId="59391D06" w14:textId="77777777" w:rsidR="002C7E4F" w:rsidRPr="008D19D1" w:rsidRDefault="002C7E4F" w:rsidP="002C7E4F">
            <w:pPr>
              <w:rPr>
                <w:rFonts w:ascii="Calibri" w:eastAsia="Times New Roman" w:hAnsi="Calibri" w:cs="Times New Roman"/>
                <w:color w:val="000000"/>
              </w:rPr>
            </w:pPr>
          </w:p>
        </w:tc>
        <w:tc>
          <w:tcPr>
            <w:tcW w:w="1300" w:type="dxa"/>
            <w:tcBorders>
              <w:top w:val="nil"/>
              <w:left w:val="nil"/>
              <w:bottom w:val="single" w:sz="4" w:space="0" w:color="auto"/>
              <w:right w:val="nil"/>
            </w:tcBorders>
            <w:shd w:val="clear" w:color="auto" w:fill="auto"/>
            <w:noWrap/>
            <w:vAlign w:val="bottom"/>
            <w:hideMark/>
          </w:tcPr>
          <w:p w14:paraId="7F1B559A" w14:textId="77777777" w:rsidR="002C7E4F" w:rsidRPr="008D19D1" w:rsidRDefault="002C7E4F" w:rsidP="002C7E4F">
            <w:pPr>
              <w:rPr>
                <w:rFonts w:ascii="Calibri" w:eastAsia="Times New Roman" w:hAnsi="Calibri" w:cs="Times New Roman"/>
                <w:color w:val="000000"/>
              </w:rPr>
            </w:pPr>
          </w:p>
        </w:tc>
        <w:tc>
          <w:tcPr>
            <w:tcW w:w="1300" w:type="dxa"/>
            <w:tcBorders>
              <w:top w:val="nil"/>
              <w:left w:val="nil"/>
              <w:bottom w:val="single" w:sz="4" w:space="0" w:color="auto"/>
              <w:right w:val="nil"/>
            </w:tcBorders>
            <w:shd w:val="clear" w:color="auto" w:fill="auto"/>
            <w:noWrap/>
            <w:vAlign w:val="bottom"/>
            <w:hideMark/>
          </w:tcPr>
          <w:p w14:paraId="56B000C3" w14:textId="77777777" w:rsidR="002C7E4F" w:rsidRPr="008D19D1" w:rsidRDefault="002C7E4F" w:rsidP="002C7E4F">
            <w:pPr>
              <w:rPr>
                <w:rFonts w:ascii="Calibri" w:eastAsia="Times New Roman" w:hAnsi="Calibri" w:cs="Times New Roman"/>
                <w:color w:val="000000"/>
              </w:rPr>
            </w:pPr>
            <w:r>
              <w:rPr>
                <w:rFonts w:ascii="Calibri" w:eastAsia="Times New Roman" w:hAnsi="Calibri" w:cs="Times New Roman"/>
                <w:color w:val="000000"/>
              </w:rPr>
              <w:t>T</w:t>
            </w:r>
            <w:r w:rsidRPr="008D19D1">
              <w:rPr>
                <w:rFonts w:ascii="Calibri" w:eastAsia="Times New Roman" w:hAnsi="Calibri" w:cs="Times New Roman"/>
                <w:color w:val="000000"/>
              </w:rPr>
              <w:t>ime</w:t>
            </w:r>
            <w:r w:rsidRPr="008D19D1">
              <w:rPr>
                <w:rFonts w:ascii="Calibri" w:eastAsia="Times New Roman" w:hAnsi="Calibri" w:cs="Times New Roman"/>
                <w:i/>
                <w:iCs/>
                <w:color w:val="000000"/>
              </w:rPr>
              <w:t xml:space="preserve"> t</w:t>
            </w:r>
          </w:p>
        </w:tc>
        <w:tc>
          <w:tcPr>
            <w:tcW w:w="1300" w:type="dxa"/>
            <w:tcBorders>
              <w:top w:val="nil"/>
              <w:left w:val="nil"/>
              <w:bottom w:val="single" w:sz="4" w:space="0" w:color="auto"/>
              <w:right w:val="nil"/>
            </w:tcBorders>
            <w:shd w:val="clear" w:color="auto" w:fill="auto"/>
            <w:noWrap/>
            <w:vAlign w:val="bottom"/>
            <w:hideMark/>
          </w:tcPr>
          <w:p w14:paraId="391A1095" w14:textId="77777777" w:rsidR="002C7E4F" w:rsidRPr="008D19D1" w:rsidRDefault="002C7E4F" w:rsidP="002C7E4F">
            <w:pPr>
              <w:rPr>
                <w:rFonts w:ascii="Calibri" w:eastAsia="Times New Roman" w:hAnsi="Calibri" w:cs="Times New Roman"/>
                <w:color w:val="000000"/>
              </w:rPr>
            </w:pPr>
          </w:p>
        </w:tc>
      </w:tr>
      <w:tr w:rsidR="002C7E4F" w:rsidRPr="008D19D1" w14:paraId="14263D94" w14:textId="77777777" w:rsidTr="002C7E4F">
        <w:trPr>
          <w:trHeight w:val="300"/>
        </w:trPr>
        <w:tc>
          <w:tcPr>
            <w:tcW w:w="1275" w:type="dxa"/>
            <w:tcBorders>
              <w:top w:val="nil"/>
              <w:left w:val="nil"/>
              <w:right w:val="nil"/>
            </w:tcBorders>
            <w:shd w:val="clear" w:color="auto" w:fill="auto"/>
            <w:noWrap/>
            <w:vAlign w:val="bottom"/>
            <w:hideMark/>
          </w:tcPr>
          <w:p w14:paraId="3136188E" w14:textId="77777777" w:rsidR="002C7E4F" w:rsidRPr="008D19D1" w:rsidRDefault="002C7E4F" w:rsidP="002C7E4F">
            <w:pPr>
              <w:rPr>
                <w:rFonts w:ascii="Calibri" w:eastAsia="Times New Roman" w:hAnsi="Calibri" w:cs="Times New Roman"/>
                <w:color w:val="000000"/>
              </w:rPr>
            </w:pPr>
          </w:p>
        </w:tc>
        <w:tc>
          <w:tcPr>
            <w:tcW w:w="1325" w:type="dxa"/>
            <w:tcBorders>
              <w:top w:val="nil"/>
              <w:left w:val="nil"/>
              <w:bottom w:val="single" w:sz="4" w:space="0" w:color="auto"/>
              <w:right w:val="single" w:sz="4" w:space="0" w:color="auto"/>
            </w:tcBorders>
            <w:shd w:val="clear" w:color="auto" w:fill="auto"/>
            <w:noWrap/>
            <w:vAlign w:val="bottom"/>
            <w:hideMark/>
          </w:tcPr>
          <w:p w14:paraId="0358C353" w14:textId="77777777" w:rsidR="002C7E4F" w:rsidRPr="008D19D1" w:rsidRDefault="002C7E4F" w:rsidP="002C7E4F">
            <w:pPr>
              <w:rPr>
                <w:rFonts w:ascii="Calibri" w:eastAsia="Times New Roman" w:hAnsi="Calibri" w:cs="Times New Roman"/>
                <w:color w:val="000000"/>
              </w:rPr>
            </w:pPr>
          </w:p>
        </w:tc>
        <w:tc>
          <w:tcPr>
            <w:tcW w:w="1300" w:type="dxa"/>
            <w:tcBorders>
              <w:top w:val="single" w:sz="4" w:space="0" w:color="auto"/>
              <w:left w:val="single" w:sz="4" w:space="0" w:color="auto"/>
              <w:bottom w:val="single" w:sz="4" w:space="0" w:color="auto"/>
              <w:right w:val="nil"/>
            </w:tcBorders>
            <w:shd w:val="clear" w:color="auto" w:fill="auto"/>
            <w:noWrap/>
            <w:vAlign w:val="bottom"/>
            <w:hideMark/>
          </w:tcPr>
          <w:p w14:paraId="7F4A026B" w14:textId="77777777" w:rsidR="002C7E4F" w:rsidRPr="008D19D1" w:rsidRDefault="002C7E4F" w:rsidP="002C7E4F">
            <w:pPr>
              <w:rPr>
                <w:rFonts w:ascii="Calibri" w:eastAsia="Times New Roman" w:hAnsi="Calibri" w:cs="Times New Roman"/>
                <w:color w:val="000000"/>
              </w:rPr>
            </w:pPr>
            <w:proofErr w:type="spellStart"/>
            <w:r w:rsidRPr="008D19D1">
              <w:rPr>
                <w:rFonts w:ascii="Calibri" w:eastAsia="Times New Roman" w:hAnsi="Calibri" w:cs="Times New Roman"/>
                <w:color w:val="000000"/>
              </w:rPr>
              <w:t>Unburnt</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554BB6B6" w14:textId="77777777" w:rsidR="002C7E4F" w:rsidRPr="008D19D1" w:rsidRDefault="002C7E4F" w:rsidP="002C7E4F">
            <w:pPr>
              <w:rPr>
                <w:rFonts w:ascii="Calibri" w:eastAsia="Times New Roman" w:hAnsi="Calibri" w:cs="Times New Roman"/>
                <w:color w:val="000000"/>
              </w:rPr>
            </w:pPr>
            <w:r>
              <w:rPr>
                <w:rFonts w:ascii="Calibri" w:eastAsia="Times New Roman" w:hAnsi="Calibri" w:cs="Times New Roman"/>
                <w:color w:val="000000"/>
              </w:rPr>
              <w:t>Early b</w:t>
            </w:r>
            <w:r w:rsidRPr="008D19D1">
              <w:rPr>
                <w:rFonts w:ascii="Calibri" w:eastAsia="Times New Roman" w:hAnsi="Calibri" w:cs="Times New Roman"/>
                <w:color w:val="000000"/>
              </w:rPr>
              <w:t>urnt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AD3710"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Late burnt</w:t>
            </w:r>
          </w:p>
        </w:tc>
      </w:tr>
      <w:tr w:rsidR="002C7E4F" w:rsidRPr="008D19D1" w14:paraId="0022B895" w14:textId="77777777" w:rsidTr="002C7E4F">
        <w:trPr>
          <w:trHeight w:val="300"/>
        </w:trPr>
        <w:tc>
          <w:tcPr>
            <w:tcW w:w="1275" w:type="dxa"/>
            <w:tcBorders>
              <w:left w:val="nil"/>
              <w:right w:val="single" w:sz="4" w:space="0" w:color="auto"/>
            </w:tcBorders>
            <w:shd w:val="clear" w:color="auto" w:fill="auto"/>
            <w:noWrap/>
            <w:vAlign w:val="bottom"/>
            <w:hideMark/>
          </w:tcPr>
          <w:p w14:paraId="1A15054C" w14:textId="77777777" w:rsidR="002C7E4F" w:rsidRPr="008D19D1" w:rsidRDefault="002C7E4F" w:rsidP="002C7E4F">
            <w:pPr>
              <w:rPr>
                <w:rFonts w:ascii="Calibri" w:eastAsia="Times New Roman" w:hAnsi="Calibri" w:cs="Times New Roman"/>
                <w:color w:val="000000"/>
              </w:rPr>
            </w:pPr>
          </w:p>
        </w:tc>
        <w:tc>
          <w:tcPr>
            <w:tcW w:w="1325" w:type="dxa"/>
            <w:tcBorders>
              <w:top w:val="single" w:sz="4" w:space="0" w:color="auto"/>
              <w:left w:val="single" w:sz="4" w:space="0" w:color="auto"/>
              <w:bottom w:val="nil"/>
              <w:right w:val="single" w:sz="4" w:space="0" w:color="auto"/>
            </w:tcBorders>
            <w:shd w:val="clear" w:color="auto" w:fill="auto"/>
            <w:noWrap/>
            <w:vAlign w:val="bottom"/>
            <w:hideMark/>
          </w:tcPr>
          <w:p w14:paraId="337906BB" w14:textId="77777777" w:rsidR="002C7E4F" w:rsidRPr="008D19D1" w:rsidRDefault="002C7E4F" w:rsidP="002C7E4F">
            <w:pPr>
              <w:rPr>
                <w:rFonts w:ascii="Calibri" w:eastAsia="Times New Roman" w:hAnsi="Calibri" w:cs="Times New Roman"/>
                <w:color w:val="000000"/>
              </w:rPr>
            </w:pPr>
            <w:proofErr w:type="spellStart"/>
            <w:r w:rsidRPr="008D19D1">
              <w:rPr>
                <w:rFonts w:ascii="Calibri" w:eastAsia="Times New Roman" w:hAnsi="Calibri" w:cs="Times New Roman"/>
                <w:color w:val="000000"/>
              </w:rPr>
              <w:t>Unburnt</w:t>
            </w:r>
            <w:proofErr w:type="spellEnd"/>
          </w:p>
        </w:tc>
        <w:tc>
          <w:tcPr>
            <w:tcW w:w="1300" w:type="dxa"/>
            <w:tcBorders>
              <w:top w:val="single" w:sz="4" w:space="0" w:color="auto"/>
              <w:left w:val="single" w:sz="4" w:space="0" w:color="auto"/>
              <w:bottom w:val="nil"/>
              <w:right w:val="nil"/>
            </w:tcBorders>
            <w:shd w:val="clear" w:color="auto" w:fill="auto"/>
            <w:noWrap/>
            <w:vAlign w:val="bottom"/>
            <w:hideMark/>
          </w:tcPr>
          <w:p w14:paraId="450410C5"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0.586</w:t>
            </w:r>
          </w:p>
        </w:tc>
        <w:tc>
          <w:tcPr>
            <w:tcW w:w="1300" w:type="dxa"/>
            <w:tcBorders>
              <w:top w:val="single" w:sz="4" w:space="0" w:color="auto"/>
              <w:left w:val="nil"/>
              <w:bottom w:val="nil"/>
              <w:right w:val="nil"/>
            </w:tcBorders>
            <w:shd w:val="clear" w:color="auto" w:fill="auto"/>
            <w:noWrap/>
            <w:vAlign w:val="bottom"/>
            <w:hideMark/>
          </w:tcPr>
          <w:p w14:paraId="4804316E"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0.605</w:t>
            </w:r>
          </w:p>
        </w:tc>
        <w:tc>
          <w:tcPr>
            <w:tcW w:w="1300" w:type="dxa"/>
            <w:tcBorders>
              <w:top w:val="single" w:sz="4" w:space="0" w:color="auto"/>
              <w:left w:val="nil"/>
              <w:bottom w:val="nil"/>
              <w:right w:val="nil"/>
            </w:tcBorders>
            <w:shd w:val="clear" w:color="auto" w:fill="auto"/>
            <w:noWrap/>
            <w:vAlign w:val="bottom"/>
            <w:hideMark/>
          </w:tcPr>
          <w:p w14:paraId="63E916F6"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0.709</w:t>
            </w:r>
          </w:p>
        </w:tc>
      </w:tr>
      <w:tr w:rsidR="002C7E4F" w:rsidRPr="008D19D1" w14:paraId="5EDCB84D" w14:textId="77777777" w:rsidTr="002C7E4F">
        <w:trPr>
          <w:trHeight w:val="300"/>
        </w:trPr>
        <w:tc>
          <w:tcPr>
            <w:tcW w:w="1275" w:type="dxa"/>
            <w:tcBorders>
              <w:top w:val="nil"/>
              <w:left w:val="nil"/>
              <w:bottom w:val="nil"/>
              <w:right w:val="single" w:sz="4" w:space="0" w:color="auto"/>
            </w:tcBorders>
            <w:shd w:val="clear" w:color="auto" w:fill="auto"/>
            <w:noWrap/>
            <w:vAlign w:val="bottom"/>
            <w:hideMark/>
          </w:tcPr>
          <w:p w14:paraId="4F0FDE1B" w14:textId="77777777" w:rsidR="002C7E4F" w:rsidRPr="008D19D1" w:rsidRDefault="002C7E4F" w:rsidP="002C7E4F">
            <w:pPr>
              <w:rPr>
                <w:rFonts w:ascii="Calibri" w:eastAsia="Times New Roman" w:hAnsi="Calibri" w:cs="Times New Roman"/>
                <w:color w:val="000000"/>
              </w:rPr>
            </w:pPr>
            <w:r>
              <w:rPr>
                <w:rFonts w:ascii="Calibri" w:eastAsia="Times New Roman" w:hAnsi="Calibri" w:cs="Times New Roman"/>
                <w:color w:val="000000"/>
              </w:rPr>
              <w:t>T</w:t>
            </w:r>
            <w:r w:rsidRPr="008D19D1">
              <w:rPr>
                <w:rFonts w:ascii="Calibri" w:eastAsia="Times New Roman" w:hAnsi="Calibri" w:cs="Times New Roman"/>
                <w:color w:val="000000"/>
              </w:rPr>
              <w:t xml:space="preserve">ime </w:t>
            </w:r>
            <w:r w:rsidRPr="008D19D1">
              <w:rPr>
                <w:rFonts w:ascii="Calibri" w:eastAsia="Times New Roman" w:hAnsi="Calibri" w:cs="Times New Roman"/>
                <w:i/>
                <w:iCs/>
                <w:color w:val="000000"/>
              </w:rPr>
              <w:t>t+1</w:t>
            </w:r>
          </w:p>
        </w:tc>
        <w:tc>
          <w:tcPr>
            <w:tcW w:w="1325" w:type="dxa"/>
            <w:tcBorders>
              <w:top w:val="nil"/>
              <w:left w:val="single" w:sz="4" w:space="0" w:color="auto"/>
              <w:right w:val="single" w:sz="4" w:space="0" w:color="auto"/>
            </w:tcBorders>
            <w:shd w:val="clear" w:color="auto" w:fill="auto"/>
            <w:noWrap/>
            <w:vAlign w:val="bottom"/>
            <w:hideMark/>
          </w:tcPr>
          <w:p w14:paraId="2EC89192" w14:textId="77777777" w:rsidR="002C7E4F" w:rsidRPr="008D19D1" w:rsidRDefault="002C7E4F" w:rsidP="002C7E4F">
            <w:pPr>
              <w:rPr>
                <w:rFonts w:ascii="Calibri" w:eastAsia="Times New Roman" w:hAnsi="Calibri" w:cs="Times New Roman"/>
                <w:color w:val="000000"/>
              </w:rPr>
            </w:pPr>
            <w:r>
              <w:rPr>
                <w:rFonts w:ascii="Calibri" w:eastAsia="Times New Roman" w:hAnsi="Calibri" w:cs="Times New Roman"/>
                <w:color w:val="000000"/>
              </w:rPr>
              <w:t>Early b</w:t>
            </w:r>
            <w:r w:rsidRPr="008D19D1">
              <w:rPr>
                <w:rFonts w:ascii="Calibri" w:eastAsia="Times New Roman" w:hAnsi="Calibri" w:cs="Times New Roman"/>
                <w:color w:val="000000"/>
              </w:rPr>
              <w:t>urnt</w:t>
            </w:r>
          </w:p>
        </w:tc>
        <w:tc>
          <w:tcPr>
            <w:tcW w:w="1300" w:type="dxa"/>
            <w:tcBorders>
              <w:top w:val="nil"/>
              <w:left w:val="single" w:sz="4" w:space="0" w:color="auto"/>
              <w:bottom w:val="nil"/>
              <w:right w:val="nil"/>
            </w:tcBorders>
            <w:shd w:val="clear" w:color="auto" w:fill="auto"/>
            <w:noWrap/>
            <w:vAlign w:val="bottom"/>
            <w:hideMark/>
          </w:tcPr>
          <w:p w14:paraId="5F855525"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0.173</w:t>
            </w:r>
          </w:p>
        </w:tc>
        <w:tc>
          <w:tcPr>
            <w:tcW w:w="1300" w:type="dxa"/>
            <w:tcBorders>
              <w:top w:val="nil"/>
              <w:left w:val="nil"/>
              <w:bottom w:val="nil"/>
              <w:right w:val="nil"/>
            </w:tcBorders>
            <w:shd w:val="clear" w:color="auto" w:fill="auto"/>
            <w:noWrap/>
            <w:vAlign w:val="bottom"/>
            <w:hideMark/>
          </w:tcPr>
          <w:p w14:paraId="192054BF"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0.201</w:t>
            </w:r>
          </w:p>
        </w:tc>
        <w:tc>
          <w:tcPr>
            <w:tcW w:w="1300" w:type="dxa"/>
            <w:tcBorders>
              <w:top w:val="nil"/>
              <w:left w:val="nil"/>
              <w:bottom w:val="nil"/>
              <w:right w:val="nil"/>
            </w:tcBorders>
            <w:shd w:val="clear" w:color="auto" w:fill="auto"/>
            <w:noWrap/>
            <w:vAlign w:val="bottom"/>
            <w:hideMark/>
          </w:tcPr>
          <w:p w14:paraId="085FD0DF"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0.093</w:t>
            </w:r>
          </w:p>
        </w:tc>
      </w:tr>
      <w:tr w:rsidR="002C7E4F" w:rsidRPr="008D19D1" w14:paraId="7BBAB66D" w14:textId="77777777" w:rsidTr="002C7E4F">
        <w:trPr>
          <w:trHeight w:val="300"/>
        </w:trPr>
        <w:tc>
          <w:tcPr>
            <w:tcW w:w="1275" w:type="dxa"/>
            <w:tcBorders>
              <w:top w:val="nil"/>
              <w:left w:val="nil"/>
              <w:bottom w:val="nil"/>
              <w:right w:val="single" w:sz="4" w:space="0" w:color="auto"/>
            </w:tcBorders>
            <w:shd w:val="clear" w:color="auto" w:fill="auto"/>
            <w:noWrap/>
            <w:vAlign w:val="bottom"/>
            <w:hideMark/>
          </w:tcPr>
          <w:p w14:paraId="54975224" w14:textId="77777777" w:rsidR="002C7E4F" w:rsidRPr="008D19D1" w:rsidRDefault="002C7E4F" w:rsidP="002C7E4F">
            <w:pPr>
              <w:rPr>
                <w:rFonts w:ascii="Calibri" w:eastAsia="Times New Roman" w:hAnsi="Calibri" w:cs="Times New Roman"/>
                <w:color w:val="000000"/>
              </w:rPr>
            </w:pPr>
          </w:p>
        </w:tc>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C3705B2"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Late burnt</w:t>
            </w:r>
          </w:p>
        </w:tc>
        <w:tc>
          <w:tcPr>
            <w:tcW w:w="1300" w:type="dxa"/>
            <w:tcBorders>
              <w:top w:val="nil"/>
              <w:left w:val="single" w:sz="4" w:space="0" w:color="auto"/>
              <w:bottom w:val="nil"/>
              <w:right w:val="nil"/>
            </w:tcBorders>
            <w:shd w:val="clear" w:color="auto" w:fill="auto"/>
            <w:noWrap/>
            <w:vAlign w:val="bottom"/>
            <w:hideMark/>
          </w:tcPr>
          <w:p w14:paraId="75E2569A"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0.241</w:t>
            </w:r>
          </w:p>
        </w:tc>
        <w:tc>
          <w:tcPr>
            <w:tcW w:w="1300" w:type="dxa"/>
            <w:tcBorders>
              <w:top w:val="nil"/>
              <w:left w:val="nil"/>
              <w:bottom w:val="nil"/>
              <w:right w:val="nil"/>
            </w:tcBorders>
            <w:shd w:val="clear" w:color="auto" w:fill="auto"/>
            <w:noWrap/>
            <w:vAlign w:val="bottom"/>
            <w:hideMark/>
          </w:tcPr>
          <w:p w14:paraId="07214317"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0.194</w:t>
            </w:r>
          </w:p>
        </w:tc>
        <w:tc>
          <w:tcPr>
            <w:tcW w:w="1300" w:type="dxa"/>
            <w:tcBorders>
              <w:top w:val="nil"/>
              <w:left w:val="nil"/>
              <w:bottom w:val="nil"/>
              <w:right w:val="nil"/>
            </w:tcBorders>
            <w:shd w:val="clear" w:color="auto" w:fill="auto"/>
            <w:noWrap/>
            <w:vAlign w:val="bottom"/>
            <w:hideMark/>
          </w:tcPr>
          <w:p w14:paraId="2217879F" w14:textId="77777777" w:rsidR="002C7E4F" w:rsidRPr="008D19D1" w:rsidRDefault="002C7E4F" w:rsidP="002C7E4F">
            <w:pPr>
              <w:rPr>
                <w:rFonts w:ascii="Calibri" w:eastAsia="Times New Roman" w:hAnsi="Calibri" w:cs="Times New Roman"/>
                <w:color w:val="000000"/>
              </w:rPr>
            </w:pPr>
            <w:r w:rsidRPr="008D19D1">
              <w:rPr>
                <w:rFonts w:ascii="Calibri" w:eastAsia="Times New Roman" w:hAnsi="Calibri" w:cs="Times New Roman"/>
                <w:color w:val="000000"/>
              </w:rPr>
              <w:t>0.198</w:t>
            </w:r>
          </w:p>
        </w:tc>
      </w:tr>
    </w:tbl>
    <w:p w14:paraId="34ABEE53" w14:textId="77777777" w:rsidR="002C7E4F" w:rsidRDefault="002C7E4F" w:rsidP="00716E00">
      <w:pPr>
        <w:tabs>
          <w:tab w:val="left" w:pos="3330"/>
        </w:tabs>
        <w:rPr>
          <w:rFonts w:ascii="Cambria" w:hAnsi="Cambria"/>
        </w:rPr>
      </w:pPr>
    </w:p>
    <w:p w14:paraId="0578FAC2" w14:textId="3883B28A" w:rsidR="00123DA5" w:rsidRDefault="00123DA5" w:rsidP="00123DA5">
      <w:pPr>
        <w:tabs>
          <w:tab w:val="left" w:pos="3330"/>
        </w:tabs>
        <w:rPr>
          <w:rFonts w:ascii="Cambria" w:hAnsi="Cambria"/>
        </w:rPr>
      </w:pPr>
      <w:r>
        <w:rPr>
          <w:rFonts w:ascii="Cambria" w:hAnsi="Cambria"/>
        </w:rPr>
        <w:t xml:space="preserve">The stable stage distributions (SSD) of fire disturbance types based on matrix </w:t>
      </w:r>
      <w:r w:rsidRPr="00B65804">
        <w:rPr>
          <w:rFonts w:ascii="Cambria" w:hAnsi="Cambria"/>
          <w:i/>
        </w:rPr>
        <w:t>D</w:t>
      </w:r>
      <w:r>
        <w:rPr>
          <w:rFonts w:ascii="Cambria" w:hAnsi="Cambria"/>
        </w:rPr>
        <w:t xml:space="preserve"> (Unburnt: 62%; Early burnt: 16%; Late burnt: 22%) were similar to the actual mean proportions of the landscape under each disturbance type derived from the LANDSAT data </w:t>
      </w:r>
      <w:r w:rsidRPr="00A5737C">
        <w:t>(</w:t>
      </w:r>
      <w:proofErr w:type="spellStart"/>
      <w:r>
        <w:t>Unburnt</w:t>
      </w:r>
      <w:proofErr w:type="spellEnd"/>
      <w:r>
        <w:t>:</w:t>
      </w:r>
      <w:r w:rsidRPr="00A5737C">
        <w:t xml:space="preserve"> </w:t>
      </w:r>
      <w:r>
        <w:rPr>
          <w:rFonts w:cs="Monaco"/>
        </w:rPr>
        <w:t>64%; Early burnt: 12%; Late Burnt: 24%</w:t>
      </w:r>
      <w:r>
        <w:rPr>
          <w:rFonts w:cs="Monaco"/>
          <w:color w:val="3E3E3E"/>
        </w:rPr>
        <w:t>).</w:t>
      </w:r>
      <w:r>
        <w:t xml:space="preserve">  </w:t>
      </w:r>
    </w:p>
    <w:p w14:paraId="4CD17857" w14:textId="77777777" w:rsidR="00123DA5" w:rsidRDefault="00123DA5" w:rsidP="00716E00">
      <w:pPr>
        <w:tabs>
          <w:tab w:val="left" w:pos="3330"/>
        </w:tabs>
        <w:rPr>
          <w:rFonts w:ascii="Cambria" w:hAnsi="Cambria"/>
        </w:rPr>
      </w:pPr>
    </w:p>
    <w:p w14:paraId="1F8BAEED" w14:textId="1C16CE80" w:rsidR="00716E00" w:rsidRDefault="00736849" w:rsidP="00716E00">
      <w:pPr>
        <w:tabs>
          <w:tab w:val="left" w:pos="3330"/>
        </w:tabs>
        <w:rPr>
          <w:rFonts w:ascii="Cambria" w:hAnsi="Cambria"/>
        </w:rPr>
      </w:pPr>
      <w:r>
        <w:rPr>
          <w:rFonts w:ascii="Cambria" w:hAnsi="Cambria"/>
        </w:rPr>
        <w:t xml:space="preserve">We </w:t>
      </w:r>
      <w:r w:rsidR="00716E00" w:rsidRPr="00B64754">
        <w:rPr>
          <w:rFonts w:ascii="Cambria" w:hAnsi="Cambria"/>
        </w:rPr>
        <w:t xml:space="preserve">combined the Markov chains for fire disturbance and grove state transitions to construct an environmental state change matrix, </w:t>
      </w:r>
      <w:r w:rsidR="00716E00" w:rsidRPr="00B64754">
        <w:rPr>
          <w:rFonts w:ascii="Cambria" w:hAnsi="Cambria"/>
          <w:i/>
        </w:rPr>
        <w:t>F</w:t>
      </w:r>
      <w:r w:rsidR="00716E00" w:rsidRPr="00B64754">
        <w:rPr>
          <w:rFonts w:ascii="Cambria" w:hAnsi="Cambria"/>
        </w:rPr>
        <w:t xml:space="preserve"> </w:t>
      </w:r>
      <w:r w:rsidR="00716E00" w:rsidRPr="00B64754">
        <w:rPr>
          <w:rFonts w:ascii="Cambria" w:hAnsi="Cambria"/>
        </w:rPr>
        <w:fldChar w:fldCharType="begin" w:fldLock="1"/>
      </w:r>
      <w:r w:rsidR="00A24DBB">
        <w:rPr>
          <w:rFonts w:ascii="Cambria" w:hAnsi="Cambria"/>
        </w:rPr>
        <w:instrText>ADDIN CSL_CITATION { "citationItems" : [ { "id" : "ITEM-1", "itemData" : { "author" : [ { "dropping-particle" : "", "family" : "Horvitz", "given" : "CC", "non-dropping-particle" : "", "parse-names" : false, "suffix" : "" }, { "dropping-particle" : "", "family" : "Schemske", "given" : "DW", "non-dropping-particle" : "", "parse-names" : false, "suffix" : "" } ], "container-title" : "Frugivores and seed dispersal. Dr. W.  \u2026", "id" : "ITEM-1", "issued" : { "date-parts" : [ [ "1986" ] ] }, "title" : "Seed dispersal and environmental heterogeneity in a neotropical herb: a model of population and patch dynamics", "type" : "article-journal" }, "uris" : [ "http://www.mendeley.com/documents/?uuid=d2562157-a493-4790-b0eb-0a6601de5bac" ] }, { "id" : "ITEM-2", "itemData" : { "author" : [ { "dropping-particle" : "", "family" : "Pascarella", "given" : "JB", "non-dropping-particle" : "", "parse-names" : false, "suffix" : "" }, { "dropping-particle" : "", "family" : "Horvitz", "given" : "CC", "non-dropping-particle" : "", "parse-names" : false, "suffix" : "" } ], "container-title" : "Ecology", "id" : "ITEM-2", "issued" : { "date-parts" : [ [ "1998" ] ] }, "title" : "Hurricane disturbance and the population dynamics of a tropical understory shrub: megamatrix elasticity analysis", "type" : "article-journal" }, "uris" : [ "http://www.mendeley.com/documents/?uuid=e76cc452-eaed-4de0-b21f-728b36d6ebf9" ] }, { "id" : "ITEM-3", "itemData" : { "author" : [ { "dropping-particle" : "", "family" : "Valverde", "given" : "Teresa", "non-dropping-particle" : "", "parse-names" : false, "suffix" : "" }, { "dropping-particle" : "", "family" : "Silvertown", "given" : "Jonathan", "non-dropping-particle" : "", "parse-names" : false, "suffix" : "" } ], "container-title" : "Oikos", "id" : "ITEM-3", "issue" : "1", "issued" : { "date-parts" : [ [ "1997" ] ] }, "page" : "67-77", "title" : "An integrated model of demography , patch dynamics and seed dispersal in a woodland herb , Primula vulgaris", "type" : "article-journal", "volume" : "80" }, "uris" : [ "http://www.mendeley.com/documents/?uuid=bd7d3a43-e186-46bc-a136-58f2bab52b75" ] } ], "mendeley" : { "previouslyFormattedCitation" : "(Horvitz &amp; Schemske, 1986; Pascarella &amp; Horvitz, 1998; Valverde &amp; Silvertown, 1997)" }, "properties" : { "noteIndex" : 0 }, "schema" : "https://github.com/citation-style-language/schema/raw/master/csl-citation.json" }</w:instrText>
      </w:r>
      <w:r w:rsidR="00716E00" w:rsidRPr="00B64754">
        <w:rPr>
          <w:rFonts w:ascii="Cambria" w:hAnsi="Cambria"/>
        </w:rPr>
        <w:fldChar w:fldCharType="separate"/>
      </w:r>
      <w:r w:rsidR="00B73EF2" w:rsidRPr="00B73EF2">
        <w:rPr>
          <w:rFonts w:ascii="Cambria" w:hAnsi="Cambria"/>
          <w:noProof/>
        </w:rPr>
        <w:t>(Horvitz &amp; Schemske, 1986; Pascarella &amp; Horvitz, 1998; Valverde &amp; Silvertown, 1997)</w:t>
      </w:r>
      <w:r w:rsidR="00716E00" w:rsidRPr="00B64754">
        <w:rPr>
          <w:rFonts w:ascii="Cambria" w:hAnsi="Cambria"/>
        </w:rPr>
        <w:fldChar w:fldCharType="end"/>
      </w:r>
      <w:r w:rsidR="00716E00" w:rsidRPr="00B64754">
        <w:rPr>
          <w:rFonts w:ascii="Cambria" w:hAnsi="Cambria"/>
        </w:rPr>
        <w:t xml:space="preserve">, by multiplying the elements of matrix </w:t>
      </w:r>
      <w:r w:rsidR="00716E00" w:rsidRPr="00B64754">
        <w:rPr>
          <w:rFonts w:ascii="Cambria" w:hAnsi="Cambria"/>
          <w:i/>
        </w:rPr>
        <w:t>D</w:t>
      </w:r>
      <w:r w:rsidR="00716E00" w:rsidRPr="00B64754">
        <w:rPr>
          <w:rFonts w:ascii="Cambria" w:hAnsi="Cambria"/>
        </w:rPr>
        <w:t xml:space="preserve"> by the individual grove state matrices G</w:t>
      </w:r>
      <w:r w:rsidR="00716E00" w:rsidRPr="00B64754">
        <w:rPr>
          <w:rFonts w:ascii="Cambria" w:hAnsi="Cambria"/>
          <w:vertAlign w:val="subscript"/>
        </w:rPr>
        <w:t>U</w:t>
      </w:r>
      <w:r w:rsidR="00716E00" w:rsidRPr="00B64754">
        <w:rPr>
          <w:rFonts w:ascii="Cambria" w:hAnsi="Cambria"/>
        </w:rPr>
        <w:t>, G</w:t>
      </w:r>
      <w:r w:rsidR="00716E00" w:rsidRPr="00B64754">
        <w:rPr>
          <w:rFonts w:ascii="Cambria" w:hAnsi="Cambria"/>
          <w:vertAlign w:val="subscript"/>
        </w:rPr>
        <w:t>E</w:t>
      </w:r>
      <w:r w:rsidR="00716E00" w:rsidRPr="00B64754">
        <w:rPr>
          <w:rFonts w:ascii="Cambria" w:hAnsi="Cambria"/>
        </w:rPr>
        <w:t>, and G</w:t>
      </w:r>
      <w:r w:rsidR="00716E00" w:rsidRPr="00B64754">
        <w:rPr>
          <w:rFonts w:ascii="Cambria" w:hAnsi="Cambria"/>
          <w:vertAlign w:val="subscript"/>
        </w:rPr>
        <w:t>L</w:t>
      </w:r>
      <w:r w:rsidR="00716E00" w:rsidRPr="00B64754">
        <w:rPr>
          <w:rFonts w:ascii="Cambria" w:hAnsi="Cambria"/>
        </w:rPr>
        <w:t xml:space="preserve"> as follows:</w:t>
      </w:r>
    </w:p>
    <w:p w14:paraId="14A53109" w14:textId="77777777" w:rsidR="002C7E4F" w:rsidRPr="00B64754" w:rsidRDefault="002C7E4F" w:rsidP="00716E00">
      <w:pPr>
        <w:tabs>
          <w:tab w:val="left" w:pos="3330"/>
        </w:tabs>
        <w:rPr>
          <w:rFonts w:ascii="Cambria" w:hAnsi="Cambria"/>
        </w:rPr>
      </w:pPr>
    </w:p>
    <w:p w14:paraId="4CC27165" w14:textId="77777777" w:rsidR="00716E00" w:rsidRPr="00B64754" w:rsidRDefault="00716E00" w:rsidP="00716E00">
      <w:pPr>
        <w:tabs>
          <w:tab w:val="left" w:pos="3330"/>
        </w:tabs>
        <w:jc w:val="center"/>
      </w:pPr>
      <m:oMathPara>
        <m:oMathParaPr>
          <m:jc m:val="center"/>
        </m:oMathParaPr>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m:t>
                              </m:r>
                            </m:sub>
                          </m:sSub>
                        </m:e>
                        <m:e>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m:t>
                              </m:r>
                            </m:sub>
                          </m:sSub>
                        </m:e>
                        <m:e>
                          <m:sSub>
                            <m:sSubPr>
                              <m:ctrlPr>
                                <w:rPr>
                                  <w:rFonts w:ascii="Cambria Math" w:hAnsi="Cambria Math"/>
                                  <w:i/>
                                </w:rPr>
                              </m:ctrlPr>
                            </m:sSubPr>
                            <m:e>
                              <m:r>
                                <w:rPr>
                                  <w:rFonts w:ascii="Cambria Math" w:hAnsi="Cambria Math"/>
                                </w:rPr>
                                <m:t>D</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m:t>
                              </m:r>
                            </m:sub>
                          </m:sSub>
                        </m:e>
                      </m:mr>
                      <m:mr>
                        <m:e>
                          <m:sSub>
                            <m:sSubPr>
                              <m:ctrlPr>
                                <w:rPr>
                                  <w:rFonts w:ascii="Cambria Math" w:hAnsi="Cambria Math"/>
                                  <w:i/>
                                </w:rPr>
                              </m:ctrlPr>
                            </m:sSubPr>
                            <m:e>
                              <m:r>
                                <w:rPr>
                                  <w:rFonts w:ascii="Cambria Math" w:hAnsi="Cambria Math"/>
                                </w:rPr>
                                <m:t>D</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e>
                        <m:e>
                          <m:sSub>
                            <m:sSubPr>
                              <m:ctrlPr>
                                <w:rPr>
                                  <w:rFonts w:ascii="Cambria Math" w:hAnsi="Cambria Math"/>
                                  <w:i/>
                                </w:rPr>
                              </m:ctrlPr>
                            </m:sSubPr>
                            <m:e>
                              <m:r>
                                <w:rPr>
                                  <w:rFonts w:ascii="Cambria Math" w:hAnsi="Cambria Math"/>
                                </w:rPr>
                                <m:t>D</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e>
                        <m:e>
                          <m:sSub>
                            <m:sSubPr>
                              <m:ctrlPr>
                                <w:rPr>
                                  <w:rFonts w:ascii="Cambria Math" w:hAnsi="Cambria Math"/>
                                  <w:i/>
                                </w:rPr>
                              </m:ctrlPr>
                            </m:sSubPr>
                            <m:e>
                              <m:r>
                                <w:rPr>
                                  <w:rFonts w:ascii="Cambria Math" w:hAnsi="Cambria Math"/>
                                </w:rPr>
                                <m:t>D</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e>
                      </m:mr>
                      <m:mr>
                        <m:e>
                          <m:sSub>
                            <m:sSubPr>
                              <m:ctrlPr>
                                <w:rPr>
                                  <w:rFonts w:ascii="Cambria Math" w:hAnsi="Cambria Math"/>
                                  <w:i/>
                                </w:rPr>
                              </m:ctrlPr>
                            </m:sSubPr>
                            <m:e>
                              <m:r>
                                <w:rPr>
                                  <w:rFonts w:ascii="Cambria Math" w:hAnsi="Cambria Math"/>
                                </w:rPr>
                                <m:t>D</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e>
                          <m:sSub>
                            <m:sSubPr>
                              <m:ctrlPr>
                                <w:rPr>
                                  <w:rFonts w:ascii="Cambria Math" w:hAnsi="Cambria Math"/>
                                  <w:i/>
                                </w:rPr>
                              </m:ctrlPr>
                            </m:sSubPr>
                            <m:e>
                              <m:r>
                                <w:rPr>
                                  <w:rFonts w:ascii="Cambria Math" w:hAnsi="Cambria Math"/>
                                </w:rPr>
                                <m:t>D</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e>
                          <m:sSub>
                            <m:sSubPr>
                              <m:ctrlPr>
                                <w:rPr>
                                  <w:rFonts w:ascii="Cambria Math" w:hAnsi="Cambria Math"/>
                                  <w:i/>
                                </w:rPr>
                              </m:ctrlPr>
                            </m:sSubPr>
                            <m:e>
                              <m:r>
                                <w:rPr>
                                  <w:rFonts w:ascii="Cambria Math" w:hAnsi="Cambria Math"/>
                                </w:rPr>
                                <m:t>D</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e>
                      </m:mr>
                    </m:m>
                  </m:e>
                </m:mr>
              </m:m>
            </m:e>
          </m:d>
        </m:oMath>
      </m:oMathPara>
    </w:p>
    <w:p w14:paraId="2056F09A" w14:textId="77777777" w:rsidR="002C7E4F" w:rsidRDefault="002C7E4F" w:rsidP="00716E00">
      <w:pPr>
        <w:tabs>
          <w:tab w:val="left" w:pos="3330"/>
        </w:tabs>
        <w:rPr>
          <w:rFonts w:ascii="Cambria" w:hAnsi="Cambria"/>
        </w:rPr>
      </w:pPr>
    </w:p>
    <w:p w14:paraId="5A850B7A" w14:textId="206D57A6" w:rsidR="00716E00" w:rsidRPr="00DD64A7" w:rsidRDefault="00716E00" w:rsidP="00716E00">
      <w:pPr>
        <w:tabs>
          <w:tab w:val="left" w:pos="3330"/>
        </w:tabs>
        <w:rPr>
          <w:rFonts w:ascii="Cambria" w:hAnsi="Cambria"/>
        </w:rPr>
      </w:pPr>
      <w:r w:rsidRPr="00B64754">
        <w:rPr>
          <w:rFonts w:ascii="Cambria" w:hAnsi="Cambria"/>
        </w:rPr>
        <w:t xml:space="preserve">This yielded a 9 × 9 discrete state Markov chain of transition probabilities for all grove states across all fire disturbance states from time </w:t>
      </w:r>
      <w:r w:rsidRPr="00B64754">
        <w:rPr>
          <w:rFonts w:ascii="Cambria" w:hAnsi="Cambria"/>
          <w:i/>
        </w:rPr>
        <w:t>t</w:t>
      </w:r>
      <w:r w:rsidRPr="00B64754">
        <w:rPr>
          <w:rFonts w:ascii="Cambria" w:hAnsi="Cambria"/>
        </w:rPr>
        <w:t xml:space="preserve"> to time </w:t>
      </w:r>
      <w:r w:rsidRPr="00B64754">
        <w:rPr>
          <w:rFonts w:ascii="Cambria" w:hAnsi="Cambria"/>
          <w:i/>
        </w:rPr>
        <w:t>t+1</w:t>
      </w:r>
      <w:r w:rsidR="002C7E4F">
        <w:rPr>
          <w:rFonts w:ascii="Cambria" w:hAnsi="Cambria"/>
        </w:rPr>
        <w:t xml:space="preserve"> (Table S2)</w:t>
      </w:r>
      <w:r w:rsidRPr="00B64754">
        <w:rPr>
          <w:rFonts w:ascii="Cambria" w:hAnsi="Cambria"/>
        </w:rPr>
        <w:t xml:space="preserve">.  We used matrix </w:t>
      </w:r>
      <w:r w:rsidRPr="00B64754">
        <w:rPr>
          <w:rFonts w:ascii="Cambria" w:hAnsi="Cambria"/>
          <w:i/>
        </w:rPr>
        <w:t>F</w:t>
      </w:r>
      <w:r w:rsidRPr="00B64754">
        <w:rPr>
          <w:rFonts w:ascii="Cambria" w:hAnsi="Cambria"/>
        </w:rPr>
        <w:t xml:space="preserve"> to project stable stage distributions (SSDs) of each of the nine possible 'fire-states', from which we derived the predicted proportions of grove states across the landscape under known or hypothetical fire disturbance probabilities.   We also </w:t>
      </w:r>
      <w:r w:rsidR="002C7E4F">
        <w:rPr>
          <w:rFonts w:ascii="Cambria" w:hAnsi="Cambria"/>
        </w:rPr>
        <w:t>used these SSDs to examine</w:t>
      </w:r>
      <w:r w:rsidRPr="00B64754">
        <w:rPr>
          <w:rFonts w:ascii="Cambria" w:hAnsi="Cambria"/>
        </w:rPr>
        <w:t xml:space="preserve"> the</w:t>
      </w:r>
      <w:r w:rsidR="002C7E4F">
        <w:rPr>
          <w:rFonts w:ascii="Cambria" w:hAnsi="Cambria"/>
        </w:rPr>
        <w:t xml:space="preserve"> sensitivity of the patch dynamic model</w:t>
      </w:r>
      <w:r w:rsidRPr="00B64754">
        <w:rPr>
          <w:rFonts w:ascii="Cambria" w:hAnsi="Cambria"/>
        </w:rPr>
        <w:t xml:space="preserve"> to changes in the grove state transition parameters</w:t>
      </w:r>
      <w:r w:rsidR="002C7E4F">
        <w:rPr>
          <w:rFonts w:ascii="Cambria" w:hAnsi="Cambria"/>
        </w:rPr>
        <w:t xml:space="preserve"> (Figure S1)</w:t>
      </w:r>
      <w:r w:rsidRPr="00B64754">
        <w:rPr>
          <w:rFonts w:ascii="Cambria" w:hAnsi="Cambria"/>
        </w:rPr>
        <w:t>.</w:t>
      </w:r>
      <w:r w:rsidRPr="00DD64A7">
        <w:rPr>
          <w:rFonts w:ascii="Cambria" w:hAnsi="Cambria"/>
        </w:rPr>
        <w:t xml:space="preserve">  </w:t>
      </w:r>
    </w:p>
    <w:p w14:paraId="3D1634B7" w14:textId="77777777" w:rsidR="00716E00" w:rsidRDefault="00716E00" w:rsidP="00716E00">
      <w:pPr>
        <w:tabs>
          <w:tab w:val="left" w:pos="3330"/>
        </w:tabs>
        <w:rPr>
          <w:rFonts w:ascii="Cambria" w:hAnsi="Cambria"/>
        </w:rPr>
      </w:pPr>
    </w:p>
    <w:p w14:paraId="17F131D1" w14:textId="77777777" w:rsidR="00716E00" w:rsidRPr="006C3667" w:rsidRDefault="00716E00" w:rsidP="00716E00">
      <w:pPr>
        <w:tabs>
          <w:tab w:val="left" w:pos="3330"/>
        </w:tabs>
        <w:rPr>
          <w:rFonts w:ascii="Cambria" w:hAnsi="Cambria"/>
        </w:rPr>
      </w:pPr>
      <w:r>
        <w:rPr>
          <w:rFonts w:ascii="Cambria" w:hAnsi="Cambria"/>
        </w:rPr>
        <w:t xml:space="preserve">The </w:t>
      </w:r>
      <w:proofErr w:type="spellStart"/>
      <w:r>
        <w:rPr>
          <w:rFonts w:ascii="Cambria" w:hAnsi="Cambria"/>
        </w:rPr>
        <w:t>Mega</w:t>
      </w:r>
      <w:r w:rsidRPr="006C3667">
        <w:rPr>
          <w:rFonts w:ascii="Cambria" w:hAnsi="Cambria"/>
        </w:rPr>
        <w:t>matrix</w:t>
      </w:r>
      <w:proofErr w:type="spellEnd"/>
    </w:p>
    <w:p w14:paraId="1B10D088" w14:textId="77777777" w:rsidR="00716E00" w:rsidRDefault="00716E00" w:rsidP="00716E00">
      <w:pPr>
        <w:tabs>
          <w:tab w:val="left" w:pos="3330"/>
        </w:tabs>
        <w:rPr>
          <w:rFonts w:ascii="Cambria" w:hAnsi="Cambria"/>
        </w:rPr>
      </w:pPr>
    </w:p>
    <w:p w14:paraId="6F1CAE52" w14:textId="70B1BAD5" w:rsidR="00716E00" w:rsidRDefault="00716E00" w:rsidP="00716E00">
      <w:pPr>
        <w:tabs>
          <w:tab w:val="left" w:pos="3330"/>
        </w:tabs>
        <w:rPr>
          <w:rFonts w:ascii="Cambria" w:hAnsi="Cambria"/>
        </w:rPr>
      </w:pPr>
      <w:r>
        <w:rPr>
          <w:rFonts w:ascii="Cambria" w:hAnsi="Cambria"/>
        </w:rPr>
        <w:t>Finally, we combined our</w:t>
      </w:r>
      <w:r w:rsidRPr="006C3667">
        <w:rPr>
          <w:rFonts w:ascii="Cambria" w:hAnsi="Cambria"/>
        </w:rPr>
        <w:t xml:space="preserve"> env</w:t>
      </w:r>
      <w:r>
        <w:rPr>
          <w:rFonts w:ascii="Cambria" w:hAnsi="Cambria"/>
        </w:rPr>
        <w:t xml:space="preserve">ironmental state change matrix, </w:t>
      </w:r>
      <w:r w:rsidRPr="001B0959">
        <w:rPr>
          <w:rFonts w:ascii="Cambria" w:hAnsi="Cambria"/>
          <w:i/>
        </w:rPr>
        <w:t>F</w:t>
      </w:r>
      <w:r>
        <w:rPr>
          <w:rFonts w:ascii="Cambria" w:hAnsi="Cambria"/>
          <w:i/>
        </w:rPr>
        <w:t>,</w:t>
      </w:r>
      <w:r w:rsidRPr="006C3667">
        <w:rPr>
          <w:rFonts w:ascii="Cambria" w:hAnsi="Cambria"/>
        </w:rPr>
        <w:t xml:space="preserve"> with the IPM</w:t>
      </w:r>
      <w:r>
        <w:rPr>
          <w:rFonts w:ascii="Cambria" w:hAnsi="Cambria"/>
        </w:rPr>
        <w:t xml:space="preserve">s derived for each of the nine fire-states using a </w:t>
      </w:r>
      <w:r w:rsidRPr="006C3667">
        <w:rPr>
          <w:rFonts w:ascii="Cambria" w:hAnsi="Cambria"/>
        </w:rPr>
        <w:t>'</w:t>
      </w:r>
      <w:proofErr w:type="spellStart"/>
      <w:r w:rsidRPr="006C3667">
        <w:rPr>
          <w:rFonts w:ascii="Cambria" w:hAnsi="Cambria"/>
        </w:rPr>
        <w:t>megamatrix</w:t>
      </w:r>
      <w:proofErr w:type="spellEnd"/>
      <w:r>
        <w:rPr>
          <w:rFonts w:ascii="Cambria" w:hAnsi="Cambria"/>
        </w:rPr>
        <w:t xml:space="preserve">’ to project population demography across different environmental patches </w:t>
      </w:r>
      <w:r>
        <w:rPr>
          <w:rFonts w:ascii="Cambria" w:hAnsi="Cambria"/>
        </w:rPr>
        <w:fldChar w:fldCharType="begin" w:fldLock="1"/>
      </w:r>
      <w:r w:rsidR="00A24DBB">
        <w:rPr>
          <w:rFonts w:ascii="Cambria" w:hAnsi="Cambria"/>
        </w:rPr>
        <w:instrText>ADDIN CSL_CITATION { "citationItems" : [ { "id" : "ITEM-1", "itemData" : { "author" : [ { "dropping-particle" : "", "family" : "Pascarella", "given" : "JB", "non-dropping-particle" : "", "parse-names" : false, "suffix" : "" }, { "dropping-particle" : "", "family" : "Horvitz", "given" : "CC", "non-dropping-particle" : "", "parse-names" : false, "suffix" : "" } ], "container-title" : "Ecology", "id" : "ITEM-1", "issued" : { "date-parts" : [ [ "1998" ] ] }, "title" : "Hurricane disturbance and the population dynamics of a tropical understory shrub: megamatrix elasticity analysis", "type" : "article-journal" }, "uris" : [ "http://www.mendeley.com/documents/?uuid=e76cc452-eaed-4de0-b21f-728b36d6ebf9" ] }, { "id" : "ITEM-2", "itemData" : { "author" : [ { "dropping-particle" : "", "family" : "Valverde", "given" : "Teresa", "non-dropping-particle" : "", "parse-names" : false, "suffix" : "" }, { "dropping-particle" : "", "family" : "Silvertown", "given" : "Jonathan", "non-dropping-particle" : "", "parse-names" : false, "suffix" : "" } ], "container-title" : "Oikos", "id" : "ITEM-2", "issue" : "1", "issued" : { "date-parts" : [ [ "1997" ] ] }, "page" : "67-77", "title" : "An integrated model of demography , patch dynamics and seed dispersal in a woodland herb , Primula vulgaris", "type" : "article-journal", "volume" : "80" }, "uris" : [ "http://www.mendeley.com/documents/?uuid=bd7d3a43-e186-46bc-a136-58f2bab52b75" ] } ], "mendeley" : { "previouslyFormattedCitation" : "(Pascarella &amp; Horvitz, 1998; Valverde &amp; Silvertown, 1997)" }, "properties" : { "noteIndex" : 0 }, "schema" : "https://github.com/citation-style-language/schema/raw/master/csl-citation.json" }</w:instrText>
      </w:r>
      <w:r>
        <w:rPr>
          <w:rFonts w:ascii="Cambria" w:hAnsi="Cambria"/>
        </w:rPr>
        <w:fldChar w:fldCharType="separate"/>
      </w:r>
      <w:r w:rsidR="00B73EF2" w:rsidRPr="00B73EF2">
        <w:rPr>
          <w:rFonts w:ascii="Cambria" w:hAnsi="Cambria"/>
          <w:noProof/>
        </w:rPr>
        <w:t>(Pascarella &amp; Horvitz, 1998; Valverde &amp; Silvertown, 1997)</w:t>
      </w:r>
      <w:r>
        <w:rPr>
          <w:rFonts w:ascii="Cambria" w:hAnsi="Cambria"/>
        </w:rPr>
        <w:fldChar w:fldCharType="end"/>
      </w:r>
      <w:r>
        <w:rPr>
          <w:rFonts w:ascii="Cambria" w:hAnsi="Cambria"/>
        </w:rPr>
        <w:t xml:space="preserve">.  By classifying individuals both by size stage and patch type, this approach produces probabilities of a plant of a given size within a given environmental state transitioning to another combination of size and state.  Thus this model describes individuals moving from patch to patch as opposed to patches ‘carrying’ populations through successional states </w:t>
      </w:r>
      <w:r>
        <w:rPr>
          <w:rFonts w:ascii="Cambria" w:hAnsi="Cambria"/>
        </w:rPr>
        <w:fldChar w:fldCharType="begin" w:fldLock="1"/>
      </w:r>
      <w:r w:rsidR="00A24DBB">
        <w:rPr>
          <w:rFonts w:ascii="Cambria" w:hAnsi="Cambria"/>
        </w:rPr>
        <w:instrText>ADDIN CSL_CITATION { "citationItems" : [ { "id" : "ITEM-1", "itemData" : { "author" : [ { "dropping-particle" : "", "family" : "Caswell", "given" : "H", "non-dropping-particle" : "", "parse-names" : false, "suffix" : "" } ], "id" : "ITEM-1", "issued" : { "date-parts" : [ [ "2006" ] ] }, "title" : "Matrix population models", "type" : "book" }, "uris" : [ "http://www.mendeley.com/documents/?uuid=6f65622d-ce5b-415f-9b57-cf667280a754" ] } ], "mendeley" : { "previouslyFormattedCitation" : "(Caswell, 2006)" }, "properties" : { "noteIndex" : 0 }, "schema" : "https://github.com/citation-style-language/schema/raw/master/csl-citation.json" }</w:instrText>
      </w:r>
      <w:r>
        <w:rPr>
          <w:rFonts w:ascii="Cambria" w:hAnsi="Cambria"/>
        </w:rPr>
        <w:fldChar w:fldCharType="separate"/>
      </w:r>
      <w:r w:rsidR="00B73EF2" w:rsidRPr="00B73EF2">
        <w:rPr>
          <w:rFonts w:ascii="Cambria" w:hAnsi="Cambria"/>
          <w:noProof/>
        </w:rPr>
        <w:t>(Caswell, 2006)</w:t>
      </w:r>
      <w:r>
        <w:rPr>
          <w:rFonts w:ascii="Cambria" w:hAnsi="Cambria"/>
        </w:rPr>
        <w:fldChar w:fldCharType="end"/>
      </w:r>
      <w:r>
        <w:rPr>
          <w:rFonts w:ascii="Cambria" w:hAnsi="Cambria"/>
        </w:rPr>
        <w:t xml:space="preserve">.  Our censuses occurred in June and July, after </w:t>
      </w:r>
      <w:r w:rsidRPr="00500409">
        <w:rPr>
          <w:rFonts w:ascii="Cambria" w:hAnsi="Cambria"/>
          <w:i/>
        </w:rPr>
        <w:t xml:space="preserve">C. </w:t>
      </w:r>
      <w:proofErr w:type="spellStart"/>
      <w:r w:rsidRPr="00500409">
        <w:rPr>
          <w:rFonts w:ascii="Cambria" w:hAnsi="Cambria"/>
          <w:i/>
        </w:rPr>
        <w:t>intratropica</w:t>
      </w:r>
      <w:proofErr w:type="spellEnd"/>
      <w:r>
        <w:rPr>
          <w:rFonts w:ascii="Cambria" w:hAnsi="Cambria"/>
        </w:rPr>
        <w:t xml:space="preserve"> trees grow and recruit during the wet season (</w:t>
      </w:r>
      <w:proofErr w:type="spellStart"/>
      <w:r>
        <w:rPr>
          <w:rFonts w:ascii="Cambria" w:hAnsi="Cambria"/>
        </w:rPr>
        <w:t>December</w:t>
      </w:r>
      <w:r>
        <w:rPr>
          <w:rFonts w:ascii="Symbol" w:hAnsi="Symbol"/>
        </w:rPr>
        <w:t></w:t>
      </w:r>
      <w:r>
        <w:rPr>
          <w:rFonts w:ascii="Cambria" w:hAnsi="Cambria"/>
        </w:rPr>
        <w:t>May</w:t>
      </w:r>
      <w:proofErr w:type="spellEnd"/>
      <w:r>
        <w:rPr>
          <w:rFonts w:ascii="Cambria" w:hAnsi="Cambria"/>
        </w:rPr>
        <w:t>) and before the occu</w:t>
      </w:r>
      <w:r w:rsidR="002C7E4F">
        <w:rPr>
          <w:rFonts w:ascii="Cambria" w:hAnsi="Cambria"/>
        </w:rPr>
        <w:t>rrence of the environmental state transitions that</w:t>
      </w:r>
      <w:r>
        <w:rPr>
          <w:rFonts w:ascii="Cambria" w:hAnsi="Cambria"/>
        </w:rPr>
        <w:t xml:space="preserve"> are driven by fire disturbance later in the dry season (June–October).  Therefore, as with </w:t>
      </w:r>
      <w:proofErr w:type="spellStart"/>
      <w:r>
        <w:rPr>
          <w:rFonts w:ascii="Cambria" w:hAnsi="Cambria"/>
        </w:rPr>
        <w:t>Pascarella</w:t>
      </w:r>
      <w:proofErr w:type="spellEnd"/>
      <w:r>
        <w:rPr>
          <w:rFonts w:ascii="Cambria" w:hAnsi="Cambria"/>
        </w:rPr>
        <w:t xml:space="preserve"> and Horvitz (1998), our </w:t>
      </w:r>
      <w:proofErr w:type="spellStart"/>
      <w:r>
        <w:rPr>
          <w:rFonts w:ascii="Cambria" w:hAnsi="Cambria"/>
        </w:rPr>
        <w:t>megamatrix</w:t>
      </w:r>
      <w:proofErr w:type="spellEnd"/>
      <w:r>
        <w:rPr>
          <w:rFonts w:ascii="Cambria" w:hAnsi="Cambria"/>
        </w:rPr>
        <w:t xml:space="preserve"> first modeled the size stage transitions (using IPMs) followed by the environmental state transitions (matrix </w:t>
      </w:r>
      <w:r w:rsidRPr="008C65E1">
        <w:rPr>
          <w:rFonts w:ascii="Cambria" w:hAnsi="Cambria"/>
          <w:i/>
        </w:rPr>
        <w:t>F</w:t>
      </w:r>
      <w:r>
        <w:rPr>
          <w:rFonts w:ascii="Cambria" w:hAnsi="Cambria"/>
        </w:rPr>
        <w:t xml:space="preserve">). </w:t>
      </w:r>
    </w:p>
    <w:p w14:paraId="4E0245FE" w14:textId="77777777" w:rsidR="002C7E4F" w:rsidRDefault="002C7E4F" w:rsidP="00716E00">
      <w:pPr>
        <w:tabs>
          <w:tab w:val="left" w:pos="3330"/>
        </w:tabs>
        <w:rPr>
          <w:rFonts w:ascii="Cambria" w:hAnsi="Cambria"/>
        </w:rPr>
      </w:pPr>
    </w:p>
    <w:p w14:paraId="3A58737B" w14:textId="2A8851EB" w:rsidR="00716E00" w:rsidRDefault="00716E00" w:rsidP="00716E00">
      <w:pPr>
        <w:tabs>
          <w:tab w:val="left" w:pos="3330"/>
        </w:tabs>
        <w:rPr>
          <w:rFonts w:ascii="Cambria" w:hAnsi="Cambria"/>
        </w:rPr>
      </w:pPr>
      <w:r w:rsidRPr="006C3667">
        <w:rPr>
          <w:rFonts w:ascii="Cambria" w:hAnsi="Cambria"/>
        </w:rPr>
        <w:t>I</w:t>
      </w:r>
      <w:r w:rsidR="002C7E4F">
        <w:rPr>
          <w:rFonts w:ascii="Cambria" w:hAnsi="Cambria"/>
        </w:rPr>
        <w:t xml:space="preserve">PMs were operationalized as 265 × 265 </w:t>
      </w:r>
      <w:r>
        <w:rPr>
          <w:rFonts w:ascii="Cambria" w:hAnsi="Cambria"/>
        </w:rPr>
        <w:t xml:space="preserve">matrices of transition probabilities among </w:t>
      </w:r>
      <w:r w:rsidRPr="00500409">
        <w:rPr>
          <w:rFonts w:ascii="Cambria" w:hAnsi="Cambria"/>
          <w:i/>
        </w:rPr>
        <w:t xml:space="preserve">C. </w:t>
      </w:r>
      <w:proofErr w:type="spellStart"/>
      <w:r w:rsidRPr="00500409">
        <w:rPr>
          <w:rFonts w:ascii="Cambria" w:hAnsi="Cambria"/>
          <w:i/>
        </w:rPr>
        <w:t>intratropica</w:t>
      </w:r>
      <w:proofErr w:type="spellEnd"/>
      <w:r>
        <w:rPr>
          <w:rFonts w:ascii="Cambria" w:hAnsi="Cambria"/>
        </w:rPr>
        <w:t xml:space="preserve"> size stages and integrated with the 9 × 9 environmental state change matrix </w:t>
      </w:r>
      <w:r w:rsidRPr="00CC5DCF">
        <w:rPr>
          <w:rFonts w:ascii="Cambria" w:hAnsi="Cambria"/>
          <w:i/>
        </w:rPr>
        <w:t>F</w:t>
      </w:r>
      <w:r w:rsidRPr="006C3667">
        <w:rPr>
          <w:rFonts w:ascii="Cambria" w:hAnsi="Cambria"/>
        </w:rPr>
        <w:t xml:space="preserve"> </w:t>
      </w:r>
      <w:r>
        <w:rPr>
          <w:rFonts w:ascii="Cambria" w:hAnsi="Cambria"/>
        </w:rPr>
        <w:t>to construct</w:t>
      </w:r>
      <w:r w:rsidRPr="006C3667">
        <w:rPr>
          <w:rFonts w:ascii="Cambria" w:hAnsi="Cambria"/>
        </w:rPr>
        <w:t xml:space="preserve"> </w:t>
      </w:r>
      <w:proofErr w:type="spellStart"/>
      <w:r w:rsidRPr="006C3667">
        <w:rPr>
          <w:rFonts w:ascii="Cambria" w:hAnsi="Cambria"/>
        </w:rPr>
        <w:t>megamatrix</w:t>
      </w:r>
      <w:proofErr w:type="spellEnd"/>
      <w:r w:rsidRPr="006C3667">
        <w:rPr>
          <w:rFonts w:ascii="Cambria" w:hAnsi="Cambria"/>
        </w:rPr>
        <w:t xml:space="preserve"> </w:t>
      </w:r>
      <w:r w:rsidRPr="009E5652">
        <w:rPr>
          <w:rFonts w:ascii="Cambria" w:hAnsi="Cambria"/>
          <w:i/>
        </w:rPr>
        <w:t>M</w:t>
      </w:r>
      <w:r w:rsidR="002C7E4F">
        <w:rPr>
          <w:rFonts w:ascii="Cambria" w:hAnsi="Cambria"/>
        </w:rPr>
        <w:t xml:space="preserve">, following </w:t>
      </w:r>
      <w:proofErr w:type="spellStart"/>
      <w:r w:rsidR="002C7E4F">
        <w:rPr>
          <w:rFonts w:ascii="Cambria" w:hAnsi="Cambria"/>
        </w:rPr>
        <w:t>Pascaralla</w:t>
      </w:r>
      <w:proofErr w:type="spellEnd"/>
      <w:r w:rsidR="002C7E4F">
        <w:rPr>
          <w:rFonts w:ascii="Cambria" w:hAnsi="Cambria"/>
        </w:rPr>
        <w:t xml:space="preserve"> and Horvitz (1998), </w:t>
      </w:r>
      <w:r w:rsidRPr="006C3667">
        <w:rPr>
          <w:rFonts w:ascii="Cambria" w:hAnsi="Cambria"/>
        </w:rPr>
        <w:t xml:space="preserve">as follows: </w:t>
      </w:r>
    </w:p>
    <w:p w14:paraId="7C9F1F8E" w14:textId="77777777" w:rsidR="002C7E4F" w:rsidRPr="006C3667" w:rsidRDefault="002C7E4F" w:rsidP="00716E00">
      <w:pPr>
        <w:tabs>
          <w:tab w:val="left" w:pos="3330"/>
        </w:tabs>
        <w:rPr>
          <w:rFonts w:ascii="Cambria" w:hAnsi="Cambria"/>
        </w:rPr>
      </w:pPr>
    </w:p>
    <w:p w14:paraId="6E52FA8A" w14:textId="77777777" w:rsidR="00716E00" w:rsidRPr="006C3667" w:rsidRDefault="00716E00" w:rsidP="00716E00">
      <w:pPr>
        <w:tabs>
          <w:tab w:val="left" w:pos="3330"/>
        </w:tabs>
        <w:jc w:val="center"/>
      </w:pPr>
      <w:r w:rsidRPr="009E5652">
        <w:rPr>
          <w:i/>
        </w:rPr>
        <w:t>M</w:t>
      </w:r>
      <w:r w:rsidRPr="006C3667">
        <w:t xml:space="preserve"> = (</w:t>
      </w:r>
      <w:r w:rsidRPr="009E5652">
        <w:rPr>
          <w:i/>
        </w:rPr>
        <w:t>F</w:t>
      </w:r>
      <w:r w:rsidRPr="006C3667">
        <w:t xml:space="preserve"> </w:t>
      </w:r>
      <w:r w:rsidRPr="006C3667">
        <w:rPr>
          <w:rFonts w:ascii="Cambria Math" w:hAnsi="Cambria Math"/>
        </w:rPr>
        <w:t>⨂</w:t>
      </w:r>
      <w:r w:rsidRPr="009E5652">
        <w:rPr>
          <w:i/>
        </w:rPr>
        <w:t xml:space="preserve"> I</w:t>
      </w:r>
      <w:r w:rsidRPr="006C3667">
        <w:t xml:space="preserve">) × </w:t>
      </w:r>
      <w:r w:rsidRPr="009E5652">
        <w:rPr>
          <w:i/>
        </w:rPr>
        <w:t>A</w:t>
      </w:r>
      <w:r w:rsidRPr="006C3667">
        <w:rPr>
          <w:vertAlign w:val="subscript"/>
        </w:rPr>
        <w:t>1</w:t>
      </w:r>
      <w:proofErr w:type="gramStart"/>
      <w:r>
        <w:rPr>
          <w:vertAlign w:val="subscript"/>
        </w:rPr>
        <w:t>,</w:t>
      </w:r>
      <w:r w:rsidRPr="006C3667">
        <w:rPr>
          <w:vertAlign w:val="subscript"/>
        </w:rPr>
        <w:t>9</w:t>
      </w:r>
      <w:proofErr w:type="gramEnd"/>
    </w:p>
    <w:p w14:paraId="7F8A8D2F" w14:textId="77777777" w:rsidR="002C7E4F" w:rsidRDefault="002C7E4F" w:rsidP="00716E00">
      <w:pPr>
        <w:tabs>
          <w:tab w:val="left" w:pos="3330"/>
        </w:tabs>
        <w:rPr>
          <w:rFonts w:ascii="Cambria" w:hAnsi="Cambria"/>
        </w:rPr>
      </w:pPr>
    </w:p>
    <w:p w14:paraId="00627D91" w14:textId="518A640B" w:rsidR="00716E00" w:rsidRDefault="002C7E4F" w:rsidP="00716E00">
      <w:pPr>
        <w:tabs>
          <w:tab w:val="left" w:pos="3330"/>
        </w:tabs>
        <w:rPr>
          <w:rFonts w:ascii="Cambria" w:hAnsi="Cambria"/>
        </w:rPr>
      </w:pPr>
      <w:r>
        <w:rPr>
          <w:rFonts w:ascii="Cambria" w:hAnsi="Cambria"/>
        </w:rPr>
        <w:t xml:space="preserve">Where </w:t>
      </w:r>
      <w:r w:rsidRPr="009E5652">
        <w:rPr>
          <w:i/>
        </w:rPr>
        <w:t>F</w:t>
      </w:r>
      <w:r w:rsidRPr="006C3667">
        <w:t xml:space="preserve"> </w:t>
      </w:r>
      <w:r w:rsidRPr="006C3667">
        <w:rPr>
          <w:rFonts w:ascii="Cambria Math" w:hAnsi="Cambria Math"/>
        </w:rPr>
        <w:t>⨂</w:t>
      </w:r>
      <w:r w:rsidRPr="009E5652">
        <w:rPr>
          <w:i/>
        </w:rPr>
        <w:t xml:space="preserve"> I</w:t>
      </w:r>
      <w:r>
        <w:rPr>
          <w:i/>
        </w:rPr>
        <w:t xml:space="preserve"> </w:t>
      </w:r>
      <w:r>
        <w:t xml:space="preserve">is </w:t>
      </w:r>
      <w:r w:rsidRPr="006C3667">
        <w:rPr>
          <w:rFonts w:ascii="Cambria" w:hAnsi="Cambria"/>
        </w:rPr>
        <w:t xml:space="preserve">the </w:t>
      </w:r>
      <w:proofErr w:type="spellStart"/>
      <w:r w:rsidRPr="006C3667">
        <w:rPr>
          <w:rFonts w:ascii="Cambria" w:hAnsi="Cambria"/>
        </w:rPr>
        <w:t>Kronecker</w:t>
      </w:r>
      <w:proofErr w:type="spellEnd"/>
      <w:r w:rsidRPr="006C3667">
        <w:rPr>
          <w:rFonts w:ascii="Cambria" w:hAnsi="Cambria"/>
        </w:rPr>
        <w:t xml:space="preserve"> product of </w:t>
      </w:r>
      <w:r w:rsidRPr="009E5652">
        <w:rPr>
          <w:rFonts w:ascii="Cambria" w:hAnsi="Cambria"/>
          <w:i/>
        </w:rPr>
        <w:t>F</w:t>
      </w:r>
      <w:r>
        <w:rPr>
          <w:rFonts w:ascii="Cambria" w:hAnsi="Cambria"/>
        </w:rPr>
        <w:t>, the environmental state change matrix</w:t>
      </w:r>
      <w:r w:rsidRPr="006C3667">
        <w:rPr>
          <w:rFonts w:ascii="Cambria" w:hAnsi="Cambria"/>
        </w:rPr>
        <w:t xml:space="preserve"> described above, and </w:t>
      </w:r>
      <w:r w:rsidRPr="009E5652">
        <w:rPr>
          <w:rFonts w:ascii="Cambria" w:hAnsi="Cambria"/>
          <w:i/>
        </w:rPr>
        <w:t>I</w:t>
      </w:r>
      <w:r w:rsidRPr="006C3667">
        <w:rPr>
          <w:rFonts w:ascii="Cambria" w:hAnsi="Cambria"/>
        </w:rPr>
        <w:t>, an identity matrix of the same dimensio</w:t>
      </w:r>
      <w:r>
        <w:rPr>
          <w:rFonts w:ascii="Cambria" w:hAnsi="Cambria"/>
        </w:rPr>
        <w:t>ns as each IPM output.  I</w:t>
      </w:r>
      <w:r w:rsidR="00716E00">
        <w:rPr>
          <w:rFonts w:ascii="Cambria" w:hAnsi="Cambria"/>
        </w:rPr>
        <w:t xml:space="preserve">n the equation above, </w:t>
      </w:r>
      <w:r w:rsidR="00716E00" w:rsidRPr="009E5652">
        <w:rPr>
          <w:rFonts w:ascii="Cambria" w:hAnsi="Cambria"/>
          <w:i/>
        </w:rPr>
        <w:t>A</w:t>
      </w:r>
      <w:r w:rsidR="00716E00" w:rsidRPr="006C3667">
        <w:rPr>
          <w:rFonts w:ascii="Cambria" w:hAnsi="Cambria"/>
          <w:vertAlign w:val="subscript"/>
        </w:rPr>
        <w:t>1</w:t>
      </w:r>
      <w:proofErr w:type="gramStart"/>
      <w:r w:rsidR="00716E00">
        <w:rPr>
          <w:rFonts w:ascii="Cambria" w:hAnsi="Cambria"/>
          <w:vertAlign w:val="subscript"/>
        </w:rPr>
        <w:t>,</w:t>
      </w:r>
      <w:r w:rsidR="00716E00" w:rsidRPr="006C3667">
        <w:rPr>
          <w:rFonts w:ascii="Cambria" w:hAnsi="Cambria"/>
          <w:vertAlign w:val="subscript"/>
        </w:rPr>
        <w:t>9</w:t>
      </w:r>
      <w:proofErr w:type="gramEnd"/>
      <w:r w:rsidR="00716E00" w:rsidRPr="006C3667">
        <w:rPr>
          <w:rFonts w:ascii="Cambria" w:hAnsi="Cambria"/>
        </w:rPr>
        <w:t xml:space="preserve"> is a sparse mat</w:t>
      </w:r>
      <w:r w:rsidR="00716E00">
        <w:rPr>
          <w:rFonts w:ascii="Cambria" w:hAnsi="Cambria"/>
        </w:rPr>
        <w:t>rix constructed of each of the nine</w:t>
      </w:r>
      <w:r w:rsidR="00716E00" w:rsidRPr="006C3667">
        <w:rPr>
          <w:rFonts w:ascii="Cambria" w:hAnsi="Cambria"/>
        </w:rPr>
        <w:t xml:space="preserve"> IPMs </w:t>
      </w:r>
      <w:r w:rsidR="00716E00">
        <w:rPr>
          <w:rFonts w:ascii="Cambria" w:hAnsi="Cambria"/>
        </w:rPr>
        <w:t>(</w:t>
      </w:r>
      <w:r w:rsidR="00716E00" w:rsidRPr="000378A8">
        <w:rPr>
          <w:rFonts w:ascii="Cambria" w:hAnsi="Cambria"/>
          <w:i/>
        </w:rPr>
        <w:t>A</w:t>
      </w:r>
      <w:r w:rsidR="00716E00" w:rsidRPr="007701E0">
        <w:rPr>
          <w:rFonts w:ascii="Cambria" w:hAnsi="Cambria"/>
          <w:vertAlign w:val="subscript"/>
        </w:rPr>
        <w:t>1</w:t>
      </w:r>
      <w:r w:rsidR="00716E00">
        <w:rPr>
          <w:rFonts w:ascii="Cambria" w:hAnsi="Cambria"/>
        </w:rPr>
        <w:t>,</w:t>
      </w:r>
      <w:r w:rsidR="00716E00" w:rsidRPr="000378A8">
        <w:rPr>
          <w:rFonts w:ascii="Cambria" w:hAnsi="Cambria"/>
          <w:i/>
        </w:rPr>
        <w:t>A</w:t>
      </w:r>
      <w:r w:rsidR="00716E00" w:rsidRPr="007701E0">
        <w:rPr>
          <w:rFonts w:ascii="Cambria" w:hAnsi="Cambria"/>
          <w:vertAlign w:val="subscript"/>
        </w:rPr>
        <w:t>2</w:t>
      </w:r>
      <w:r w:rsidR="00716E00">
        <w:rPr>
          <w:rFonts w:ascii="Cambria" w:hAnsi="Cambria"/>
        </w:rPr>
        <w:t>,…</w:t>
      </w:r>
      <w:r w:rsidR="00716E00" w:rsidRPr="00123DA5">
        <w:rPr>
          <w:rFonts w:ascii="Cambria" w:hAnsi="Cambria"/>
          <w:i/>
        </w:rPr>
        <w:t>A</w:t>
      </w:r>
      <w:r w:rsidR="00716E00" w:rsidRPr="00123DA5">
        <w:rPr>
          <w:rFonts w:ascii="Cambria" w:hAnsi="Cambria"/>
        </w:rPr>
        <w:t>9</w:t>
      </w:r>
      <w:r w:rsidR="00123DA5">
        <w:rPr>
          <w:rFonts w:ascii="Cambria" w:hAnsi="Cambria"/>
        </w:rPr>
        <w:t xml:space="preserve">; </w:t>
      </w:r>
      <w:r w:rsidR="00716E00">
        <w:rPr>
          <w:rFonts w:ascii="Cambria" w:hAnsi="Cambria"/>
        </w:rPr>
        <w:t>correspond</w:t>
      </w:r>
      <w:r w:rsidR="00123DA5">
        <w:rPr>
          <w:rFonts w:ascii="Cambria" w:hAnsi="Cambria"/>
        </w:rPr>
        <w:t>ing</w:t>
      </w:r>
      <w:r>
        <w:rPr>
          <w:rFonts w:ascii="Cambria" w:hAnsi="Cambria"/>
        </w:rPr>
        <w:t xml:space="preserve"> to each combination of fire disturbance type and grove state</w:t>
      </w:r>
      <w:r w:rsidR="00123DA5">
        <w:rPr>
          <w:rFonts w:ascii="Cambria" w:hAnsi="Cambria"/>
        </w:rPr>
        <w:t>)</w:t>
      </w:r>
      <w:r w:rsidR="00716E00" w:rsidRPr="006C3667">
        <w:rPr>
          <w:rFonts w:ascii="Cambria" w:hAnsi="Cambria"/>
        </w:rPr>
        <w:t xml:space="preserve"> arranged diagonally as </w:t>
      </w:r>
      <w:proofErr w:type="spellStart"/>
      <w:r w:rsidR="00716E00" w:rsidRPr="006C3667">
        <w:rPr>
          <w:rFonts w:ascii="Cambria" w:hAnsi="Cambria"/>
        </w:rPr>
        <w:t>submatrices</w:t>
      </w:r>
      <w:proofErr w:type="spellEnd"/>
      <w:r w:rsidR="00716E00" w:rsidRPr="006C3667">
        <w:rPr>
          <w:rFonts w:ascii="Cambria" w:hAnsi="Cambria"/>
        </w:rPr>
        <w:t xml:space="preserve"> among equally sized </w:t>
      </w:r>
      <w:proofErr w:type="spellStart"/>
      <w:r w:rsidR="00716E00" w:rsidRPr="006C3667">
        <w:rPr>
          <w:rFonts w:ascii="Cambria" w:hAnsi="Cambria"/>
        </w:rPr>
        <w:t>submatrices</w:t>
      </w:r>
      <w:proofErr w:type="spellEnd"/>
      <w:r w:rsidR="00716E00" w:rsidRPr="006C3667">
        <w:rPr>
          <w:rFonts w:ascii="Cambria" w:hAnsi="Cambria"/>
        </w:rPr>
        <w:t xml:space="preserve"> (</w:t>
      </w:r>
      <w:r w:rsidR="00716E00" w:rsidRPr="009E5652">
        <w:rPr>
          <w:rFonts w:ascii="Cambria" w:hAnsi="Cambria"/>
          <w:i/>
        </w:rPr>
        <w:t>Z</w:t>
      </w:r>
      <w:r w:rsidR="00716E00" w:rsidRPr="006C3667">
        <w:rPr>
          <w:rFonts w:ascii="Cambria" w:hAnsi="Cambria"/>
        </w:rPr>
        <w:t>) composed of all zeros:</w:t>
      </w:r>
    </w:p>
    <w:p w14:paraId="0998C3ED" w14:textId="77777777" w:rsidR="002C7E4F" w:rsidRPr="006C3667" w:rsidRDefault="002C7E4F" w:rsidP="00716E00">
      <w:pPr>
        <w:tabs>
          <w:tab w:val="left" w:pos="3330"/>
        </w:tabs>
        <w:rPr>
          <w:rFonts w:ascii="Cambria" w:hAnsi="Cambria"/>
        </w:rPr>
      </w:pPr>
    </w:p>
    <w:p w14:paraId="5D77D9D9" w14:textId="77777777" w:rsidR="00716E00" w:rsidRPr="006C3667" w:rsidRDefault="00D31DD0" w:rsidP="00716E00">
      <w:pPr>
        <w:tabs>
          <w:tab w:val="left" w:pos="3330"/>
        </w:tabs>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Z</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rPr>
                      <m:t>Z</m:t>
                    </m:r>
                  </m:e>
                  <m:e>
                    <m:sSub>
                      <m:sSubPr>
                        <m:ctrlPr>
                          <w:rPr>
                            <w:rFonts w:ascii="Cambria Math" w:hAnsi="Cambria Math"/>
                            <w:i/>
                          </w:rPr>
                        </m:ctrlPr>
                      </m:sSubPr>
                      <m:e>
                        <m:r>
                          <w:rPr>
                            <w:rFonts w:ascii="Cambria Math" w:hAnsi="Cambria Math"/>
                          </w:rPr>
                          <m:t>A</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Z</m:t>
                    </m:r>
                  </m:e>
                </m:mr>
                <m:mr>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9</m:t>
                        </m:r>
                      </m:sub>
                    </m:sSub>
                  </m:e>
                </m:mr>
              </m:m>
            </m:e>
          </m:d>
        </m:oMath>
      </m:oMathPara>
    </w:p>
    <w:p w14:paraId="65DE325C" w14:textId="77777777" w:rsidR="00123DA5" w:rsidRDefault="00123DA5" w:rsidP="00716E00">
      <w:pPr>
        <w:tabs>
          <w:tab w:val="left" w:pos="3330"/>
        </w:tabs>
        <w:rPr>
          <w:rFonts w:ascii="Cambria" w:hAnsi="Cambria"/>
          <w:i/>
        </w:rPr>
      </w:pPr>
    </w:p>
    <w:p w14:paraId="0C29443A" w14:textId="77777777" w:rsidR="00D31DD0" w:rsidRPr="00D31DD0" w:rsidRDefault="00716E00" w:rsidP="00D31DD0">
      <w:pPr>
        <w:pStyle w:val="NormalWeb"/>
        <w:rPr>
          <w:rFonts w:ascii="Cambria" w:hAnsi="Cambria"/>
          <w:sz w:val="24"/>
          <w:szCs w:val="24"/>
        </w:rPr>
      </w:pPr>
      <w:r w:rsidRPr="00D31DD0">
        <w:rPr>
          <w:rFonts w:ascii="Cambria" w:hAnsi="Cambria"/>
          <w:sz w:val="24"/>
          <w:szCs w:val="24"/>
        </w:rPr>
        <w:t xml:space="preserve">This produced a final, </w:t>
      </w:r>
      <w:r w:rsidR="00123DA5" w:rsidRPr="00D31DD0">
        <w:rPr>
          <w:rFonts w:ascii="Cambria" w:hAnsi="Cambria"/>
          <w:sz w:val="24"/>
          <w:szCs w:val="24"/>
        </w:rPr>
        <w:t>2385 × 2385</w:t>
      </w:r>
      <w:r w:rsidRPr="00D31DD0">
        <w:rPr>
          <w:rFonts w:ascii="Cambria" w:hAnsi="Cambria"/>
          <w:sz w:val="24"/>
          <w:szCs w:val="24"/>
        </w:rPr>
        <w:t xml:space="preserve"> matrix, </w:t>
      </w:r>
      <w:proofErr w:type="spellStart"/>
      <w:r w:rsidRPr="00D31DD0">
        <w:rPr>
          <w:rFonts w:ascii="Cambria" w:hAnsi="Cambria"/>
          <w:sz w:val="24"/>
          <w:szCs w:val="24"/>
        </w:rPr>
        <w:t>megamatrix</w:t>
      </w:r>
      <w:proofErr w:type="spellEnd"/>
      <w:r w:rsidRPr="00D31DD0">
        <w:rPr>
          <w:rFonts w:ascii="Cambria" w:hAnsi="Cambria"/>
          <w:sz w:val="24"/>
          <w:szCs w:val="24"/>
        </w:rPr>
        <w:t xml:space="preserve"> </w:t>
      </w:r>
      <w:r w:rsidRPr="00D31DD0">
        <w:rPr>
          <w:rFonts w:ascii="Cambria" w:hAnsi="Cambria"/>
          <w:i/>
          <w:sz w:val="24"/>
          <w:szCs w:val="24"/>
        </w:rPr>
        <w:t>M</w:t>
      </w:r>
      <w:r w:rsidRPr="00D31DD0">
        <w:rPr>
          <w:rFonts w:ascii="Cambria" w:hAnsi="Cambria"/>
          <w:sz w:val="24"/>
          <w:szCs w:val="24"/>
        </w:rPr>
        <w:t>, from which it was possible to project long-term stability (lambda) for the entire population across all environmental states.  To our knowledge, this is the first application of this approach to patch-based environmental state changes using IPMs in place of traditional population matrix models</w:t>
      </w:r>
      <w:r w:rsidR="00123DA5" w:rsidRPr="00D31DD0">
        <w:rPr>
          <w:rFonts w:ascii="Cambria" w:hAnsi="Cambria"/>
          <w:sz w:val="24"/>
          <w:szCs w:val="24"/>
        </w:rPr>
        <w:t>.</w:t>
      </w:r>
      <w:r w:rsidR="00D31DD0" w:rsidRPr="00D31DD0">
        <w:rPr>
          <w:rFonts w:ascii="Cambria" w:hAnsi="Cambria"/>
          <w:sz w:val="24"/>
          <w:szCs w:val="24"/>
        </w:rPr>
        <w:t xml:space="preserve"> </w:t>
      </w:r>
    </w:p>
    <w:p w14:paraId="5D42B113" w14:textId="77777777" w:rsidR="00D31DD0" w:rsidRPr="00D31DD0" w:rsidRDefault="00D31DD0" w:rsidP="00D31DD0">
      <w:pPr>
        <w:pStyle w:val="NormalWeb"/>
        <w:ind w:left="480" w:hanging="480"/>
        <w:rPr>
          <w:rFonts w:ascii="Cambria" w:hAnsi="Cambria"/>
          <w:sz w:val="24"/>
          <w:szCs w:val="24"/>
        </w:rPr>
      </w:pPr>
    </w:p>
    <w:p w14:paraId="732B3D0A" w14:textId="262B1148" w:rsidR="00D31DD0" w:rsidRPr="00D31DD0" w:rsidRDefault="00D31DD0" w:rsidP="00D31DD0">
      <w:pPr>
        <w:pStyle w:val="NormalWeb"/>
        <w:ind w:left="480" w:hanging="480"/>
        <w:rPr>
          <w:rFonts w:ascii="Cambria" w:hAnsi="Cambria"/>
          <w:sz w:val="24"/>
          <w:szCs w:val="24"/>
        </w:rPr>
      </w:pPr>
      <w:r w:rsidRPr="00D31DD0">
        <w:rPr>
          <w:rFonts w:ascii="Cambria" w:hAnsi="Cambria"/>
          <w:sz w:val="24"/>
          <w:szCs w:val="24"/>
        </w:rPr>
        <w:t>REFERENCES</w:t>
      </w:r>
    </w:p>
    <w:p w14:paraId="5CD199B3" w14:textId="77777777" w:rsidR="00D31DD0" w:rsidRPr="00A24DBB" w:rsidRDefault="00D31DD0" w:rsidP="00D31DD0">
      <w:pPr>
        <w:pStyle w:val="NormalWeb"/>
        <w:ind w:left="480" w:hanging="480"/>
        <w:rPr>
          <w:rFonts w:ascii="Cambria" w:hAnsi="Cambria"/>
          <w:noProof/>
          <w:sz w:val="24"/>
        </w:rPr>
      </w:pPr>
      <w:r>
        <w:rPr>
          <w:rFonts w:ascii="Cambria" w:hAnsi="Cambria"/>
        </w:rPr>
        <w:fldChar w:fldCharType="begin" w:fldLock="1"/>
      </w:r>
      <w:r>
        <w:rPr>
          <w:rFonts w:ascii="Cambria" w:hAnsi="Cambria"/>
        </w:rPr>
        <w:instrText xml:space="preserve">ADDIN Mendeley Bibliography CSL_BIBLIOGRAPHY </w:instrText>
      </w:r>
      <w:r>
        <w:rPr>
          <w:rFonts w:ascii="Cambria" w:hAnsi="Cambria"/>
        </w:rPr>
        <w:fldChar w:fldCharType="separate"/>
      </w:r>
      <w:r w:rsidRPr="00A24DBB">
        <w:rPr>
          <w:rFonts w:ascii="Cambria" w:hAnsi="Cambria"/>
          <w:noProof/>
          <w:sz w:val="24"/>
        </w:rPr>
        <w:t xml:space="preserve">Caswell, H. (2006). </w:t>
      </w:r>
      <w:r w:rsidRPr="00A24DBB">
        <w:rPr>
          <w:rFonts w:ascii="Cambria" w:hAnsi="Cambria"/>
          <w:i/>
          <w:iCs/>
          <w:noProof/>
          <w:sz w:val="24"/>
        </w:rPr>
        <w:t>Matrix population models</w:t>
      </w:r>
      <w:r w:rsidRPr="00A24DBB">
        <w:rPr>
          <w:rFonts w:ascii="Cambria" w:hAnsi="Cambria"/>
          <w:noProof/>
          <w:sz w:val="24"/>
        </w:rPr>
        <w:t>. Retrieved from http://onlinelibrary.wiley.com/doi/10.1002/9780470057339.vam006m/full</w:t>
      </w:r>
    </w:p>
    <w:p w14:paraId="7002459C"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Easterling, M. R., Ellner, S. P., &amp; Dixon, P. M. (2000). Size-specific sensitivity: applying a new structured population model. </w:t>
      </w:r>
      <w:r w:rsidRPr="00A24DBB">
        <w:rPr>
          <w:rFonts w:ascii="Cambria" w:hAnsi="Cambria"/>
          <w:i/>
          <w:iCs/>
          <w:noProof/>
          <w:sz w:val="24"/>
        </w:rPr>
        <w:t>Ecology</w:t>
      </w:r>
      <w:r w:rsidRPr="00A24DBB">
        <w:rPr>
          <w:rFonts w:ascii="Cambria" w:hAnsi="Cambria"/>
          <w:noProof/>
          <w:sz w:val="24"/>
        </w:rPr>
        <w:t xml:space="preserve">, </w:t>
      </w:r>
      <w:r w:rsidRPr="00A24DBB">
        <w:rPr>
          <w:rFonts w:ascii="Cambria" w:hAnsi="Cambria"/>
          <w:i/>
          <w:iCs/>
          <w:noProof/>
          <w:sz w:val="24"/>
        </w:rPr>
        <w:t>81</w:t>
      </w:r>
      <w:r w:rsidRPr="00A24DBB">
        <w:rPr>
          <w:rFonts w:ascii="Cambria" w:hAnsi="Cambria"/>
          <w:noProof/>
          <w:sz w:val="24"/>
        </w:rPr>
        <w:t>(3), 694–708.</w:t>
      </w:r>
    </w:p>
    <w:p w14:paraId="22356CDB"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Edwards, A. C., &amp; Russell-Smith, J. (2009). Ecological thresholds and the status of fire-sensitive vegetation in western Arnhem Land, northern Australia: implications for management. </w:t>
      </w:r>
      <w:r w:rsidRPr="00A24DBB">
        <w:rPr>
          <w:rFonts w:ascii="Cambria" w:hAnsi="Cambria"/>
          <w:i/>
          <w:iCs/>
          <w:noProof/>
          <w:sz w:val="24"/>
        </w:rPr>
        <w:t>International Journal of Wildland Fire</w:t>
      </w:r>
      <w:r w:rsidRPr="00A24DBB">
        <w:rPr>
          <w:rFonts w:ascii="Cambria" w:hAnsi="Cambria"/>
          <w:noProof/>
          <w:sz w:val="24"/>
        </w:rPr>
        <w:t xml:space="preserve">, </w:t>
      </w:r>
      <w:r w:rsidRPr="00A24DBB">
        <w:rPr>
          <w:rFonts w:ascii="Cambria" w:hAnsi="Cambria"/>
          <w:i/>
          <w:iCs/>
          <w:noProof/>
          <w:sz w:val="24"/>
        </w:rPr>
        <w:t>18</w:t>
      </w:r>
      <w:r w:rsidRPr="00A24DBB">
        <w:rPr>
          <w:rFonts w:ascii="Cambria" w:hAnsi="Cambria"/>
          <w:noProof/>
          <w:sz w:val="24"/>
        </w:rPr>
        <w:t>(2), 127–146. Retrieved from &lt;Go to ISI&gt;://CABI:20093102677</w:t>
      </w:r>
    </w:p>
    <w:p w14:paraId="769DD8B5"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Ellner, S. P., &amp; Rees, M. (2006). Integral projection models for species with complex demography. </w:t>
      </w:r>
      <w:r w:rsidRPr="00A24DBB">
        <w:rPr>
          <w:rFonts w:ascii="Cambria" w:hAnsi="Cambria"/>
          <w:i/>
          <w:iCs/>
          <w:noProof/>
          <w:sz w:val="24"/>
        </w:rPr>
        <w:t>The American Naturalist</w:t>
      </w:r>
      <w:r w:rsidRPr="00A24DBB">
        <w:rPr>
          <w:rFonts w:ascii="Cambria" w:hAnsi="Cambria"/>
          <w:noProof/>
          <w:sz w:val="24"/>
        </w:rPr>
        <w:t xml:space="preserve">, </w:t>
      </w:r>
      <w:r w:rsidRPr="00A24DBB">
        <w:rPr>
          <w:rFonts w:ascii="Cambria" w:hAnsi="Cambria"/>
          <w:i/>
          <w:iCs/>
          <w:noProof/>
          <w:sz w:val="24"/>
        </w:rPr>
        <w:t>167</w:t>
      </w:r>
      <w:r w:rsidRPr="00A24DBB">
        <w:rPr>
          <w:rFonts w:ascii="Cambria" w:hAnsi="Cambria"/>
          <w:noProof/>
          <w:sz w:val="24"/>
        </w:rPr>
        <w:t>(3), 410–428.</w:t>
      </w:r>
    </w:p>
    <w:p w14:paraId="208F9F14"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Elston, D., Moss, R., &amp; Boulinier, T. (2001). Analysis of aggregation, a worked example: numbers of ticks on red grouse chicks. …. Retrieved from http://journals.cambridge.org/production/action/cjoGetFulltext?fulltextid=82702</w:t>
      </w:r>
    </w:p>
    <w:p w14:paraId="40D6778A"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Horvitz, C., &amp; Schemske, D. (1986). Seed dispersal and environmental heterogeneity in a neotropical herb: a model of population and patch dynamics. </w:t>
      </w:r>
      <w:r w:rsidRPr="00A24DBB">
        <w:rPr>
          <w:rFonts w:ascii="Cambria" w:hAnsi="Cambria"/>
          <w:i/>
          <w:iCs/>
          <w:noProof/>
          <w:sz w:val="24"/>
        </w:rPr>
        <w:t>Frugivores and seed dispersal. Dr. W.  …</w:t>
      </w:r>
      <w:r w:rsidRPr="00A24DBB">
        <w:rPr>
          <w:rFonts w:ascii="Cambria" w:hAnsi="Cambria"/>
          <w:noProof/>
          <w:sz w:val="24"/>
        </w:rPr>
        <w:t>. Retrieved from http://www.bio.miami.edu/horvitz/bil235/brasil08/HORVITZCC_SCHEMSKEDW1986_OP.PDF</w:t>
      </w:r>
    </w:p>
    <w:p w14:paraId="7EB4C897"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Menges, E. (2000). Population viability analyses in plants: challenges and opportunities. </w:t>
      </w:r>
      <w:r w:rsidRPr="00A24DBB">
        <w:rPr>
          <w:rFonts w:ascii="Cambria" w:hAnsi="Cambria"/>
          <w:i/>
          <w:iCs/>
          <w:noProof/>
          <w:sz w:val="24"/>
        </w:rPr>
        <w:t>Trends in Ecology &amp; Evolution</w:t>
      </w:r>
      <w:r w:rsidRPr="00A24DBB">
        <w:rPr>
          <w:rFonts w:ascii="Cambria" w:hAnsi="Cambria"/>
          <w:noProof/>
          <w:sz w:val="24"/>
        </w:rPr>
        <w:t>. Retrieved from http://www.sciencedirect.com/science/article/pii/S0169534799017632</w:t>
      </w:r>
    </w:p>
    <w:p w14:paraId="7880326D"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Pascarella, J., &amp; Horvitz, C. (1998). Hurricane disturbance and the population dynamics of a tropical understory shrub: megamatrix elasticity analysis. </w:t>
      </w:r>
      <w:r w:rsidRPr="00A24DBB">
        <w:rPr>
          <w:rFonts w:ascii="Cambria" w:hAnsi="Cambria"/>
          <w:i/>
          <w:iCs/>
          <w:noProof/>
          <w:sz w:val="24"/>
        </w:rPr>
        <w:t>Ecology</w:t>
      </w:r>
      <w:r w:rsidRPr="00A24DBB">
        <w:rPr>
          <w:rFonts w:ascii="Cambria" w:hAnsi="Cambria"/>
          <w:noProof/>
          <w:sz w:val="24"/>
        </w:rPr>
        <w:t>. Retrieved from http://www.esajournals.org/doi/abs/10.1890/0012-9658(1998)079[0547:HDATPD]2.0.CO;2</w:t>
      </w:r>
    </w:p>
    <w:p w14:paraId="691B7D40"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Prior, L. D., McCaw, W. L., Grierson, P. F., Murphy, B. P., &amp; Bowman, D. M. J. S. (2011). Population structures of the widespread Australian conifer Callitris columellaris are a bio-indicator of continental environmental change. </w:t>
      </w:r>
      <w:r w:rsidRPr="00A24DBB">
        <w:rPr>
          <w:rFonts w:ascii="Cambria" w:hAnsi="Cambria"/>
          <w:i/>
          <w:iCs/>
          <w:noProof/>
          <w:sz w:val="24"/>
        </w:rPr>
        <w:t>Forest Ecology and Management</w:t>
      </w:r>
      <w:r w:rsidRPr="00A24DBB">
        <w:rPr>
          <w:rFonts w:ascii="Cambria" w:hAnsi="Cambria"/>
          <w:noProof/>
          <w:sz w:val="24"/>
        </w:rPr>
        <w:t xml:space="preserve">, </w:t>
      </w:r>
      <w:r w:rsidRPr="00A24DBB">
        <w:rPr>
          <w:rFonts w:ascii="Cambria" w:hAnsi="Cambria"/>
          <w:i/>
          <w:iCs/>
          <w:noProof/>
          <w:sz w:val="24"/>
        </w:rPr>
        <w:t>262</w:t>
      </w:r>
      <w:r w:rsidRPr="00A24DBB">
        <w:rPr>
          <w:rFonts w:ascii="Cambria" w:hAnsi="Cambria"/>
          <w:noProof/>
          <w:sz w:val="24"/>
        </w:rPr>
        <w:t>(2), 252–262. doi:10.1016/j.foreco.2011.03.030</w:t>
      </w:r>
    </w:p>
    <w:p w14:paraId="5EA0F19D"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Stubben, C., &amp; Milligan, B. (2007). Estimating and analyzing demographic models using the popbio package in R. </w:t>
      </w:r>
      <w:r w:rsidRPr="00A24DBB">
        <w:rPr>
          <w:rFonts w:ascii="Cambria" w:hAnsi="Cambria"/>
          <w:i/>
          <w:iCs/>
          <w:noProof/>
          <w:sz w:val="24"/>
        </w:rPr>
        <w:t>Journal of Statistical Software</w:t>
      </w:r>
      <w:r w:rsidRPr="00A24DBB">
        <w:rPr>
          <w:rFonts w:ascii="Cambria" w:hAnsi="Cambria"/>
          <w:noProof/>
          <w:sz w:val="24"/>
        </w:rPr>
        <w:t>. Retrieved from http://www.jstatsoft.org/v22/i11/paper</w:t>
      </w:r>
    </w:p>
    <w:p w14:paraId="5F620D6B"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Trauernicht, C., Murphy, B. P., Portner, T. E., &amp; Bowman, D. M. J. S. (2012). Tree cover–fire interactions promote the persistence of a fire-sensitive conifer in a highly flammable savanna. </w:t>
      </w:r>
      <w:r w:rsidRPr="00A24DBB">
        <w:rPr>
          <w:rFonts w:ascii="Cambria" w:hAnsi="Cambria"/>
          <w:i/>
          <w:iCs/>
          <w:noProof/>
          <w:sz w:val="24"/>
        </w:rPr>
        <w:t>Journal of Ecology</w:t>
      </w:r>
      <w:r w:rsidRPr="00A24DBB">
        <w:rPr>
          <w:rFonts w:ascii="Cambria" w:hAnsi="Cambria"/>
          <w:noProof/>
          <w:sz w:val="24"/>
        </w:rPr>
        <w:t xml:space="preserve">, </w:t>
      </w:r>
      <w:r w:rsidRPr="00A24DBB">
        <w:rPr>
          <w:rFonts w:ascii="Cambria" w:hAnsi="Cambria"/>
          <w:i/>
          <w:iCs/>
          <w:noProof/>
          <w:sz w:val="24"/>
        </w:rPr>
        <w:t>100</w:t>
      </w:r>
      <w:r w:rsidRPr="00A24DBB">
        <w:rPr>
          <w:rFonts w:ascii="Cambria" w:hAnsi="Cambria"/>
          <w:noProof/>
          <w:sz w:val="24"/>
        </w:rPr>
        <w:t>, 958–968.</w:t>
      </w:r>
    </w:p>
    <w:p w14:paraId="4FA9A59A"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Trauernicht, C., Murphy, B. P., Tangalin, N., &amp; Bowman, D. M. J. S. (2013). Cultural legacies, fire ecology, and environmental change in the Stone Country of Arnhem Land and Kakadu National Park, Australia. </w:t>
      </w:r>
      <w:r w:rsidRPr="00A24DBB">
        <w:rPr>
          <w:rFonts w:ascii="Cambria" w:hAnsi="Cambria"/>
          <w:i/>
          <w:iCs/>
          <w:noProof/>
          <w:sz w:val="24"/>
        </w:rPr>
        <w:t>Ecology and Evolution</w:t>
      </w:r>
      <w:r w:rsidRPr="00A24DBB">
        <w:rPr>
          <w:rFonts w:ascii="Cambria" w:hAnsi="Cambria"/>
          <w:noProof/>
          <w:sz w:val="24"/>
        </w:rPr>
        <w:t>.</w:t>
      </w:r>
    </w:p>
    <w:p w14:paraId="3A42D5B8"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Valverde, T., &amp; Silvertown, J. (1997). An integrated model of demography , patch dynamics and seed dispersal in a woodland herb , Primula vulgaris. </w:t>
      </w:r>
      <w:r w:rsidRPr="00A24DBB">
        <w:rPr>
          <w:rFonts w:ascii="Cambria" w:hAnsi="Cambria"/>
          <w:i/>
          <w:iCs/>
          <w:noProof/>
          <w:sz w:val="24"/>
        </w:rPr>
        <w:t>Oikos</w:t>
      </w:r>
      <w:r w:rsidRPr="00A24DBB">
        <w:rPr>
          <w:rFonts w:ascii="Cambria" w:hAnsi="Cambria"/>
          <w:noProof/>
          <w:sz w:val="24"/>
        </w:rPr>
        <w:t xml:space="preserve">, </w:t>
      </w:r>
      <w:r w:rsidRPr="00A24DBB">
        <w:rPr>
          <w:rFonts w:ascii="Cambria" w:hAnsi="Cambria"/>
          <w:i/>
          <w:iCs/>
          <w:noProof/>
          <w:sz w:val="24"/>
        </w:rPr>
        <w:t>80</w:t>
      </w:r>
      <w:r w:rsidRPr="00A24DBB">
        <w:rPr>
          <w:rFonts w:ascii="Cambria" w:hAnsi="Cambria"/>
          <w:noProof/>
          <w:sz w:val="24"/>
        </w:rPr>
        <w:t>(1), 67–77.</w:t>
      </w:r>
    </w:p>
    <w:p w14:paraId="310DC657" w14:textId="77777777" w:rsidR="00D31DD0" w:rsidRPr="00A24DBB" w:rsidRDefault="00D31DD0" w:rsidP="00D31DD0">
      <w:pPr>
        <w:pStyle w:val="NormalWeb"/>
        <w:ind w:left="480" w:hanging="480"/>
        <w:rPr>
          <w:rFonts w:ascii="Cambria" w:hAnsi="Cambria"/>
          <w:noProof/>
          <w:sz w:val="24"/>
        </w:rPr>
      </w:pPr>
      <w:r w:rsidRPr="00A24DBB">
        <w:rPr>
          <w:rFonts w:ascii="Cambria" w:hAnsi="Cambria"/>
          <w:noProof/>
          <w:sz w:val="24"/>
        </w:rPr>
        <w:t xml:space="preserve">Zuidema, P. A., Jongejans, E., Chien, P. D., During, H. J., &amp; Schieving, F. (2010). Integral Projection Models for trees: a new parameterization method and a validation of model output. </w:t>
      </w:r>
      <w:r w:rsidRPr="00A24DBB">
        <w:rPr>
          <w:rFonts w:ascii="Cambria" w:hAnsi="Cambria"/>
          <w:i/>
          <w:iCs/>
          <w:noProof/>
          <w:sz w:val="24"/>
        </w:rPr>
        <w:t>Journal of Ecology</w:t>
      </w:r>
      <w:r w:rsidRPr="00A24DBB">
        <w:rPr>
          <w:rFonts w:ascii="Cambria" w:hAnsi="Cambria"/>
          <w:noProof/>
          <w:sz w:val="24"/>
        </w:rPr>
        <w:t xml:space="preserve">, </w:t>
      </w:r>
      <w:r w:rsidRPr="00A24DBB">
        <w:rPr>
          <w:rFonts w:ascii="Cambria" w:hAnsi="Cambria"/>
          <w:i/>
          <w:iCs/>
          <w:noProof/>
          <w:sz w:val="24"/>
        </w:rPr>
        <w:t>98</w:t>
      </w:r>
      <w:r w:rsidRPr="00A24DBB">
        <w:rPr>
          <w:rFonts w:ascii="Cambria" w:hAnsi="Cambria"/>
          <w:noProof/>
          <w:sz w:val="24"/>
        </w:rPr>
        <w:t>(2), 345–355.</w:t>
      </w:r>
    </w:p>
    <w:p w14:paraId="2F6385ED" w14:textId="787ED0EB" w:rsidR="00A55324" w:rsidRDefault="00D31DD0" w:rsidP="00D31DD0">
      <w:pPr>
        <w:tabs>
          <w:tab w:val="left" w:pos="3330"/>
        </w:tabs>
        <w:rPr>
          <w:rFonts w:ascii="Cambria" w:hAnsi="Cambria"/>
        </w:rPr>
        <w:sectPr w:rsidR="00A55324" w:rsidSect="009E0E98">
          <w:pgSz w:w="12240" w:h="15840"/>
          <w:pgMar w:top="1440" w:right="1800" w:bottom="1440" w:left="1800" w:header="720" w:footer="720" w:gutter="0"/>
          <w:cols w:space="720"/>
          <w:docGrid w:linePitch="360"/>
        </w:sectPr>
      </w:pPr>
      <w:r>
        <w:rPr>
          <w:rFonts w:ascii="Cambria" w:hAnsi="Cambria"/>
        </w:rPr>
        <w:fldChar w:fldCharType="end"/>
      </w:r>
    </w:p>
    <w:p w14:paraId="1815A007" w14:textId="77777777" w:rsidR="00A55324" w:rsidRPr="00DD64A7" w:rsidRDefault="00A55324" w:rsidP="00A55324">
      <w:pPr>
        <w:tabs>
          <w:tab w:val="left" w:pos="3330"/>
        </w:tabs>
        <w:rPr>
          <w:rFonts w:ascii="Cambria" w:hAnsi="Cambria"/>
        </w:rPr>
      </w:pPr>
      <w:r w:rsidRPr="00DD64A7">
        <w:rPr>
          <w:rFonts w:ascii="Cambria" w:hAnsi="Cambria"/>
        </w:rPr>
        <w:t xml:space="preserve">Table S1. Summary of statistical analyses used to model </w:t>
      </w:r>
      <w:proofErr w:type="spellStart"/>
      <w:r w:rsidRPr="00500409">
        <w:rPr>
          <w:rFonts w:ascii="Cambria" w:hAnsi="Cambria"/>
          <w:i/>
        </w:rPr>
        <w:t>Callitris</w:t>
      </w:r>
      <w:proofErr w:type="spellEnd"/>
      <w:r w:rsidRPr="00DD64A7">
        <w:rPr>
          <w:rFonts w:ascii="Cambria" w:hAnsi="Cambria"/>
        </w:rPr>
        <w:t xml:space="preserve"> </w:t>
      </w:r>
      <w:proofErr w:type="spellStart"/>
      <w:r w:rsidRPr="00500409">
        <w:rPr>
          <w:rFonts w:ascii="Cambria" w:hAnsi="Cambria"/>
          <w:i/>
        </w:rPr>
        <w:t>intratropica</w:t>
      </w:r>
      <w:proofErr w:type="spellEnd"/>
      <w:r w:rsidRPr="00DD64A7">
        <w:rPr>
          <w:rFonts w:ascii="Cambria" w:hAnsi="Cambria"/>
        </w:rPr>
        <w:t xml:space="preserve"> vital rates in the integral projection model.  Fixed effects included </w:t>
      </w:r>
      <w:proofErr w:type="gramStart"/>
      <w:r w:rsidRPr="00DD64A7">
        <w:rPr>
          <w:rFonts w:ascii="Cambria" w:hAnsi="Cambria"/>
        </w:rPr>
        <w:t>In</w:t>
      </w:r>
      <w:proofErr w:type="gramEnd"/>
      <w:r w:rsidRPr="00DD64A7">
        <w:rPr>
          <w:rFonts w:ascii="Cambria" w:hAnsi="Cambria"/>
        </w:rPr>
        <w:t xml:space="preserve"> tree/seeding size in addition to two categorical explanatory variables: Fire (no fire, early dry season fire, late dry season fire) and Grove state (intact grove, degraded grove, singleton tree).  The seedling growth model also included the density of adult trees within plots (basal area per ha) as a fixed effect.  Model acronyms are as follows: GLM - general linearized model, GLMM - general linearized mixed model, LMM - linear mixed model.  </w:t>
      </w:r>
    </w:p>
    <w:tbl>
      <w:tblPr>
        <w:tblStyle w:val="TableGrid"/>
        <w:tblW w:w="14670"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8"/>
        <w:gridCol w:w="2052"/>
        <w:gridCol w:w="2178"/>
        <w:gridCol w:w="2790"/>
        <w:gridCol w:w="1530"/>
        <w:gridCol w:w="2142"/>
        <w:gridCol w:w="2160"/>
      </w:tblGrid>
      <w:tr w:rsidR="00A55324" w14:paraId="5081A798" w14:textId="77777777" w:rsidTr="004D5170">
        <w:tc>
          <w:tcPr>
            <w:tcW w:w="1818" w:type="dxa"/>
            <w:tcBorders>
              <w:bottom w:val="single" w:sz="4" w:space="0" w:color="auto"/>
            </w:tcBorders>
          </w:tcPr>
          <w:p w14:paraId="10A8F899" w14:textId="77777777" w:rsidR="00A55324" w:rsidRDefault="00A55324" w:rsidP="004D5170">
            <w:pPr>
              <w:tabs>
                <w:tab w:val="left" w:pos="3330"/>
              </w:tabs>
              <w:rPr>
                <w:rFonts w:eastAsiaTheme="minorEastAsia"/>
              </w:rPr>
            </w:pPr>
            <w:r>
              <w:rPr>
                <w:rFonts w:eastAsiaTheme="minorEastAsia"/>
              </w:rPr>
              <w:t>Model</w:t>
            </w:r>
          </w:p>
        </w:tc>
        <w:tc>
          <w:tcPr>
            <w:tcW w:w="2052" w:type="dxa"/>
            <w:tcBorders>
              <w:bottom w:val="single" w:sz="4" w:space="0" w:color="auto"/>
            </w:tcBorders>
          </w:tcPr>
          <w:p w14:paraId="3D55C712" w14:textId="77777777" w:rsidR="00A55324" w:rsidRDefault="00A55324" w:rsidP="004D5170">
            <w:pPr>
              <w:tabs>
                <w:tab w:val="left" w:pos="3330"/>
              </w:tabs>
              <w:rPr>
                <w:rFonts w:eastAsiaTheme="minorEastAsia"/>
              </w:rPr>
            </w:pPr>
            <w:r>
              <w:rPr>
                <w:rFonts w:eastAsiaTheme="minorEastAsia"/>
              </w:rPr>
              <w:t>Form (R Package)</w:t>
            </w:r>
          </w:p>
        </w:tc>
        <w:tc>
          <w:tcPr>
            <w:tcW w:w="2178" w:type="dxa"/>
            <w:tcBorders>
              <w:bottom w:val="single" w:sz="4" w:space="0" w:color="auto"/>
            </w:tcBorders>
          </w:tcPr>
          <w:p w14:paraId="1EC2CDF1" w14:textId="77777777" w:rsidR="00A55324" w:rsidRDefault="00A55324" w:rsidP="004D5170">
            <w:pPr>
              <w:tabs>
                <w:tab w:val="left" w:pos="3330"/>
              </w:tabs>
              <w:rPr>
                <w:rFonts w:eastAsiaTheme="minorEastAsia"/>
              </w:rPr>
            </w:pPr>
            <w:r>
              <w:rPr>
                <w:rFonts w:eastAsiaTheme="minorEastAsia"/>
              </w:rPr>
              <w:t>Response Variable</w:t>
            </w:r>
          </w:p>
        </w:tc>
        <w:tc>
          <w:tcPr>
            <w:tcW w:w="2790" w:type="dxa"/>
            <w:tcBorders>
              <w:bottom w:val="single" w:sz="4" w:space="0" w:color="auto"/>
            </w:tcBorders>
          </w:tcPr>
          <w:p w14:paraId="32634635" w14:textId="77777777" w:rsidR="00A55324" w:rsidRDefault="00A55324" w:rsidP="004D5170">
            <w:pPr>
              <w:tabs>
                <w:tab w:val="left" w:pos="3330"/>
              </w:tabs>
              <w:rPr>
                <w:rFonts w:eastAsiaTheme="minorEastAsia"/>
              </w:rPr>
            </w:pPr>
            <w:r>
              <w:rPr>
                <w:rFonts w:eastAsiaTheme="minorEastAsia"/>
              </w:rPr>
              <w:t>Fixed Effect in Global Model</w:t>
            </w:r>
          </w:p>
        </w:tc>
        <w:tc>
          <w:tcPr>
            <w:tcW w:w="1530" w:type="dxa"/>
            <w:tcBorders>
              <w:bottom w:val="single" w:sz="4" w:space="0" w:color="auto"/>
            </w:tcBorders>
          </w:tcPr>
          <w:p w14:paraId="258926D0" w14:textId="77777777" w:rsidR="00A55324" w:rsidRDefault="00A55324" w:rsidP="004D5170">
            <w:pPr>
              <w:tabs>
                <w:tab w:val="left" w:pos="3330"/>
              </w:tabs>
              <w:rPr>
                <w:rFonts w:eastAsiaTheme="minorEastAsia"/>
              </w:rPr>
            </w:pPr>
            <w:r>
              <w:rPr>
                <w:rFonts w:eastAsiaTheme="minorEastAsia"/>
              </w:rPr>
              <w:t>Random effect</w:t>
            </w:r>
          </w:p>
        </w:tc>
        <w:tc>
          <w:tcPr>
            <w:tcW w:w="2142" w:type="dxa"/>
            <w:tcBorders>
              <w:bottom w:val="single" w:sz="4" w:space="0" w:color="auto"/>
            </w:tcBorders>
          </w:tcPr>
          <w:p w14:paraId="19A2BEF3" w14:textId="77777777" w:rsidR="00A55324" w:rsidRDefault="00A55324" w:rsidP="004D5170">
            <w:pPr>
              <w:tabs>
                <w:tab w:val="left" w:pos="3330"/>
                <w:tab w:val="left" w:pos="3672"/>
              </w:tabs>
              <w:rPr>
                <w:rFonts w:eastAsiaTheme="minorEastAsia"/>
              </w:rPr>
            </w:pPr>
            <w:r>
              <w:rPr>
                <w:rFonts w:eastAsiaTheme="minorEastAsia"/>
              </w:rPr>
              <w:t>Interactions</w:t>
            </w:r>
          </w:p>
        </w:tc>
        <w:tc>
          <w:tcPr>
            <w:tcW w:w="2160" w:type="dxa"/>
            <w:tcBorders>
              <w:bottom w:val="single" w:sz="4" w:space="0" w:color="auto"/>
            </w:tcBorders>
          </w:tcPr>
          <w:p w14:paraId="13842B66" w14:textId="77777777" w:rsidR="00A55324" w:rsidRDefault="00A55324" w:rsidP="004D5170">
            <w:pPr>
              <w:tabs>
                <w:tab w:val="left" w:pos="3330"/>
                <w:tab w:val="left" w:pos="3672"/>
              </w:tabs>
              <w:rPr>
                <w:rFonts w:eastAsiaTheme="minorEastAsia"/>
              </w:rPr>
            </w:pPr>
            <w:r>
              <w:rPr>
                <w:rFonts w:eastAsiaTheme="minorEastAsia"/>
              </w:rPr>
              <w:t>Transformation</w:t>
            </w:r>
          </w:p>
        </w:tc>
      </w:tr>
      <w:tr w:rsidR="00A55324" w14:paraId="477CDA7B" w14:textId="77777777" w:rsidTr="004D5170">
        <w:tc>
          <w:tcPr>
            <w:tcW w:w="1818" w:type="dxa"/>
            <w:tcBorders>
              <w:top w:val="single" w:sz="4" w:space="0" w:color="auto"/>
            </w:tcBorders>
          </w:tcPr>
          <w:p w14:paraId="19074D42" w14:textId="77777777" w:rsidR="00A55324" w:rsidRDefault="00A55324" w:rsidP="004D5170">
            <w:pPr>
              <w:tabs>
                <w:tab w:val="left" w:pos="3330"/>
              </w:tabs>
              <w:rPr>
                <w:rFonts w:eastAsiaTheme="minorEastAsia"/>
              </w:rPr>
            </w:pPr>
            <w:r>
              <w:rPr>
                <w:rFonts w:eastAsiaTheme="minorEastAsia"/>
              </w:rPr>
              <w:t>Adult Growth</w:t>
            </w:r>
          </w:p>
        </w:tc>
        <w:tc>
          <w:tcPr>
            <w:tcW w:w="2052" w:type="dxa"/>
            <w:tcBorders>
              <w:top w:val="single" w:sz="4" w:space="0" w:color="auto"/>
            </w:tcBorders>
          </w:tcPr>
          <w:p w14:paraId="482BAB0D" w14:textId="77777777" w:rsidR="00A55324" w:rsidRDefault="00A55324" w:rsidP="004D5170">
            <w:pPr>
              <w:tabs>
                <w:tab w:val="left" w:pos="3330"/>
              </w:tabs>
              <w:rPr>
                <w:rFonts w:eastAsiaTheme="minorEastAsia"/>
              </w:rPr>
            </w:pPr>
            <w:r>
              <w:rPr>
                <w:rFonts w:eastAsiaTheme="minorEastAsia"/>
              </w:rPr>
              <w:t>LMM (</w:t>
            </w:r>
            <w:proofErr w:type="spellStart"/>
            <w:r>
              <w:rPr>
                <w:rFonts w:eastAsiaTheme="minorEastAsia"/>
              </w:rPr>
              <w:t>nlme</w:t>
            </w:r>
            <w:proofErr w:type="spellEnd"/>
            <w:r>
              <w:rPr>
                <w:rFonts w:eastAsiaTheme="minorEastAsia"/>
              </w:rPr>
              <w:t>)</w:t>
            </w:r>
          </w:p>
        </w:tc>
        <w:tc>
          <w:tcPr>
            <w:tcW w:w="2178" w:type="dxa"/>
            <w:tcBorders>
              <w:top w:val="single" w:sz="4" w:space="0" w:color="auto"/>
            </w:tcBorders>
          </w:tcPr>
          <w:p w14:paraId="4E4DF5E7" w14:textId="77777777" w:rsidR="00A55324" w:rsidRDefault="00A55324" w:rsidP="004D5170">
            <w:pPr>
              <w:tabs>
                <w:tab w:val="left" w:pos="3330"/>
              </w:tabs>
              <w:rPr>
                <w:rFonts w:eastAsiaTheme="minorEastAsia"/>
              </w:rPr>
            </w:pPr>
            <w:r>
              <w:rPr>
                <w:rFonts w:eastAsiaTheme="minorEastAsia"/>
              </w:rPr>
              <w:t>Adult size@</w:t>
            </w:r>
            <w:r w:rsidRPr="00E17AFF">
              <w:rPr>
                <w:rFonts w:eastAsiaTheme="minorEastAsia"/>
                <w:i/>
              </w:rPr>
              <w:t>t+1</w:t>
            </w:r>
          </w:p>
        </w:tc>
        <w:tc>
          <w:tcPr>
            <w:tcW w:w="2790" w:type="dxa"/>
            <w:tcBorders>
              <w:top w:val="single" w:sz="4" w:space="0" w:color="auto"/>
            </w:tcBorders>
          </w:tcPr>
          <w:p w14:paraId="1FDF7324" w14:textId="77777777" w:rsidR="00A55324" w:rsidRDefault="00A55324" w:rsidP="004D5170">
            <w:pPr>
              <w:tabs>
                <w:tab w:val="left" w:pos="3330"/>
              </w:tabs>
              <w:rPr>
                <w:rFonts w:eastAsiaTheme="minorEastAsia"/>
              </w:rPr>
            </w:pPr>
            <w:proofErr w:type="spellStart"/>
            <w:r>
              <w:rPr>
                <w:rFonts w:eastAsiaTheme="minorEastAsia"/>
              </w:rPr>
              <w:t>Size@</w:t>
            </w:r>
            <w:r w:rsidRPr="00137C75">
              <w:rPr>
                <w:rFonts w:eastAsiaTheme="minorEastAsia"/>
                <w:i/>
              </w:rPr>
              <w:t>t</w:t>
            </w:r>
            <w:proofErr w:type="spellEnd"/>
            <w:r>
              <w:rPr>
                <w:rFonts w:eastAsiaTheme="minorEastAsia"/>
              </w:rPr>
              <w:t>, Fire, Grove state</w:t>
            </w:r>
          </w:p>
        </w:tc>
        <w:tc>
          <w:tcPr>
            <w:tcW w:w="1530" w:type="dxa"/>
            <w:tcBorders>
              <w:top w:val="single" w:sz="4" w:space="0" w:color="auto"/>
            </w:tcBorders>
          </w:tcPr>
          <w:p w14:paraId="5A50E5D9" w14:textId="77777777" w:rsidR="00A55324" w:rsidRDefault="00A55324" w:rsidP="004D5170">
            <w:pPr>
              <w:tabs>
                <w:tab w:val="left" w:pos="3330"/>
              </w:tabs>
              <w:rPr>
                <w:rFonts w:eastAsiaTheme="minorEastAsia"/>
              </w:rPr>
            </w:pPr>
            <w:r>
              <w:rPr>
                <w:rFonts w:eastAsiaTheme="minorEastAsia"/>
              </w:rPr>
              <w:t>Individual</w:t>
            </w:r>
          </w:p>
        </w:tc>
        <w:tc>
          <w:tcPr>
            <w:tcW w:w="2142" w:type="dxa"/>
            <w:tcBorders>
              <w:top w:val="single" w:sz="4" w:space="0" w:color="auto"/>
            </w:tcBorders>
          </w:tcPr>
          <w:p w14:paraId="6C8E9164" w14:textId="77777777" w:rsidR="00A55324" w:rsidRDefault="00A55324" w:rsidP="004D5170">
            <w:pPr>
              <w:tabs>
                <w:tab w:val="left" w:pos="3330"/>
              </w:tabs>
              <w:rPr>
                <w:rFonts w:eastAsiaTheme="minorEastAsia"/>
              </w:rPr>
            </w:pPr>
            <w:proofErr w:type="spellStart"/>
            <w:r>
              <w:rPr>
                <w:rFonts w:eastAsiaTheme="minorEastAsia"/>
              </w:rPr>
              <w:t>Size</w:t>
            </w:r>
            <w:proofErr w:type="gramStart"/>
            <w:r>
              <w:rPr>
                <w:rFonts w:eastAsiaTheme="minorEastAsia"/>
              </w:rPr>
              <w:t>:Grove</w:t>
            </w:r>
            <w:proofErr w:type="spellEnd"/>
            <w:proofErr w:type="gramEnd"/>
            <w:r>
              <w:rPr>
                <w:rFonts w:eastAsiaTheme="minorEastAsia"/>
              </w:rPr>
              <w:t xml:space="preserve"> state &amp; Grove </w:t>
            </w:r>
            <w:proofErr w:type="spellStart"/>
            <w:r>
              <w:rPr>
                <w:rFonts w:eastAsiaTheme="minorEastAsia"/>
              </w:rPr>
              <w:t>state:Fire</w:t>
            </w:r>
            <w:proofErr w:type="spellEnd"/>
          </w:p>
        </w:tc>
        <w:tc>
          <w:tcPr>
            <w:tcW w:w="2160" w:type="dxa"/>
            <w:tcBorders>
              <w:top w:val="single" w:sz="4" w:space="0" w:color="auto"/>
            </w:tcBorders>
          </w:tcPr>
          <w:p w14:paraId="346CA82F" w14:textId="77777777" w:rsidR="00A55324" w:rsidRDefault="00A55324" w:rsidP="004D5170">
            <w:pPr>
              <w:tabs>
                <w:tab w:val="left" w:pos="3330"/>
              </w:tabs>
              <w:rPr>
                <w:rFonts w:eastAsiaTheme="minorEastAsia"/>
              </w:rPr>
            </w:pPr>
            <w:proofErr w:type="gramStart"/>
            <w:r>
              <w:rPr>
                <w:rFonts w:eastAsiaTheme="minorEastAsia"/>
              </w:rPr>
              <w:t>response</w:t>
            </w:r>
            <w:r w:rsidRPr="00B77CCA">
              <w:rPr>
                <w:rFonts w:eastAsiaTheme="minorEastAsia"/>
                <w:vertAlign w:val="superscript"/>
              </w:rPr>
              <w:t>0.7</w:t>
            </w:r>
            <w:proofErr w:type="gramEnd"/>
          </w:p>
        </w:tc>
      </w:tr>
      <w:tr w:rsidR="00A55324" w14:paraId="1596617A" w14:textId="77777777" w:rsidTr="004D5170">
        <w:tc>
          <w:tcPr>
            <w:tcW w:w="1818" w:type="dxa"/>
          </w:tcPr>
          <w:p w14:paraId="1BD67E7F" w14:textId="77777777" w:rsidR="00A55324" w:rsidRDefault="00A55324" w:rsidP="004D5170">
            <w:pPr>
              <w:tabs>
                <w:tab w:val="left" w:pos="3330"/>
              </w:tabs>
              <w:rPr>
                <w:rFonts w:eastAsiaTheme="minorEastAsia"/>
              </w:rPr>
            </w:pPr>
            <w:r>
              <w:rPr>
                <w:rFonts w:eastAsiaTheme="minorEastAsia"/>
              </w:rPr>
              <w:t>Adult Survival</w:t>
            </w:r>
          </w:p>
        </w:tc>
        <w:tc>
          <w:tcPr>
            <w:tcW w:w="2052" w:type="dxa"/>
          </w:tcPr>
          <w:p w14:paraId="0EBF9180" w14:textId="77777777" w:rsidR="00A55324" w:rsidRDefault="00A55324" w:rsidP="004D5170">
            <w:pPr>
              <w:tabs>
                <w:tab w:val="left" w:pos="3330"/>
              </w:tabs>
              <w:rPr>
                <w:rFonts w:eastAsiaTheme="minorEastAsia"/>
              </w:rPr>
            </w:pPr>
            <w:r>
              <w:rPr>
                <w:rFonts w:eastAsiaTheme="minorEastAsia"/>
              </w:rPr>
              <w:t>Binomial GLM*</w:t>
            </w:r>
          </w:p>
        </w:tc>
        <w:tc>
          <w:tcPr>
            <w:tcW w:w="2178" w:type="dxa"/>
          </w:tcPr>
          <w:p w14:paraId="663D9A4A" w14:textId="77777777" w:rsidR="00A55324" w:rsidRPr="00E17AFF" w:rsidRDefault="00A55324" w:rsidP="004D5170">
            <w:pPr>
              <w:tabs>
                <w:tab w:val="left" w:pos="3330"/>
              </w:tabs>
              <w:rPr>
                <w:rFonts w:eastAsiaTheme="minorEastAsia"/>
              </w:rPr>
            </w:pPr>
            <w:r>
              <w:rPr>
                <w:rFonts w:eastAsiaTheme="minorEastAsia"/>
              </w:rPr>
              <w:t xml:space="preserve">Adult survival from time </w:t>
            </w:r>
            <w:r w:rsidRPr="006F2151">
              <w:rPr>
                <w:rFonts w:eastAsiaTheme="minorEastAsia"/>
                <w:i/>
              </w:rPr>
              <w:t>t</w:t>
            </w:r>
            <w:r>
              <w:rPr>
                <w:rFonts w:eastAsiaTheme="minorEastAsia"/>
              </w:rPr>
              <w:t xml:space="preserve"> to time </w:t>
            </w:r>
            <w:r w:rsidRPr="006F2151">
              <w:rPr>
                <w:rFonts w:eastAsiaTheme="minorEastAsia"/>
                <w:i/>
              </w:rPr>
              <w:t>t+1</w:t>
            </w:r>
            <w:r>
              <w:rPr>
                <w:rFonts w:ascii="Calibri" w:eastAsiaTheme="minorEastAsia" w:hAnsi="Calibri"/>
              </w:rPr>
              <w:t>†</w:t>
            </w:r>
          </w:p>
        </w:tc>
        <w:tc>
          <w:tcPr>
            <w:tcW w:w="2790" w:type="dxa"/>
          </w:tcPr>
          <w:p w14:paraId="6454EAF6" w14:textId="77777777" w:rsidR="00A55324" w:rsidRDefault="00A55324" w:rsidP="004D5170">
            <w:pPr>
              <w:tabs>
                <w:tab w:val="left" w:pos="3330"/>
              </w:tabs>
              <w:rPr>
                <w:rFonts w:eastAsiaTheme="minorEastAsia"/>
              </w:rPr>
            </w:pPr>
            <w:r>
              <w:rPr>
                <w:rFonts w:eastAsiaTheme="minorEastAsia"/>
              </w:rPr>
              <w:t>Size, Fire, Grove state</w:t>
            </w:r>
          </w:p>
        </w:tc>
        <w:tc>
          <w:tcPr>
            <w:tcW w:w="1530" w:type="dxa"/>
          </w:tcPr>
          <w:p w14:paraId="28C6D6A8" w14:textId="77777777" w:rsidR="00A55324" w:rsidRDefault="00A55324" w:rsidP="004D5170">
            <w:pPr>
              <w:tabs>
                <w:tab w:val="left" w:pos="3330"/>
              </w:tabs>
              <w:rPr>
                <w:rFonts w:eastAsiaTheme="minorEastAsia"/>
              </w:rPr>
            </w:pPr>
            <w:r>
              <w:rPr>
                <w:rFonts w:eastAsiaTheme="minorEastAsia"/>
              </w:rPr>
              <w:t>None</w:t>
            </w:r>
          </w:p>
        </w:tc>
        <w:tc>
          <w:tcPr>
            <w:tcW w:w="2142" w:type="dxa"/>
          </w:tcPr>
          <w:p w14:paraId="6F25A519" w14:textId="77777777" w:rsidR="00A55324" w:rsidRDefault="00A55324" w:rsidP="004D5170">
            <w:pPr>
              <w:tabs>
                <w:tab w:val="left" w:pos="3330"/>
              </w:tabs>
              <w:rPr>
                <w:rFonts w:eastAsiaTheme="minorEastAsia"/>
              </w:rPr>
            </w:pPr>
            <w:proofErr w:type="spellStart"/>
            <w:r>
              <w:rPr>
                <w:rFonts w:eastAsiaTheme="minorEastAsia"/>
              </w:rPr>
              <w:t>Size</w:t>
            </w:r>
            <w:proofErr w:type="gramStart"/>
            <w:r>
              <w:rPr>
                <w:rFonts w:eastAsiaTheme="minorEastAsia"/>
              </w:rPr>
              <w:t>:Grove</w:t>
            </w:r>
            <w:proofErr w:type="spellEnd"/>
            <w:proofErr w:type="gramEnd"/>
            <w:r>
              <w:rPr>
                <w:rFonts w:eastAsiaTheme="minorEastAsia"/>
              </w:rPr>
              <w:t xml:space="preserve"> state &amp; Grove </w:t>
            </w:r>
            <w:proofErr w:type="spellStart"/>
            <w:r>
              <w:rPr>
                <w:rFonts w:eastAsiaTheme="minorEastAsia"/>
              </w:rPr>
              <w:t>state:Fire</w:t>
            </w:r>
            <w:proofErr w:type="spellEnd"/>
          </w:p>
        </w:tc>
        <w:tc>
          <w:tcPr>
            <w:tcW w:w="2160" w:type="dxa"/>
          </w:tcPr>
          <w:p w14:paraId="123BA785" w14:textId="77777777" w:rsidR="00A55324" w:rsidRDefault="00A55324" w:rsidP="004D5170">
            <w:pPr>
              <w:tabs>
                <w:tab w:val="left" w:pos="3330"/>
              </w:tabs>
              <w:rPr>
                <w:rFonts w:eastAsiaTheme="minorEastAsia"/>
              </w:rPr>
            </w:pPr>
            <w:r>
              <w:rPr>
                <w:rFonts w:eastAsiaTheme="minorEastAsia"/>
              </w:rPr>
              <w:t>None</w:t>
            </w:r>
          </w:p>
        </w:tc>
      </w:tr>
      <w:tr w:rsidR="00A55324" w14:paraId="5E17184B" w14:textId="77777777" w:rsidTr="004D5170">
        <w:tc>
          <w:tcPr>
            <w:tcW w:w="1818" w:type="dxa"/>
          </w:tcPr>
          <w:p w14:paraId="452635B9" w14:textId="77777777" w:rsidR="00A55324" w:rsidRDefault="00A55324" w:rsidP="004D5170">
            <w:pPr>
              <w:tabs>
                <w:tab w:val="left" w:pos="3330"/>
              </w:tabs>
              <w:rPr>
                <w:rFonts w:eastAsiaTheme="minorEastAsia"/>
              </w:rPr>
            </w:pPr>
            <w:r>
              <w:rPr>
                <w:rFonts w:eastAsiaTheme="minorEastAsia"/>
              </w:rPr>
              <w:t>Seedling Growth</w:t>
            </w:r>
          </w:p>
        </w:tc>
        <w:tc>
          <w:tcPr>
            <w:tcW w:w="2052" w:type="dxa"/>
          </w:tcPr>
          <w:p w14:paraId="65E7E115" w14:textId="77777777" w:rsidR="00A55324" w:rsidRDefault="00A55324" w:rsidP="004D5170">
            <w:pPr>
              <w:tabs>
                <w:tab w:val="left" w:pos="3330"/>
              </w:tabs>
              <w:rPr>
                <w:rFonts w:eastAsiaTheme="minorEastAsia"/>
              </w:rPr>
            </w:pPr>
            <w:r>
              <w:rPr>
                <w:rFonts w:eastAsiaTheme="minorEastAsia"/>
              </w:rPr>
              <w:t>LMM (</w:t>
            </w:r>
            <w:proofErr w:type="spellStart"/>
            <w:r>
              <w:rPr>
                <w:rFonts w:eastAsiaTheme="minorEastAsia"/>
              </w:rPr>
              <w:t>nlme</w:t>
            </w:r>
            <w:proofErr w:type="spellEnd"/>
            <w:r>
              <w:rPr>
                <w:rFonts w:eastAsiaTheme="minorEastAsia"/>
              </w:rPr>
              <w:t>)</w:t>
            </w:r>
          </w:p>
        </w:tc>
        <w:tc>
          <w:tcPr>
            <w:tcW w:w="2178" w:type="dxa"/>
          </w:tcPr>
          <w:p w14:paraId="0BB2CB88" w14:textId="77777777" w:rsidR="00A55324" w:rsidRDefault="00A55324" w:rsidP="004D5170">
            <w:pPr>
              <w:tabs>
                <w:tab w:val="left" w:pos="3330"/>
              </w:tabs>
              <w:rPr>
                <w:rFonts w:eastAsiaTheme="minorEastAsia"/>
              </w:rPr>
            </w:pPr>
            <w:r>
              <w:rPr>
                <w:rFonts w:eastAsiaTheme="minorEastAsia"/>
              </w:rPr>
              <w:t>Seedling size@</w:t>
            </w:r>
            <w:r w:rsidRPr="00E17AFF">
              <w:rPr>
                <w:rFonts w:eastAsiaTheme="minorEastAsia"/>
                <w:i/>
              </w:rPr>
              <w:t>t+1</w:t>
            </w:r>
          </w:p>
        </w:tc>
        <w:tc>
          <w:tcPr>
            <w:tcW w:w="2790" w:type="dxa"/>
          </w:tcPr>
          <w:p w14:paraId="6536DF45" w14:textId="77777777" w:rsidR="00A55324" w:rsidRDefault="00A55324" w:rsidP="004D5170">
            <w:pPr>
              <w:tabs>
                <w:tab w:val="left" w:pos="3330"/>
              </w:tabs>
              <w:rPr>
                <w:rFonts w:eastAsiaTheme="minorEastAsia"/>
              </w:rPr>
            </w:pPr>
            <w:proofErr w:type="spellStart"/>
            <w:r>
              <w:rPr>
                <w:rFonts w:eastAsiaTheme="minorEastAsia"/>
              </w:rPr>
              <w:t>Size@</w:t>
            </w:r>
            <w:r w:rsidRPr="00137C75">
              <w:rPr>
                <w:rFonts w:eastAsiaTheme="minorEastAsia"/>
                <w:i/>
              </w:rPr>
              <w:t>t</w:t>
            </w:r>
            <w:proofErr w:type="spellEnd"/>
            <w:r>
              <w:rPr>
                <w:rFonts w:eastAsiaTheme="minorEastAsia"/>
              </w:rPr>
              <w:t>, Fire, Density</w:t>
            </w:r>
          </w:p>
        </w:tc>
        <w:tc>
          <w:tcPr>
            <w:tcW w:w="1530" w:type="dxa"/>
          </w:tcPr>
          <w:p w14:paraId="0520431F" w14:textId="77777777" w:rsidR="00A55324" w:rsidRDefault="00A55324" w:rsidP="004D5170">
            <w:pPr>
              <w:tabs>
                <w:tab w:val="left" w:pos="3330"/>
              </w:tabs>
              <w:rPr>
                <w:rFonts w:eastAsiaTheme="minorEastAsia"/>
              </w:rPr>
            </w:pPr>
            <w:r>
              <w:rPr>
                <w:rFonts w:eastAsiaTheme="minorEastAsia"/>
              </w:rPr>
              <w:t>Individual</w:t>
            </w:r>
          </w:p>
        </w:tc>
        <w:tc>
          <w:tcPr>
            <w:tcW w:w="2142" w:type="dxa"/>
          </w:tcPr>
          <w:p w14:paraId="41BBA2B3" w14:textId="77777777" w:rsidR="00A55324" w:rsidRDefault="00A55324" w:rsidP="004D5170">
            <w:pPr>
              <w:tabs>
                <w:tab w:val="left" w:pos="3330"/>
              </w:tabs>
              <w:rPr>
                <w:rFonts w:eastAsiaTheme="minorEastAsia"/>
              </w:rPr>
            </w:pPr>
            <w:r>
              <w:rPr>
                <w:rFonts w:eastAsiaTheme="minorEastAsia"/>
              </w:rPr>
              <w:t>None</w:t>
            </w:r>
          </w:p>
        </w:tc>
        <w:tc>
          <w:tcPr>
            <w:tcW w:w="2160" w:type="dxa"/>
          </w:tcPr>
          <w:p w14:paraId="565D8DD5" w14:textId="77777777" w:rsidR="00A55324" w:rsidRDefault="00A55324" w:rsidP="004D5170">
            <w:pPr>
              <w:tabs>
                <w:tab w:val="left" w:pos="3330"/>
              </w:tabs>
              <w:rPr>
                <w:rFonts w:eastAsiaTheme="minorEastAsia"/>
              </w:rPr>
            </w:pPr>
            <w:proofErr w:type="gramStart"/>
            <w:r w:rsidRPr="002A6D9E">
              <w:rPr>
                <w:rFonts w:eastAsiaTheme="minorEastAsia"/>
                <w:i/>
              </w:rPr>
              <w:t>log</w:t>
            </w:r>
            <w:proofErr w:type="gramEnd"/>
            <w:r>
              <w:rPr>
                <w:rFonts w:eastAsiaTheme="minorEastAsia"/>
              </w:rPr>
              <w:t>(response)</w:t>
            </w:r>
          </w:p>
        </w:tc>
      </w:tr>
      <w:tr w:rsidR="00A55324" w14:paraId="48C0474A" w14:textId="77777777" w:rsidTr="004D5170">
        <w:tc>
          <w:tcPr>
            <w:tcW w:w="1818" w:type="dxa"/>
          </w:tcPr>
          <w:p w14:paraId="370BCF03" w14:textId="77777777" w:rsidR="00A55324" w:rsidRDefault="00A55324" w:rsidP="004D5170">
            <w:pPr>
              <w:tabs>
                <w:tab w:val="left" w:pos="3330"/>
              </w:tabs>
              <w:rPr>
                <w:rFonts w:eastAsiaTheme="minorEastAsia"/>
              </w:rPr>
            </w:pPr>
            <w:r>
              <w:rPr>
                <w:rFonts w:eastAsiaTheme="minorEastAsia"/>
              </w:rPr>
              <w:t>Seedling Survival</w:t>
            </w:r>
          </w:p>
        </w:tc>
        <w:tc>
          <w:tcPr>
            <w:tcW w:w="2052" w:type="dxa"/>
          </w:tcPr>
          <w:p w14:paraId="5B1170CB" w14:textId="77777777" w:rsidR="00A55324" w:rsidRDefault="00A55324" w:rsidP="004D5170">
            <w:pPr>
              <w:tabs>
                <w:tab w:val="left" w:pos="3330"/>
              </w:tabs>
              <w:rPr>
                <w:rFonts w:eastAsiaTheme="minorEastAsia"/>
              </w:rPr>
            </w:pPr>
            <w:r>
              <w:rPr>
                <w:rFonts w:eastAsiaTheme="minorEastAsia"/>
              </w:rPr>
              <w:t>Binomial GLMM (lme4)</w:t>
            </w:r>
          </w:p>
        </w:tc>
        <w:tc>
          <w:tcPr>
            <w:tcW w:w="2178" w:type="dxa"/>
          </w:tcPr>
          <w:p w14:paraId="4720F942" w14:textId="77777777" w:rsidR="00A55324" w:rsidRDefault="00A55324" w:rsidP="004D5170">
            <w:pPr>
              <w:tabs>
                <w:tab w:val="left" w:pos="3330"/>
              </w:tabs>
              <w:rPr>
                <w:rFonts w:eastAsiaTheme="minorEastAsia"/>
              </w:rPr>
            </w:pPr>
            <w:r>
              <w:rPr>
                <w:rFonts w:eastAsiaTheme="minorEastAsia"/>
              </w:rPr>
              <w:t xml:space="preserve">Seedling survival from time </w:t>
            </w:r>
            <w:r w:rsidRPr="006F2151">
              <w:rPr>
                <w:rFonts w:eastAsiaTheme="minorEastAsia"/>
                <w:i/>
              </w:rPr>
              <w:t>t</w:t>
            </w:r>
            <w:r>
              <w:rPr>
                <w:rFonts w:eastAsiaTheme="minorEastAsia"/>
              </w:rPr>
              <w:t xml:space="preserve"> to time </w:t>
            </w:r>
            <w:r w:rsidRPr="006F2151">
              <w:rPr>
                <w:rFonts w:eastAsiaTheme="minorEastAsia"/>
                <w:i/>
              </w:rPr>
              <w:t>t+1</w:t>
            </w:r>
          </w:p>
        </w:tc>
        <w:tc>
          <w:tcPr>
            <w:tcW w:w="2790" w:type="dxa"/>
          </w:tcPr>
          <w:p w14:paraId="570726D3" w14:textId="77777777" w:rsidR="00A55324" w:rsidRDefault="00A55324" w:rsidP="004D5170">
            <w:pPr>
              <w:tabs>
                <w:tab w:val="left" w:pos="3330"/>
              </w:tabs>
              <w:rPr>
                <w:rFonts w:eastAsiaTheme="minorEastAsia"/>
              </w:rPr>
            </w:pPr>
            <w:r>
              <w:rPr>
                <w:rFonts w:eastAsiaTheme="minorEastAsia"/>
              </w:rPr>
              <w:t>Size, Fire</w:t>
            </w:r>
          </w:p>
        </w:tc>
        <w:tc>
          <w:tcPr>
            <w:tcW w:w="1530" w:type="dxa"/>
          </w:tcPr>
          <w:p w14:paraId="4869624A" w14:textId="77777777" w:rsidR="00A55324" w:rsidRDefault="00A55324" w:rsidP="004D5170">
            <w:pPr>
              <w:tabs>
                <w:tab w:val="left" w:pos="3330"/>
              </w:tabs>
              <w:rPr>
                <w:rFonts w:eastAsiaTheme="minorEastAsia"/>
              </w:rPr>
            </w:pPr>
            <w:r>
              <w:rPr>
                <w:rFonts w:eastAsiaTheme="minorEastAsia"/>
              </w:rPr>
              <w:t>Time step</w:t>
            </w:r>
          </w:p>
        </w:tc>
        <w:tc>
          <w:tcPr>
            <w:tcW w:w="2142" w:type="dxa"/>
          </w:tcPr>
          <w:p w14:paraId="0DEC9178" w14:textId="77777777" w:rsidR="00A55324" w:rsidRDefault="00A55324" w:rsidP="004D5170">
            <w:pPr>
              <w:tabs>
                <w:tab w:val="left" w:pos="3330"/>
              </w:tabs>
              <w:rPr>
                <w:rFonts w:eastAsiaTheme="minorEastAsia"/>
              </w:rPr>
            </w:pPr>
            <w:r>
              <w:rPr>
                <w:rFonts w:eastAsiaTheme="minorEastAsia"/>
              </w:rPr>
              <w:t>None</w:t>
            </w:r>
          </w:p>
        </w:tc>
        <w:tc>
          <w:tcPr>
            <w:tcW w:w="2160" w:type="dxa"/>
          </w:tcPr>
          <w:p w14:paraId="4795613D" w14:textId="77777777" w:rsidR="00A55324" w:rsidRDefault="00A55324" w:rsidP="004D5170">
            <w:pPr>
              <w:tabs>
                <w:tab w:val="left" w:pos="3330"/>
              </w:tabs>
              <w:rPr>
                <w:rFonts w:eastAsiaTheme="minorEastAsia"/>
              </w:rPr>
            </w:pPr>
            <w:r>
              <w:rPr>
                <w:rFonts w:eastAsiaTheme="minorEastAsia"/>
              </w:rPr>
              <w:t>None</w:t>
            </w:r>
          </w:p>
        </w:tc>
      </w:tr>
      <w:tr w:rsidR="00A55324" w14:paraId="5BC7EA33" w14:textId="77777777" w:rsidTr="004D5170">
        <w:tc>
          <w:tcPr>
            <w:tcW w:w="1818" w:type="dxa"/>
          </w:tcPr>
          <w:p w14:paraId="137BAB77" w14:textId="77777777" w:rsidR="00A55324" w:rsidRDefault="00A55324" w:rsidP="004D5170">
            <w:pPr>
              <w:tabs>
                <w:tab w:val="left" w:pos="3330"/>
              </w:tabs>
              <w:rPr>
                <w:rFonts w:eastAsiaTheme="minorEastAsia"/>
              </w:rPr>
            </w:pPr>
            <w:r>
              <w:rPr>
                <w:rFonts w:eastAsiaTheme="minorEastAsia"/>
              </w:rPr>
              <w:t>Cone Production</w:t>
            </w:r>
          </w:p>
        </w:tc>
        <w:tc>
          <w:tcPr>
            <w:tcW w:w="2052" w:type="dxa"/>
          </w:tcPr>
          <w:p w14:paraId="0A6DB5F2" w14:textId="77777777" w:rsidR="00A55324" w:rsidRDefault="00A55324" w:rsidP="004D5170">
            <w:pPr>
              <w:tabs>
                <w:tab w:val="left" w:pos="3330"/>
              </w:tabs>
              <w:rPr>
                <w:rFonts w:eastAsiaTheme="minorEastAsia"/>
              </w:rPr>
            </w:pPr>
            <w:r>
              <w:rPr>
                <w:rFonts w:eastAsiaTheme="minorEastAsia"/>
              </w:rPr>
              <w:t>Log-normal Poisson GLMM (lme4)</w:t>
            </w:r>
            <w:r>
              <w:rPr>
                <w:rFonts w:ascii="Calibri" w:eastAsiaTheme="minorEastAsia" w:hAnsi="Calibri"/>
              </w:rPr>
              <w:t>‡</w:t>
            </w:r>
          </w:p>
        </w:tc>
        <w:tc>
          <w:tcPr>
            <w:tcW w:w="2178" w:type="dxa"/>
          </w:tcPr>
          <w:p w14:paraId="2DE9C3DB" w14:textId="77777777" w:rsidR="00A55324" w:rsidRDefault="00A55324" w:rsidP="004D5170">
            <w:pPr>
              <w:tabs>
                <w:tab w:val="left" w:pos="3330"/>
              </w:tabs>
              <w:rPr>
                <w:rFonts w:eastAsiaTheme="minorEastAsia"/>
              </w:rPr>
            </w:pPr>
            <w:r>
              <w:rPr>
                <w:rFonts w:eastAsiaTheme="minorEastAsia"/>
              </w:rPr>
              <w:t>Count of cones produced</w:t>
            </w:r>
          </w:p>
        </w:tc>
        <w:tc>
          <w:tcPr>
            <w:tcW w:w="2790" w:type="dxa"/>
          </w:tcPr>
          <w:p w14:paraId="7C0B7236" w14:textId="77777777" w:rsidR="00A55324" w:rsidRDefault="00A55324" w:rsidP="004D5170">
            <w:pPr>
              <w:tabs>
                <w:tab w:val="left" w:pos="3330"/>
              </w:tabs>
              <w:rPr>
                <w:rFonts w:eastAsiaTheme="minorEastAsia"/>
              </w:rPr>
            </w:pPr>
            <w:r>
              <w:rPr>
                <w:rFonts w:eastAsiaTheme="minorEastAsia"/>
              </w:rPr>
              <w:t>Size, Grove state</w:t>
            </w:r>
          </w:p>
        </w:tc>
        <w:tc>
          <w:tcPr>
            <w:tcW w:w="1530" w:type="dxa"/>
          </w:tcPr>
          <w:p w14:paraId="5E2970A9" w14:textId="77777777" w:rsidR="00A55324" w:rsidRDefault="00A55324" w:rsidP="004D5170">
            <w:pPr>
              <w:tabs>
                <w:tab w:val="left" w:pos="3330"/>
              </w:tabs>
              <w:rPr>
                <w:rFonts w:eastAsiaTheme="minorEastAsia"/>
              </w:rPr>
            </w:pPr>
            <w:r>
              <w:rPr>
                <w:rFonts w:eastAsiaTheme="minorEastAsia"/>
              </w:rPr>
              <w:t>Individual</w:t>
            </w:r>
          </w:p>
        </w:tc>
        <w:tc>
          <w:tcPr>
            <w:tcW w:w="2142" w:type="dxa"/>
          </w:tcPr>
          <w:p w14:paraId="76D3E4B9" w14:textId="77777777" w:rsidR="00A55324" w:rsidRDefault="00A55324" w:rsidP="004D5170">
            <w:pPr>
              <w:tabs>
                <w:tab w:val="left" w:pos="3330"/>
              </w:tabs>
              <w:rPr>
                <w:rFonts w:eastAsiaTheme="minorEastAsia"/>
              </w:rPr>
            </w:pPr>
            <w:r>
              <w:rPr>
                <w:rFonts w:eastAsiaTheme="minorEastAsia"/>
              </w:rPr>
              <w:t>None</w:t>
            </w:r>
          </w:p>
        </w:tc>
        <w:tc>
          <w:tcPr>
            <w:tcW w:w="2160" w:type="dxa"/>
          </w:tcPr>
          <w:p w14:paraId="39FA8B89" w14:textId="77777777" w:rsidR="00A55324" w:rsidRDefault="00A55324" w:rsidP="004D5170">
            <w:pPr>
              <w:tabs>
                <w:tab w:val="left" w:pos="3330"/>
              </w:tabs>
              <w:rPr>
                <w:rFonts w:eastAsiaTheme="minorEastAsia"/>
              </w:rPr>
            </w:pPr>
            <w:r>
              <w:rPr>
                <w:rFonts w:eastAsiaTheme="minorEastAsia"/>
              </w:rPr>
              <w:t>None</w:t>
            </w:r>
          </w:p>
        </w:tc>
      </w:tr>
      <w:tr w:rsidR="00A55324" w14:paraId="74F18CA7" w14:textId="77777777" w:rsidTr="004D5170">
        <w:tc>
          <w:tcPr>
            <w:tcW w:w="1818" w:type="dxa"/>
          </w:tcPr>
          <w:p w14:paraId="1F7081CB" w14:textId="77777777" w:rsidR="00A55324" w:rsidRDefault="00A55324" w:rsidP="004D5170">
            <w:pPr>
              <w:tabs>
                <w:tab w:val="left" w:pos="3330"/>
              </w:tabs>
              <w:rPr>
                <w:rFonts w:eastAsiaTheme="minorEastAsia"/>
              </w:rPr>
            </w:pPr>
            <w:r>
              <w:rPr>
                <w:rFonts w:eastAsiaTheme="minorEastAsia"/>
              </w:rPr>
              <w:t>Cone Probability</w:t>
            </w:r>
          </w:p>
        </w:tc>
        <w:tc>
          <w:tcPr>
            <w:tcW w:w="2052" w:type="dxa"/>
          </w:tcPr>
          <w:p w14:paraId="3A30055D" w14:textId="77777777" w:rsidR="00A55324" w:rsidRDefault="00A55324" w:rsidP="004D5170">
            <w:pPr>
              <w:tabs>
                <w:tab w:val="left" w:pos="3330"/>
              </w:tabs>
              <w:rPr>
                <w:rFonts w:eastAsiaTheme="minorEastAsia"/>
              </w:rPr>
            </w:pPr>
            <w:r>
              <w:rPr>
                <w:rFonts w:eastAsiaTheme="minorEastAsia"/>
              </w:rPr>
              <w:t>Binomial GLM</w:t>
            </w:r>
          </w:p>
        </w:tc>
        <w:tc>
          <w:tcPr>
            <w:tcW w:w="2178" w:type="dxa"/>
          </w:tcPr>
          <w:p w14:paraId="5F4A9899" w14:textId="77777777" w:rsidR="00A55324" w:rsidRDefault="00A55324" w:rsidP="004D5170">
            <w:pPr>
              <w:tabs>
                <w:tab w:val="left" w:pos="3330"/>
              </w:tabs>
              <w:rPr>
                <w:rFonts w:eastAsiaTheme="minorEastAsia"/>
              </w:rPr>
            </w:pPr>
            <w:r>
              <w:rPr>
                <w:rFonts w:eastAsiaTheme="minorEastAsia"/>
              </w:rPr>
              <w:t>Probability of cones produced</w:t>
            </w:r>
          </w:p>
        </w:tc>
        <w:tc>
          <w:tcPr>
            <w:tcW w:w="2790" w:type="dxa"/>
          </w:tcPr>
          <w:p w14:paraId="4BCD214A" w14:textId="77777777" w:rsidR="00A55324" w:rsidRDefault="00A55324" w:rsidP="004D5170">
            <w:pPr>
              <w:tabs>
                <w:tab w:val="left" w:pos="3330"/>
              </w:tabs>
              <w:rPr>
                <w:rFonts w:eastAsiaTheme="minorEastAsia"/>
              </w:rPr>
            </w:pPr>
            <w:r>
              <w:rPr>
                <w:rFonts w:eastAsiaTheme="minorEastAsia"/>
              </w:rPr>
              <w:t>Size, Grove state</w:t>
            </w:r>
          </w:p>
        </w:tc>
        <w:tc>
          <w:tcPr>
            <w:tcW w:w="1530" w:type="dxa"/>
          </w:tcPr>
          <w:p w14:paraId="1782E974" w14:textId="77777777" w:rsidR="00A55324" w:rsidRDefault="00A55324" w:rsidP="004D5170">
            <w:pPr>
              <w:tabs>
                <w:tab w:val="left" w:pos="3330"/>
              </w:tabs>
              <w:rPr>
                <w:rFonts w:eastAsiaTheme="minorEastAsia"/>
              </w:rPr>
            </w:pPr>
            <w:r>
              <w:rPr>
                <w:rFonts w:eastAsiaTheme="minorEastAsia"/>
              </w:rPr>
              <w:t>Individual</w:t>
            </w:r>
          </w:p>
        </w:tc>
        <w:tc>
          <w:tcPr>
            <w:tcW w:w="2142" w:type="dxa"/>
          </w:tcPr>
          <w:p w14:paraId="1442CB41" w14:textId="77777777" w:rsidR="00A55324" w:rsidRDefault="00A55324" w:rsidP="004D5170">
            <w:pPr>
              <w:tabs>
                <w:tab w:val="left" w:pos="3330"/>
              </w:tabs>
              <w:rPr>
                <w:rFonts w:eastAsiaTheme="minorEastAsia"/>
              </w:rPr>
            </w:pPr>
            <w:r>
              <w:rPr>
                <w:rFonts w:eastAsiaTheme="minorEastAsia"/>
              </w:rPr>
              <w:t>None</w:t>
            </w:r>
          </w:p>
        </w:tc>
        <w:tc>
          <w:tcPr>
            <w:tcW w:w="2160" w:type="dxa"/>
          </w:tcPr>
          <w:p w14:paraId="617C345C" w14:textId="77777777" w:rsidR="00A55324" w:rsidRDefault="00A55324" w:rsidP="004D5170">
            <w:pPr>
              <w:tabs>
                <w:tab w:val="left" w:pos="3330"/>
              </w:tabs>
              <w:rPr>
                <w:rFonts w:eastAsiaTheme="minorEastAsia"/>
              </w:rPr>
            </w:pPr>
            <w:r>
              <w:rPr>
                <w:rFonts w:eastAsiaTheme="minorEastAsia"/>
              </w:rPr>
              <w:t>None</w:t>
            </w:r>
          </w:p>
        </w:tc>
      </w:tr>
    </w:tbl>
    <w:p w14:paraId="71ADDDB3" w14:textId="77777777" w:rsidR="00A55324" w:rsidRDefault="00A55324" w:rsidP="00A55324">
      <w:pPr>
        <w:tabs>
          <w:tab w:val="left" w:pos="3330"/>
        </w:tabs>
      </w:pPr>
      <w:r>
        <w:t>*Model convergence issues prevented the use of a mixed-effects model</w:t>
      </w:r>
    </w:p>
    <w:p w14:paraId="361EFFC2" w14:textId="77777777" w:rsidR="00A55324" w:rsidRDefault="00A55324" w:rsidP="00A55324">
      <w:pPr>
        <w:tabs>
          <w:tab w:val="left" w:pos="3330"/>
        </w:tabs>
        <w:rPr>
          <w:rFonts w:ascii="Calibri" w:hAnsi="Calibri"/>
        </w:rPr>
      </w:pPr>
      <w:r>
        <w:rPr>
          <w:rFonts w:ascii="Calibri" w:hAnsi="Calibri"/>
        </w:rPr>
        <w:t>†Response variable was modeled as a quadratic term</w:t>
      </w:r>
    </w:p>
    <w:p w14:paraId="5E468653" w14:textId="7D354B66" w:rsidR="00A55324" w:rsidRDefault="00A55324" w:rsidP="00A55324">
      <w:pPr>
        <w:tabs>
          <w:tab w:val="left" w:pos="3330"/>
        </w:tabs>
      </w:pPr>
      <w:r>
        <w:rPr>
          <w:rFonts w:ascii="Calibri" w:hAnsi="Calibri"/>
        </w:rPr>
        <w:t xml:space="preserve">‡Log-normal Poisson GLM used for </w:t>
      </w:r>
      <w:proofErr w:type="spellStart"/>
      <w:r>
        <w:rPr>
          <w:rFonts w:ascii="Calibri" w:hAnsi="Calibri"/>
        </w:rPr>
        <w:t>overdispersed</w:t>
      </w:r>
      <w:proofErr w:type="spellEnd"/>
      <w:r>
        <w:rPr>
          <w:rFonts w:ascii="Calibri" w:hAnsi="Calibri"/>
        </w:rPr>
        <w:t xml:space="preserve"> data </w:t>
      </w:r>
      <w:r>
        <w:rPr>
          <w:rFonts w:ascii="Calibri" w:hAnsi="Calibri"/>
        </w:rPr>
        <w:fldChar w:fldCharType="begin" w:fldLock="1"/>
      </w:r>
      <w:r w:rsidR="00A24DBB">
        <w:rPr>
          <w:rFonts w:ascii="Calibri" w:hAnsi="Calibri"/>
        </w:rPr>
        <w:instrText>ADDIN CSL_CITATION { "citationItems" : [ { "id" : "ITEM-1", "itemData" : { "author" : [ { "dropping-particle" : "", "family" : "Elston", "given" : "DA", "non-dropping-particle" : "", "parse-names" : false, "suffix" : "" }, { "dropping-particle" : "", "family" : "Moss", "given" : "R", "non-dropping-particle" : "", "parse-names" : false, "suffix" : "" }, { "dropping-particle" : "", "family" : "Boulinier", "given" : "T", "non-dropping-particle" : "", "parse-names" : false, "suffix" : "" } ], "container-title" : " \u2026", "id" : "ITEM-1", "issued" : { "date-parts" : [ [ "2001" ] ] }, "title" : "Analysis of aggregation, a worked example: numbers of ticks on red grouse chicks", "type" : "article-journal" }, "uris" : [ "http://www.mendeley.com/documents/?uuid=353fcc87-9037-4df0-bdc6-b3eb7c8b089d" ] } ], "mendeley" : { "previouslyFormattedCitation" : "(Elston, Moss, &amp; Boulinier, 2001)" }, "properties" : { "noteIndex" : 0 }, "schema" : "https://github.com/citation-style-language/schema/raw/master/csl-citation.json" }</w:instrText>
      </w:r>
      <w:r>
        <w:rPr>
          <w:rFonts w:ascii="Calibri" w:hAnsi="Calibri"/>
        </w:rPr>
        <w:fldChar w:fldCharType="separate"/>
      </w:r>
      <w:r w:rsidR="00B73EF2" w:rsidRPr="00B73EF2">
        <w:rPr>
          <w:rFonts w:ascii="Calibri" w:hAnsi="Calibri"/>
          <w:noProof/>
        </w:rPr>
        <w:t>(Elston, Moss, &amp; Boulinier, 2001)</w:t>
      </w:r>
      <w:r>
        <w:rPr>
          <w:rFonts w:ascii="Calibri" w:hAnsi="Calibri"/>
        </w:rPr>
        <w:fldChar w:fldCharType="end"/>
      </w:r>
    </w:p>
    <w:p w14:paraId="529BF79E" w14:textId="77777777" w:rsidR="00A55324" w:rsidRDefault="00A55324" w:rsidP="00A55324"/>
    <w:p w14:paraId="44773D98" w14:textId="77777777" w:rsidR="00A55324" w:rsidRDefault="00A55324">
      <w:r>
        <w:br w:type="page"/>
      </w:r>
    </w:p>
    <w:p w14:paraId="7492BDB5" w14:textId="77777777" w:rsidR="00A55324" w:rsidRDefault="00A55324" w:rsidP="007220CD">
      <w:pPr>
        <w:tabs>
          <w:tab w:val="left" w:pos="3330"/>
        </w:tabs>
        <w:rPr>
          <w:rFonts w:ascii="Cambria" w:hAnsi="Cambria"/>
        </w:rPr>
        <w:sectPr w:rsidR="00A55324" w:rsidSect="00A55324">
          <w:pgSz w:w="15840" w:h="12240" w:orient="landscape"/>
          <w:pgMar w:top="1800" w:right="1440" w:bottom="1800" w:left="1440" w:header="720" w:footer="720" w:gutter="0"/>
          <w:cols w:space="720"/>
          <w:docGrid w:linePitch="360"/>
        </w:sectPr>
      </w:pPr>
    </w:p>
    <w:p w14:paraId="3C84BE2B" w14:textId="77777777" w:rsidR="00431F72" w:rsidRDefault="00431F72" w:rsidP="007220CD">
      <w:pPr>
        <w:tabs>
          <w:tab w:val="left" w:pos="3330"/>
        </w:tabs>
        <w:rPr>
          <w:rFonts w:ascii="Cambria" w:hAnsi="Cambria"/>
        </w:rPr>
      </w:pPr>
    </w:p>
    <w:p w14:paraId="4B804360" w14:textId="77777777" w:rsidR="00431F72" w:rsidRDefault="00431F72" w:rsidP="007220CD">
      <w:pPr>
        <w:tabs>
          <w:tab w:val="left" w:pos="3330"/>
        </w:tabs>
      </w:pPr>
      <w:r w:rsidRPr="00DD64A7">
        <w:rPr>
          <w:rFonts w:ascii="Cambria" w:hAnsi="Cambria"/>
          <w:noProof/>
        </w:rPr>
        <w:drawing>
          <wp:inline distT="0" distB="0" distL="0" distR="0" wp14:anchorId="007F20AB" wp14:editId="2814E4D6">
            <wp:extent cx="5486400" cy="40561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state transition sensitivities.pdf"/>
                    <pic:cNvPicPr/>
                  </pic:nvPicPr>
                  <pic:blipFill>
                    <a:blip r:embed="rId5">
                      <a:extLst>
                        <a:ext uri="{28A0092B-C50C-407E-A947-70E740481C1C}">
                          <a14:useLocalDpi xmlns:a14="http://schemas.microsoft.com/office/drawing/2010/main" val="0"/>
                        </a:ext>
                      </a:extLst>
                    </a:blip>
                    <a:stretch>
                      <a:fillRect/>
                    </a:stretch>
                  </pic:blipFill>
                  <pic:spPr>
                    <a:xfrm>
                      <a:off x="0" y="0"/>
                      <a:ext cx="5486400" cy="4056185"/>
                    </a:xfrm>
                    <a:prstGeom prst="rect">
                      <a:avLst/>
                    </a:prstGeom>
                  </pic:spPr>
                </pic:pic>
              </a:graphicData>
            </a:graphic>
          </wp:inline>
        </w:drawing>
      </w:r>
    </w:p>
    <w:p w14:paraId="12A585DB" w14:textId="77777777" w:rsidR="00431F72" w:rsidRDefault="00431F72" w:rsidP="007220CD">
      <w:pPr>
        <w:tabs>
          <w:tab w:val="left" w:pos="3330"/>
        </w:tabs>
      </w:pPr>
    </w:p>
    <w:p w14:paraId="730CDD13" w14:textId="77777777" w:rsidR="00431F72" w:rsidRDefault="00431F72" w:rsidP="00431F72">
      <w:pPr>
        <w:tabs>
          <w:tab w:val="left" w:pos="3330"/>
        </w:tabs>
        <w:rPr>
          <w:rFonts w:ascii="Cambria" w:hAnsi="Cambria"/>
        </w:rPr>
      </w:pPr>
      <w:r>
        <w:rPr>
          <w:rFonts w:ascii="Cambria" w:hAnsi="Cambria"/>
        </w:rPr>
        <w:t>Figure S1</w:t>
      </w:r>
      <w:r w:rsidRPr="00DD64A7">
        <w:rPr>
          <w:rFonts w:ascii="Cambria" w:hAnsi="Cambria"/>
        </w:rPr>
        <w:t xml:space="preserve">.  The sensitivities of </w:t>
      </w:r>
      <w:r>
        <w:rPr>
          <w:rFonts w:ascii="Cambria" w:hAnsi="Cambria"/>
        </w:rPr>
        <w:t xml:space="preserve">the environmental state change Markov chain (matrix </w:t>
      </w:r>
      <w:r w:rsidRPr="00EA3158">
        <w:rPr>
          <w:rFonts w:ascii="Cambria" w:hAnsi="Cambria"/>
          <w:i/>
        </w:rPr>
        <w:t>F</w:t>
      </w:r>
      <w:r>
        <w:rPr>
          <w:rFonts w:ascii="Cambria" w:hAnsi="Cambria"/>
        </w:rPr>
        <w:t xml:space="preserve"> described in the Methods) to </w:t>
      </w:r>
      <w:r w:rsidRPr="00DD64A7">
        <w:rPr>
          <w:rFonts w:ascii="Cambria" w:hAnsi="Cambria"/>
        </w:rPr>
        <w:t xml:space="preserve">changes in fire-dependent </w:t>
      </w:r>
      <w:r>
        <w:rPr>
          <w:rFonts w:ascii="Cambria" w:hAnsi="Cambria"/>
        </w:rPr>
        <w:t>grove state transition probabiliti</w:t>
      </w:r>
      <w:r w:rsidRPr="00DD64A7">
        <w:rPr>
          <w:rFonts w:ascii="Cambria" w:hAnsi="Cambria"/>
        </w:rPr>
        <w:t>es</w:t>
      </w:r>
      <w:r>
        <w:rPr>
          <w:rFonts w:ascii="Cambria" w:hAnsi="Cambria"/>
        </w:rPr>
        <w:t xml:space="preserve">, illustrated via stable stage projections </w:t>
      </w:r>
      <w:r w:rsidRPr="00DD64A7">
        <w:rPr>
          <w:rFonts w:ascii="Cambria" w:hAnsi="Cambria"/>
        </w:rPr>
        <w:t xml:space="preserve">of </w:t>
      </w:r>
      <w:r>
        <w:rPr>
          <w:rFonts w:ascii="Cambria" w:hAnsi="Cambria"/>
        </w:rPr>
        <w:t xml:space="preserve">the </w:t>
      </w:r>
      <w:r w:rsidRPr="00DD64A7">
        <w:rPr>
          <w:rFonts w:ascii="Cambria" w:hAnsi="Cambria"/>
        </w:rPr>
        <w:t xml:space="preserve">proportions of </w:t>
      </w:r>
      <w:proofErr w:type="spellStart"/>
      <w:r w:rsidRPr="00500409">
        <w:rPr>
          <w:rFonts w:ascii="Cambria" w:hAnsi="Cambria"/>
          <w:i/>
        </w:rPr>
        <w:t>Callitris</w:t>
      </w:r>
      <w:proofErr w:type="spellEnd"/>
      <w:r w:rsidRPr="00DD64A7">
        <w:rPr>
          <w:rFonts w:ascii="Cambria" w:hAnsi="Cambria"/>
          <w:i/>
        </w:rPr>
        <w:t xml:space="preserve"> </w:t>
      </w:r>
      <w:proofErr w:type="spellStart"/>
      <w:r w:rsidRPr="00500409">
        <w:rPr>
          <w:rFonts w:ascii="Cambria" w:hAnsi="Cambria"/>
          <w:i/>
        </w:rPr>
        <w:t>intratropica</w:t>
      </w:r>
      <w:proofErr w:type="spellEnd"/>
      <w:r w:rsidRPr="00DD64A7">
        <w:rPr>
          <w:rFonts w:ascii="Cambria" w:hAnsi="Cambria"/>
        </w:rPr>
        <w:t xml:space="preserve"> grove </w:t>
      </w:r>
      <w:r>
        <w:rPr>
          <w:rFonts w:ascii="Cambria" w:hAnsi="Cambria"/>
        </w:rPr>
        <w:t>states</w:t>
      </w:r>
      <w:r w:rsidRPr="00DD64A7">
        <w:rPr>
          <w:rFonts w:ascii="Cambria" w:hAnsi="Cambria"/>
        </w:rPr>
        <w:t xml:space="preserve"> (</w:t>
      </w:r>
      <w:r>
        <w:rPr>
          <w:rFonts w:ascii="Cambria" w:hAnsi="Cambria"/>
        </w:rPr>
        <w:t xml:space="preserve">right eigenvectors summed across fire disturbance types; </w:t>
      </w:r>
      <w:r w:rsidRPr="00DD64A7">
        <w:rPr>
          <w:rFonts w:ascii="Cambria" w:hAnsi="Cambria"/>
        </w:rPr>
        <w:t>solid lines)</w:t>
      </w:r>
      <w:r>
        <w:rPr>
          <w:rFonts w:ascii="Cambria" w:hAnsi="Cambria"/>
        </w:rPr>
        <w:t xml:space="preserve"> under the </w:t>
      </w:r>
      <w:r w:rsidRPr="00DD64A7">
        <w:rPr>
          <w:rFonts w:ascii="Cambria" w:hAnsi="Cambria"/>
        </w:rPr>
        <w:t>actual probabilities of regional fi</w:t>
      </w:r>
      <w:r>
        <w:rPr>
          <w:rFonts w:ascii="Cambria" w:hAnsi="Cambria"/>
        </w:rPr>
        <w:t>re occurrence in Arnhem Land</w:t>
      </w:r>
      <w:r w:rsidRPr="00DD64A7">
        <w:rPr>
          <w:rFonts w:ascii="Cambria" w:hAnsi="Cambria"/>
        </w:rPr>
        <w:t xml:space="preserve">.  Panels illustrate sensitivities to changes in (a) the probability that intact groves remain intact under </w:t>
      </w:r>
      <w:r>
        <w:rPr>
          <w:rFonts w:ascii="Cambria" w:hAnsi="Cambria"/>
        </w:rPr>
        <w:t>low intensity</w:t>
      </w:r>
      <w:r w:rsidRPr="00DD64A7">
        <w:rPr>
          <w:rFonts w:ascii="Cambria" w:hAnsi="Cambria"/>
        </w:rPr>
        <w:t xml:space="preserve"> fires, (b) the probability that intact groves remain intact under </w:t>
      </w:r>
      <w:r>
        <w:rPr>
          <w:rFonts w:ascii="Cambria" w:hAnsi="Cambria"/>
        </w:rPr>
        <w:t>high intensity</w:t>
      </w:r>
      <w:r w:rsidRPr="00DD64A7">
        <w:rPr>
          <w:rFonts w:ascii="Cambria" w:hAnsi="Cambria"/>
        </w:rPr>
        <w:t xml:space="preserve"> fires, (c) the probability that degraded groves remain degraded under </w:t>
      </w:r>
      <w:r>
        <w:rPr>
          <w:rFonts w:ascii="Cambria" w:hAnsi="Cambria"/>
        </w:rPr>
        <w:t>high intensity</w:t>
      </w:r>
      <w:r w:rsidRPr="00DD64A7">
        <w:rPr>
          <w:rFonts w:ascii="Cambria" w:hAnsi="Cambria"/>
        </w:rPr>
        <w:t xml:space="preserve"> fires, and (</w:t>
      </w:r>
      <w:r>
        <w:rPr>
          <w:rFonts w:ascii="Cambria" w:hAnsi="Cambria"/>
        </w:rPr>
        <w:t>d</w:t>
      </w:r>
      <w:r w:rsidRPr="00DD64A7">
        <w:rPr>
          <w:rFonts w:ascii="Cambria" w:hAnsi="Cambria"/>
        </w:rPr>
        <w:t xml:space="preserve">) the probability of </w:t>
      </w:r>
      <w:r>
        <w:rPr>
          <w:rFonts w:ascii="Cambria" w:hAnsi="Cambria"/>
        </w:rPr>
        <w:t>grove recruitment under no fire</w:t>
      </w:r>
      <w:r w:rsidRPr="00DD64A7">
        <w:rPr>
          <w:rFonts w:ascii="Cambria" w:hAnsi="Cambria"/>
        </w:rPr>
        <w:t xml:space="preserve">. </w:t>
      </w:r>
      <w:r>
        <w:rPr>
          <w:rFonts w:ascii="Cambria" w:hAnsi="Cambria"/>
        </w:rPr>
        <w:t xml:space="preserve"> Dashed lines indicate the grove transition probabilities used in the final model</w:t>
      </w:r>
      <w:r w:rsidRPr="00DD64A7">
        <w:rPr>
          <w:rFonts w:ascii="Cambria" w:hAnsi="Cambria"/>
        </w:rPr>
        <w:t xml:space="preserve"> parameterizations</w:t>
      </w:r>
      <w:r>
        <w:rPr>
          <w:rFonts w:ascii="Cambria" w:hAnsi="Cambria"/>
        </w:rPr>
        <w:t>,</w:t>
      </w:r>
      <w:r w:rsidRPr="00DD64A7">
        <w:rPr>
          <w:rFonts w:ascii="Cambria" w:hAnsi="Cambria"/>
        </w:rPr>
        <w:t xml:space="preserve"> estimated from field observations.</w:t>
      </w:r>
    </w:p>
    <w:p w14:paraId="1C329E20" w14:textId="77777777" w:rsidR="00A24DBB" w:rsidRDefault="00A24DBB" w:rsidP="00431F72">
      <w:pPr>
        <w:tabs>
          <w:tab w:val="left" w:pos="3330"/>
        </w:tabs>
        <w:rPr>
          <w:rFonts w:ascii="Cambria" w:hAnsi="Cambria"/>
        </w:rPr>
      </w:pPr>
    </w:p>
    <w:p w14:paraId="4F8A1CC9" w14:textId="0D544216" w:rsidR="00431F72" w:rsidRDefault="00431F72" w:rsidP="00D31DD0">
      <w:bookmarkStart w:id="0" w:name="_GoBack"/>
      <w:bookmarkEnd w:id="0"/>
    </w:p>
    <w:sectPr w:rsidR="00431F72" w:rsidSect="009E0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DE"/>
    <w:rsid w:val="00123DA5"/>
    <w:rsid w:val="001723DA"/>
    <w:rsid w:val="001F3451"/>
    <w:rsid w:val="002B14DE"/>
    <w:rsid w:val="002C7E4F"/>
    <w:rsid w:val="00325FD1"/>
    <w:rsid w:val="003F71AB"/>
    <w:rsid w:val="00431F72"/>
    <w:rsid w:val="004D5170"/>
    <w:rsid w:val="00716E00"/>
    <w:rsid w:val="007220CD"/>
    <w:rsid w:val="00736849"/>
    <w:rsid w:val="009E0E98"/>
    <w:rsid w:val="00A24DBB"/>
    <w:rsid w:val="00A55324"/>
    <w:rsid w:val="00B344BB"/>
    <w:rsid w:val="00B64754"/>
    <w:rsid w:val="00B73EF2"/>
    <w:rsid w:val="00BF01C4"/>
    <w:rsid w:val="00C836A5"/>
    <w:rsid w:val="00C9615B"/>
    <w:rsid w:val="00CB779D"/>
    <w:rsid w:val="00D31DD0"/>
    <w:rsid w:val="00D404CB"/>
    <w:rsid w:val="00DC5731"/>
    <w:rsid w:val="00DF5422"/>
    <w:rsid w:val="00F718DE"/>
    <w:rsid w:val="00F77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B3E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18DE"/>
    <w:rPr>
      <w:sz w:val="16"/>
      <w:szCs w:val="16"/>
    </w:rPr>
  </w:style>
  <w:style w:type="paragraph" w:styleId="CommentText">
    <w:name w:val="annotation text"/>
    <w:basedOn w:val="Normal"/>
    <w:link w:val="CommentTextChar"/>
    <w:uiPriority w:val="99"/>
    <w:unhideWhenUsed/>
    <w:rsid w:val="00F718DE"/>
    <w:pPr>
      <w:spacing w:after="200"/>
    </w:pPr>
    <w:rPr>
      <w:rFonts w:eastAsiaTheme="minorHAnsi"/>
      <w:sz w:val="20"/>
      <w:szCs w:val="20"/>
    </w:rPr>
  </w:style>
  <w:style w:type="character" w:customStyle="1" w:styleId="CommentTextChar">
    <w:name w:val="Comment Text Char"/>
    <w:basedOn w:val="DefaultParagraphFont"/>
    <w:link w:val="CommentText"/>
    <w:uiPriority w:val="99"/>
    <w:rsid w:val="00F718DE"/>
    <w:rPr>
      <w:rFonts w:eastAsiaTheme="minorHAnsi"/>
      <w:sz w:val="20"/>
      <w:szCs w:val="20"/>
    </w:rPr>
  </w:style>
  <w:style w:type="paragraph" w:styleId="BalloonText">
    <w:name w:val="Balloon Text"/>
    <w:basedOn w:val="Normal"/>
    <w:link w:val="BalloonTextChar"/>
    <w:uiPriority w:val="99"/>
    <w:semiHidden/>
    <w:unhideWhenUsed/>
    <w:rsid w:val="00F718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DE"/>
    <w:rPr>
      <w:rFonts w:ascii="Lucida Grande" w:hAnsi="Lucida Grande" w:cs="Lucida Grande"/>
      <w:sz w:val="18"/>
      <w:szCs w:val="18"/>
    </w:rPr>
  </w:style>
  <w:style w:type="table" w:styleId="TableGrid">
    <w:name w:val="Table Grid"/>
    <w:basedOn w:val="TableNormal"/>
    <w:uiPriority w:val="59"/>
    <w:rsid w:val="00A5532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24D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18DE"/>
    <w:rPr>
      <w:sz w:val="16"/>
      <w:szCs w:val="16"/>
    </w:rPr>
  </w:style>
  <w:style w:type="paragraph" w:styleId="CommentText">
    <w:name w:val="annotation text"/>
    <w:basedOn w:val="Normal"/>
    <w:link w:val="CommentTextChar"/>
    <w:uiPriority w:val="99"/>
    <w:unhideWhenUsed/>
    <w:rsid w:val="00F718DE"/>
    <w:pPr>
      <w:spacing w:after="200"/>
    </w:pPr>
    <w:rPr>
      <w:rFonts w:eastAsiaTheme="minorHAnsi"/>
      <w:sz w:val="20"/>
      <w:szCs w:val="20"/>
    </w:rPr>
  </w:style>
  <w:style w:type="character" w:customStyle="1" w:styleId="CommentTextChar">
    <w:name w:val="Comment Text Char"/>
    <w:basedOn w:val="DefaultParagraphFont"/>
    <w:link w:val="CommentText"/>
    <w:uiPriority w:val="99"/>
    <w:rsid w:val="00F718DE"/>
    <w:rPr>
      <w:rFonts w:eastAsiaTheme="minorHAnsi"/>
      <w:sz w:val="20"/>
      <w:szCs w:val="20"/>
    </w:rPr>
  </w:style>
  <w:style w:type="paragraph" w:styleId="BalloonText">
    <w:name w:val="Balloon Text"/>
    <w:basedOn w:val="Normal"/>
    <w:link w:val="BalloonTextChar"/>
    <w:uiPriority w:val="99"/>
    <w:semiHidden/>
    <w:unhideWhenUsed/>
    <w:rsid w:val="00F718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8DE"/>
    <w:rPr>
      <w:rFonts w:ascii="Lucida Grande" w:hAnsi="Lucida Grande" w:cs="Lucida Grande"/>
      <w:sz w:val="18"/>
      <w:szCs w:val="18"/>
    </w:rPr>
  </w:style>
  <w:style w:type="table" w:styleId="TableGrid">
    <w:name w:val="Table Grid"/>
    <w:basedOn w:val="TableNormal"/>
    <w:uiPriority w:val="59"/>
    <w:rsid w:val="00A5532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24D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6098</Words>
  <Characters>34765</Characters>
  <Application>Microsoft Macintosh Word</Application>
  <DocSecurity>0</DocSecurity>
  <Lines>289</Lines>
  <Paragraphs>81</Paragraphs>
  <ScaleCrop>false</ScaleCrop>
  <Company/>
  <LinksUpToDate>false</LinksUpToDate>
  <CharactersWithSpaces>40782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cp:lastModifiedBy>
  <cp:revision>8</cp:revision>
  <dcterms:created xsi:type="dcterms:W3CDTF">2013-03-08T23:15:00Z</dcterms:created>
  <dcterms:modified xsi:type="dcterms:W3CDTF">2013-05-03T09:01:00Z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weevepool@gmail.com@www.mendeley.com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