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Noto Sans CJK SC" w:hAnsi="Noto Sans CJK SC" w:eastAsia="Noto Sans CJK SC" w:cs="Noto Sans CJK SC"/>
          <w:b/>
          <w:color w:val="0B2545"/>
          <w:sz w:val="44"/>
        </w:rPr>
        <w:t>OpenConvert Office 中文保真度样本</w:t>
      </w:r>
    </w:p>
    <w:p>
      <w:r>
        <w:rPr>
          <w:rFonts w:ascii="Noto Sans CJK SC" w:hAnsi="Noto Sans CJK SC" w:eastAsia="Noto Sans CJK SC" w:cs="Noto Sans CJK SC"/>
          <w:b w:val="0"/>
          <w:sz w:val="22"/>
        </w:rPr>
        <w:t>DOCX-中文-甲：离线转换应保留中文标点、数字 2026、英文 OpenConvert，并正确处理中文字体回退。</w:t>
      </w:r>
    </w:p>
    <w:p>
      <w:pPr>
        <w:pStyle w:val="Heading1"/>
      </w:pPr>
      <w:r>
        <w:t>复杂表格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2520"/>
        <w:gridCol w:w="2520"/>
      </w:tblGrid>
      <w:tr>
        <w:tc>
          <w:tcPr>
            <w:tcW w:type="dxa" w:w="2520"/>
            <w:gridSpan w:val="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0B2545"/>
                <w:sz w:val="22"/>
              </w:rPr>
              <w:t>DOCX-表格-合计 · 区域营收明细</w:t>
            </w:r>
          </w:p>
        </w:tc>
      </w:tr>
      <w:tr>
        <w:tc>
          <w:tcPr>
            <w:tcW w:type="dxa" w:w="1800"/>
            <w:shd w:fill="2E74B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520"/>
            <w:shd w:fill="2E74B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一季度</w:t>
            </w:r>
          </w:p>
        </w:tc>
        <w:tc>
          <w:tcPr>
            <w:tcW w:type="dxa" w:w="2520"/>
            <w:shd w:fill="2E74B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二季度</w:t>
            </w:r>
          </w:p>
        </w:tc>
        <w:tc>
          <w:tcPr>
            <w:tcW w:type="dxa" w:w="2520"/>
            <w:shd w:fill="2E74B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全年目标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sz w:val="20"/>
              </w:rPr>
              <w:t>华东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¥1,280,000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¥1,460,000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¥6,000,000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sz w:val="20"/>
              </w:rPr>
              <w:t>华南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¥980,000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¥1,120,000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¥4,800,000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sz w:val="20"/>
              </w:rPr>
              <w:t>西部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¥760,000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¥830,000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¥3,600,000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sz w:val="20"/>
              </w:rPr>
              <w:t>合计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¥3,020,000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¥3,410,000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¥14,400,000</w:t>
            </w:r>
          </w:p>
        </w:tc>
      </w:tr>
    </w:tbl>
    <w:p>
      <w:r>
        <w:br w:type="page"/>
      </w:r>
    </w:p>
    <w:p>
      <w:pPr>
        <w:pStyle w:val="Heading1"/>
      </w:pPr>
      <w:r>
        <w:t>跨页内容与页眉页脚</w:t>
      </w:r>
    </w:p>
    <w:p>
      <w:r>
        <w:rPr>
          <w:rFonts w:ascii="Noto Sans CJK SC" w:hAnsi="Noto Sans CJK SC" w:eastAsia="Noto Sans CJK SC" w:cs="Noto Sans CJK SC"/>
          <w:b w:val="0"/>
          <w:sz w:val="22"/>
        </w:rPr>
        <w:t>DOCX-第二页-乙：本页用于确认分页后中文页眉与页脚仍存在，正文字符不应出现方框、缺字或异常换行。</w:t>
      </w:r>
    </w:p>
    <w:p>
      <w:pPr>
        <w:pStyle w:val="Heading2"/>
      </w:pPr>
      <w:r>
        <w:t>验收清单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  <w:sz w:val="22"/>
        </w:rPr>
        <w:t>中文字体可读，关键文本 DOCX-CJK-PASS 可提取。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  <w:sz w:val="22"/>
        </w:rPr>
        <w:t>表格标题、表头和货币数字保持完整。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  <w:sz w:val="22"/>
        </w:rPr>
        <w:t>页眉 DOCX-HEADER 与页脚 DOCX-FOOTER 出现在导出 PDF。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b w:val="0"/>
        <w:color w:val="5B6573"/>
        <w:sz w:val="18"/>
      </w:rPr>
      <w:t xml:space="preserve">中文页脚 DOCX-FOOTER · 第 </w:t>
    </w:r>
    <w:r>
      <w:rPr>
        <w:rFonts w:ascii="Noto Sans CJK SC" w:hAnsi="Noto Sans CJK SC" w:eastAsia="Noto Sans CJK SC" w:cs="Noto Sans CJK SC"/>
        <w:b w:val="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 w:eastAsia="Noto Sans CJK SC" w:cs="Noto Sans CJK SC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 w:cs="Noto Sans CJK SC"/>
        <w:b/>
        <w:color w:val="5B6573"/>
        <w:sz w:val="18"/>
      </w:rPr>
      <w:t>OpenConvert 保真度回归 · 中文页眉 DOCX-HEADER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