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aps w:val="false"/>
          <w:sz w:val="26"/>
          <w:szCs w:val="26"/>
        </w:rPr>
        <w:t xml:space="preserve">UNIVERSITÉ CATHOLIQUE DE L'AFRIQUE DE L'OUEST</w:t>
      </w:r>
    </w:p>
    <w:p>
      <w:pPr>
        <w:spacing w:after="60"/>
        <w:jc w:val="center"/>
      </w:pPr>
      <w:r>
        <w:rPr>
          <w:b/>
          <w:bCs/>
          <w:caps w:val="false"/>
          <w:sz w:val="24"/>
          <w:szCs w:val="24"/>
        </w:rPr>
        <w:t xml:space="preserve">UNITÉ UNIVERSITAIRE AU TOGO</w:t>
      </w:r>
    </w:p>
    <w:p>
      <w:pPr>
        <w:spacing w:after="60"/>
        <w:jc w:val="center"/>
      </w:pPr>
      <w:r>
        <w:rPr>
          <w:b w:val="false"/>
          <w:bCs w:val="false"/>
          <w:caps w:val="false"/>
          <w:sz w:val="24"/>
          <w:szCs w:val="24"/>
        </w:rPr>
        <w:t xml:space="preserve">ÉCOLE SUPÉRIEURE D'INGÉNIEURS</w:t>
      </w:r>
    </w:p>
    <w:p>
      <w:pPr>
        <w:spacing w:after="600"/>
        <w:jc w:val="center"/>
      </w:pPr>
      <w:r>
        <w:rPr>
          <w:b w:val="false"/>
          <w:bCs w:val="false"/>
          <w:caps w:val="false"/>
          <w:sz w:val="22"/>
          <w:szCs w:val="22"/>
        </w:rPr>
        <w:t xml:space="preserve">Cycle Ingénieur — Master 1 Big Data</w:t>
      </w:r>
    </w:p>
    <w:p>
      <w:pPr>
        <w:pBdr>
          <w:top w:val="single" w:color="2A78D6" w:sz="8" w:space="12"/>
        </w:pBdr>
        <w:spacing w:after="160"/>
        <w:jc w:val="center"/>
      </w:pPr>
      <w:r>
        <w:t xml:space="preserve"/>
      </w:r>
    </w:p>
    <w:p>
      <w:pPr>
        <w:spacing w:after="200"/>
        <w:jc w:val="center"/>
      </w:pPr>
      <w:r>
        <w:rPr>
          <w:b/>
          <w:bCs/>
          <w:caps w:val="false"/>
          <w:sz w:val="28"/>
          <w:szCs w:val="28"/>
        </w:rPr>
        <w:t xml:space="preserve">BIG DATA, HADOOP ET APPLICATIONS PYTHON</w:t>
      </w:r>
    </w:p>
    <w:p>
      <w:pPr>
        <w:spacing w:after="160"/>
        <w:jc w:val="center"/>
      </w:pPr>
      <w:r>
        <w:rPr>
          <w:b/>
          <w:bCs/>
          <w:caps w:val="false"/>
          <w:sz w:val="36"/>
          <w:szCs w:val="36"/>
        </w:rPr>
        <w:t xml:space="preserve">Exposé 6 — Hive et Data Warehouse distribué</w:t>
      </w:r>
    </w:p>
    <w:p>
      <w:pPr>
        <w:spacing w:after="160"/>
        <w:jc w:val="center"/>
      </w:pPr>
      <w:r>
        <w:rPr>
          <w:b w:val="false"/>
          <w:bCs w:val="false"/>
          <w:caps w:val="false"/>
          <w:sz w:val="22"/>
          <w:szCs w:val="22"/>
        </w:rPr>
        <w:t xml:space="preserve">Construction d'une couche analytique SQL au-dessus d'un Data Lake HDFS</w:t>
      </w:r>
    </w:p>
    <w:p>
      <w:pPr>
        <w:pBdr>
          <w:bottom w:val="single" w:color="2A78D6" w:sz="8" w:space="12"/>
        </w:pBdr>
        <w:spacing w:after="700"/>
        <w:jc w:val="center"/>
      </w:pPr>
      <w:r>
        <w:t xml:space="preserve"/>
      </w:r>
    </w:p>
    <w:tbl>
      <w:tblPr>
        <w:tblW w:type="dxa" w:w="9638"/>
        <w:tblBorders>
          <w:top w:val="none"/>
          <w:left w:val="none"/>
          <w:bottom w:val="none"/>
          <w:right w:val="none"/>
          <w:insideH w:val="none"/>
          <w:insideV w:val="none"/>
        </w:tblBorders>
      </w:tblPr>
      <w:tblGrid>
        <w:gridCol w:w="4819"/>
        <w:gridCol w:w="4819"/>
      </w:tblGrid>
      <w:tr>
        <w:tc>
          <w:tcPr>
            <w:tcW w:type="dxa" w:w="4819"/>
          </w:tcPr>
          <w:p>
            <w:pPr>
              <w:spacing w:after="100"/>
            </w:pPr>
            <w:r>
              <w:rPr>
                <w:b/>
                <w:bCs/>
                <w:sz w:val="22"/>
                <w:szCs w:val="22"/>
              </w:rPr>
              <w:t xml:space="preserve">Présenté par :</w:t>
            </w:r>
          </w:p>
          <w:p>
            <w:pPr>
              <w:spacing w:after="60"/>
            </w:pPr>
            <w:r>
              <w:rPr>
                <w:sz w:val="22"/>
                <w:szCs w:val="22"/>
              </w:rPr>
              <w:t xml:space="preserve">AMAH-TCHOUTCHOUI Ékué Donald</w:t>
            </w:r>
          </w:p>
          <w:p>
            <w:pPr>
              <w:spacing w:after="60"/>
            </w:pPr>
            <w:r>
              <w:rPr>
                <w:sz w:val="22"/>
                <w:szCs w:val="22"/>
              </w:rPr>
              <w:t xml:space="preserve">FIOKLOU Donia</w:t>
            </w:r>
          </w:p>
          <w:p>
            <w:pPr>
              <w:spacing w:after="60"/>
            </w:pPr>
            <w:r>
              <w:rPr>
                <w:sz w:val="22"/>
                <w:szCs w:val="22"/>
              </w:rPr>
              <w:t xml:space="preserve">MINGANE Gracia</w:t>
            </w:r>
          </w:p>
          <w:p>
            <w:pPr>
              <w:spacing w:after="60"/>
            </w:pPr>
            <w:r>
              <w:rPr>
                <w:sz w:val="22"/>
                <w:szCs w:val="22"/>
              </w:rPr>
              <w:t xml:space="preserve">MOUN-RE Maxime</w:t>
            </w:r>
          </w:p>
        </w:tc>
        <w:tc>
          <w:tcPr>
            <w:tcW w:type="dxa" w:w="4819"/>
          </w:tcPr>
          <w:p>
            <w:pPr>
              <w:spacing w:after="100"/>
              <w:jc w:val="right"/>
            </w:pPr>
            <w:r>
              <w:rPr>
                <w:b/>
                <w:bCs/>
                <w:sz w:val="22"/>
                <w:szCs w:val="22"/>
              </w:rPr>
              <w:t xml:space="preserve">Sous la direction de :</w:t>
            </w:r>
          </w:p>
          <w:p>
            <w:pPr>
              <w:jc w:val="right"/>
            </w:pPr>
            <w:r>
              <w:rPr>
                <w:sz w:val="22"/>
                <w:szCs w:val="22"/>
              </w:rPr>
              <w:t xml:space="preserve">Dr. Sena APEKE</w:t>
            </w:r>
          </w:p>
        </w:tc>
      </w:tr>
    </w:tbl>
    <w:p>
      <w:pPr>
        <w:spacing w:before="800"/>
        <w:jc w:val="center"/>
      </w:pPr>
      <w:r>
        <w:rPr>
          <w:b/>
          <w:bCs/>
          <w:sz w:val="22"/>
          <w:szCs w:val="22"/>
        </w:rPr>
        <w:t xml:space="preserve">Année académique 2025 — 2026</w:t>
      </w:r>
    </w:p>
    <w:p>
      <w:pPr>
        <w:sectPr>
          <w:pgSz w:w="11906" w:h="16838" w:orient="portrait"/>
          <w:pgMar w:top="1134" w:right="1134" w:bottom="1134" w:left="1134" w:header="708" w:footer="708" w:gutter="0"/>
          <w:pgNumType/>
          <w:docGrid w:linePitch="360"/>
        </w:sectPr>
      </w:pPr>
    </w:p>
    <w:p>
      <w:pPr>
        <w:pStyle w:val="Heading1"/>
        <w:spacing w:after="24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Contexte et position dans la chaîne de traitement</w:t>
      </w:r>
    </w:p>
    <w:p>
      <w:pPr>
        <w:spacing w:after="120" w:line="276"/>
      </w:pPr>
      <w:r>
        <w:rPr>
          <w:sz w:val="22"/>
          <w:szCs w:val="22"/>
        </w:rPr>
        <w:t xml:space="preserve">Ce travail constitue le sixième maillon d'un projet unique réparti entre huit groupes. L'ensemble de la promotion traite le même jeu de données — des transactions commerciales réalisées dans huit villes du Togo — et chaque groupe reprend le livrable du précédent, le valide, l'enrichit et le transmet au suivant.</w:t>
      </w:r>
    </w:p>
    <w:p>
      <w:pPr>
        <w:spacing w:after="120" w:line="276"/>
      </w:pPr>
      <w:r>
        <w:rPr>
          <w:sz w:val="22"/>
          <w:szCs w:val="22"/>
        </w:rPr>
        <w:t xml:space="preserve">La chaîne complète va de la donnée brute au modèle prédictif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Données → HDFS → MapReduce → Hadoop Streaming → YARN → Hive → PySpark → Machine Learning</w:t>
      </w:r>
    </w:p>
    <w:p>
      <w:pPr>
        <w:spacing w:after="120" w:line="276"/>
      </w:pPr>
      <w:r>
        <w:rPr>
          <w:sz w:val="22"/>
          <w:szCs w:val="22"/>
        </w:rPr>
        <w:t xml:space="preserve">Le Groupe 6 reçoit des fichiers déposés dans HDFS et rend un entrepôt de données interrogeable en SQL. Concrètement, notre apport consiste à poser une couche de description et d'analyse au-dessus de fichiers qui existent déjà, puis à déposer des résultats exploitables par le Groupe 7, chargé de la partie Spark.</w:t>
      </w:r>
    </w:p>
    <w:p>
      <w:pPr>
        <w:pStyle w:val="Heading2"/>
        <w:spacing w:after="140" w:before="280"/>
      </w:pPr>
      <w:r>
        <w:t xml:space="preserve">1.1 Le jeu de données</w:t>
      </w:r>
    </w:p>
    <w:p>
      <w:pPr>
        <w:spacing w:after="120" w:line="276"/>
      </w:pPr>
      <w:r>
        <w:rPr>
          <w:sz w:val="22"/>
          <w:szCs w:val="22"/>
        </w:rPr>
        <w:t xml:space="preserve">Trois volumes du même jeu sont fournis, afin d'observer le comportement du système à différentes échelles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138"/>
        <w:gridCol w:w="3000"/>
      </w:tblGrid>
      <w:tr>
        <w:trPr>
          <w:tblHeader/>
        </w:trPr>
        <w:tc>
          <w:tcPr>
            <w:tcW w:type="dxa" w:w="3000"/>
            <w:shd w:fill="EDEDEA" w:val="clear"/>
            <w:tcMar>
              <w:top w:type="dxa" w:w="60"/>
              <w:left w:type="dxa" w:w="100"/>
              <w:bottom w:type="dxa" w:w="60"/>
              <w:right w:type="dxa" w:w="100"/>
            </w:tcMar>
          </w:tcPr>
          <w:p>
            <w:pPr>
              <w:spacing w:after="0" w:line="240"/>
            </w:pPr>
            <w:r>
              <w:rPr>
                <w:b/>
                <w:bCs/>
                <w:sz w:val="19"/>
                <w:szCs w:val="19"/>
              </w:rPr>
              <w:t xml:space="preserve">Volume</w:t>
            </w:r>
          </w:p>
        </w:tc>
        <w:tc>
          <w:tcPr>
            <w:tcW w:type="dxa" w:w="1500"/>
            <w:shd w:fill="EDEDEA" w:val="clear"/>
            <w:tcMar>
              <w:top w:type="dxa" w:w="60"/>
              <w:left w:type="dxa" w:w="100"/>
              <w:bottom w:type="dxa" w:w="60"/>
              <w:right w:type="dxa" w:w="100"/>
            </w:tcMar>
          </w:tcPr>
          <w:p>
            <w:pPr>
              <w:spacing w:after="0" w:line="240"/>
            </w:pPr>
            <w:r>
              <w:rPr>
                <w:b/>
                <w:bCs/>
                <w:sz w:val="19"/>
                <w:szCs w:val="19"/>
              </w:rPr>
              <w:t xml:space="preserve">Lignes</w:t>
            </w:r>
          </w:p>
        </w:tc>
        <w:tc>
          <w:tcPr>
            <w:tcW w:type="dxa" w:w="2138"/>
            <w:shd w:fill="EDEDEA" w:val="clear"/>
            <w:tcMar>
              <w:top w:type="dxa" w:w="60"/>
              <w:left w:type="dxa" w:w="100"/>
              <w:bottom w:type="dxa" w:w="60"/>
              <w:right w:type="dxa" w:w="100"/>
            </w:tcMar>
          </w:tcPr>
          <w:p>
            <w:pPr>
              <w:spacing w:after="0" w:line="240"/>
            </w:pPr>
            <w:r>
              <w:rPr>
                <w:b/>
                <w:bCs/>
                <w:sz w:val="19"/>
                <w:szCs w:val="19"/>
              </w:rPr>
              <w:t xml:space="preserve">Taille</w:t>
            </w:r>
          </w:p>
        </w:tc>
        <w:tc>
          <w:tcPr>
            <w:tcW w:type="dxa" w:w="3000"/>
            <w:shd w:fill="EDEDEA" w:val="clear"/>
            <w:tcMar>
              <w:top w:type="dxa" w:w="60"/>
              <w:left w:type="dxa" w:w="100"/>
              <w:bottom w:type="dxa" w:w="60"/>
              <w:right w:type="dxa" w:w="100"/>
            </w:tcMar>
          </w:tcPr>
          <w:p>
            <w:pPr>
              <w:spacing w:after="0" w:line="240"/>
            </w:pPr>
            <w:r>
              <w:rPr>
                <w:b/>
                <w:bCs/>
                <w:sz w:val="19"/>
                <w:szCs w:val="19"/>
              </w:rPr>
              <w:t xml:space="preserve">Usage</w:t>
            </w:r>
          </w:p>
        </w:tc>
      </w:tr>
      <w:tr>
        <w:tc>
          <w:tcPr>
            <w:tcW w:type="dxa" w:w="3000"/>
            <w:tcMar>
              <w:top w:type="dxa" w:w="60"/>
              <w:left w:type="dxa" w:w="100"/>
              <w:bottom w:type="dxa" w:w="60"/>
              <w:right w:type="dxa" w:w="100"/>
            </w:tcMar>
          </w:tcPr>
          <w:p>
            <w:pPr>
              <w:spacing w:after="0" w:line="240"/>
            </w:pPr>
            <w:r>
              <w:rPr>
                <w:b w:val="false"/>
                <w:bCs w:val="false"/>
                <w:sz w:val="19"/>
                <w:szCs w:val="19"/>
              </w:rPr>
              <w:t xml:space="preserve">transactions_small.csv</w:t>
            </w:r>
          </w:p>
        </w:tc>
        <w:tc>
          <w:tcPr>
            <w:tcW w:type="dxa" w:w="1500"/>
            <w:tcMar>
              <w:top w:type="dxa" w:w="60"/>
              <w:left w:type="dxa" w:w="100"/>
              <w:bottom w:type="dxa" w:w="60"/>
              <w:right w:type="dxa" w:w="100"/>
            </w:tcMar>
          </w:tcPr>
          <w:p>
            <w:pPr>
              <w:spacing w:after="0" w:line="240"/>
            </w:pPr>
            <w:r>
              <w:rPr>
                <w:b w:val="false"/>
                <w:bCs w:val="false"/>
                <w:sz w:val="19"/>
                <w:szCs w:val="19"/>
              </w:rPr>
              <w:t xml:space="preserve">10 000</w:t>
            </w:r>
          </w:p>
        </w:tc>
        <w:tc>
          <w:tcPr>
            <w:tcW w:type="dxa" w:w="2138"/>
            <w:tcMar>
              <w:top w:type="dxa" w:w="60"/>
              <w:left w:type="dxa" w:w="100"/>
              <w:bottom w:type="dxa" w:w="60"/>
              <w:right w:type="dxa" w:w="100"/>
            </w:tcMar>
          </w:tcPr>
          <w:p>
            <w:pPr>
              <w:spacing w:after="0" w:line="240"/>
            </w:pPr>
            <w:r>
              <w:rPr>
                <w:b w:val="false"/>
                <w:bCs w:val="false"/>
                <w:sz w:val="19"/>
                <w:szCs w:val="19"/>
              </w:rPr>
              <w:t xml:space="preserve">1,3 Mo</w:t>
            </w:r>
          </w:p>
        </w:tc>
        <w:tc>
          <w:tcPr>
            <w:tcW w:type="dxa" w:w="3000"/>
            <w:tcMar>
              <w:top w:type="dxa" w:w="60"/>
              <w:left w:type="dxa" w:w="100"/>
              <w:bottom w:type="dxa" w:w="60"/>
              <w:right w:type="dxa" w:w="100"/>
            </w:tcMar>
          </w:tcPr>
          <w:p>
            <w:pPr>
              <w:spacing w:after="0" w:line="240"/>
            </w:pPr>
            <w:r>
              <w:rPr>
                <w:b w:val="false"/>
                <w:bCs w:val="false"/>
                <w:sz w:val="19"/>
                <w:szCs w:val="19"/>
              </w:rPr>
              <w:t xml:space="preserve">tests rapides</w:t>
            </w:r>
          </w:p>
        </w:tc>
      </w:tr>
      <w:tr>
        <w:tc>
          <w:tcPr>
            <w:tcW w:type="dxa" w:w="3000"/>
            <w:tcMar>
              <w:top w:type="dxa" w:w="60"/>
              <w:left w:type="dxa" w:w="100"/>
              <w:bottom w:type="dxa" w:w="60"/>
              <w:right w:type="dxa" w:w="100"/>
            </w:tcMar>
          </w:tcPr>
          <w:p>
            <w:pPr>
              <w:spacing w:after="0" w:line="240"/>
            </w:pPr>
            <w:r>
              <w:rPr>
                <w:b w:val="false"/>
                <w:bCs w:val="false"/>
                <w:sz w:val="19"/>
                <w:szCs w:val="19"/>
              </w:rPr>
              <w:t xml:space="preserve">transactions_medium.csv</w:t>
            </w:r>
          </w:p>
        </w:tc>
        <w:tc>
          <w:tcPr>
            <w:tcW w:type="dxa" w:w="1500"/>
            <w:tcMar>
              <w:top w:type="dxa" w:w="60"/>
              <w:left w:type="dxa" w:w="100"/>
              <w:bottom w:type="dxa" w:w="60"/>
              <w:right w:type="dxa" w:w="100"/>
            </w:tcMar>
          </w:tcPr>
          <w:p>
            <w:pPr>
              <w:spacing w:after="0" w:line="240"/>
            </w:pPr>
            <w:r>
              <w:rPr>
                <w:b w:val="false"/>
                <w:bCs w:val="false"/>
                <w:sz w:val="19"/>
                <w:szCs w:val="19"/>
              </w:rPr>
              <w:t xml:space="preserve">500 000</w:t>
            </w:r>
          </w:p>
        </w:tc>
        <w:tc>
          <w:tcPr>
            <w:tcW w:type="dxa" w:w="2138"/>
            <w:tcMar>
              <w:top w:type="dxa" w:w="60"/>
              <w:left w:type="dxa" w:w="100"/>
              <w:bottom w:type="dxa" w:w="60"/>
              <w:right w:type="dxa" w:w="100"/>
            </w:tcMar>
          </w:tcPr>
          <w:p>
            <w:pPr>
              <w:spacing w:after="0" w:line="240"/>
            </w:pPr>
            <w:r>
              <w:rPr>
                <w:b w:val="false"/>
                <w:bCs w:val="false"/>
                <w:sz w:val="19"/>
                <w:szCs w:val="19"/>
              </w:rPr>
              <w:t xml:space="preserve">62,9 Mo</w:t>
            </w:r>
          </w:p>
        </w:tc>
        <w:tc>
          <w:tcPr>
            <w:tcW w:type="dxa" w:w="3000"/>
            <w:tcMar>
              <w:top w:type="dxa" w:w="60"/>
              <w:left w:type="dxa" w:w="100"/>
              <w:bottom w:type="dxa" w:w="60"/>
              <w:right w:type="dxa" w:w="100"/>
            </w:tcMar>
          </w:tcPr>
          <w:p>
            <w:pPr>
              <w:spacing w:after="0" w:line="240"/>
            </w:pPr>
            <w:r>
              <w:rPr>
                <w:b w:val="false"/>
                <w:bCs w:val="false"/>
                <w:sz w:val="19"/>
                <w:szCs w:val="19"/>
              </w:rPr>
              <w:t xml:space="preserve">développement et validation</w:t>
            </w:r>
          </w:p>
        </w:tc>
      </w:tr>
      <w:tr>
        <w:tc>
          <w:tcPr>
            <w:tcW w:type="dxa" w:w="3000"/>
            <w:tcMar>
              <w:top w:type="dxa" w:w="60"/>
              <w:left w:type="dxa" w:w="100"/>
              <w:bottom w:type="dxa" w:w="60"/>
              <w:right w:type="dxa" w:w="100"/>
            </w:tcMar>
          </w:tcPr>
          <w:p>
            <w:pPr>
              <w:spacing w:after="0" w:line="240"/>
            </w:pPr>
            <w:r>
              <w:rPr>
                <w:b w:val="false"/>
                <w:bCs w:val="false"/>
                <w:sz w:val="19"/>
                <w:szCs w:val="19"/>
              </w:rPr>
              <w:t xml:space="preserve">transactions_big.csv.gz</w:t>
            </w:r>
          </w:p>
        </w:tc>
        <w:tc>
          <w:tcPr>
            <w:tcW w:type="dxa" w:w="1500"/>
            <w:tcMar>
              <w:top w:type="dxa" w:w="60"/>
              <w:left w:type="dxa" w:w="100"/>
              <w:bottom w:type="dxa" w:w="60"/>
              <w:right w:type="dxa" w:w="100"/>
            </w:tcMar>
          </w:tcPr>
          <w:p>
            <w:pPr>
              <w:spacing w:after="0" w:line="240"/>
            </w:pPr>
            <w:r>
              <w:rPr>
                <w:b w:val="false"/>
                <w:bCs w:val="false"/>
                <w:sz w:val="19"/>
                <w:szCs w:val="19"/>
              </w:rPr>
              <w:t xml:space="preserve">5 000 000</w:t>
            </w:r>
          </w:p>
        </w:tc>
        <w:tc>
          <w:tcPr>
            <w:tcW w:type="dxa" w:w="2138"/>
            <w:tcMar>
              <w:top w:type="dxa" w:w="60"/>
              <w:left w:type="dxa" w:w="100"/>
              <w:bottom w:type="dxa" w:w="60"/>
              <w:right w:type="dxa" w:w="100"/>
            </w:tcMar>
          </w:tcPr>
          <w:p>
            <w:pPr>
              <w:spacing w:after="0" w:line="240"/>
            </w:pPr>
            <w:r>
              <w:rPr>
                <w:b w:val="false"/>
                <w:bCs w:val="false"/>
                <w:sz w:val="19"/>
                <w:szCs w:val="19"/>
              </w:rPr>
              <w:t xml:space="preserve">138,5 Mo compressés</w:t>
            </w:r>
          </w:p>
        </w:tc>
        <w:tc>
          <w:tcPr>
            <w:tcW w:type="dxa" w:w="3000"/>
            <w:tcMar>
              <w:top w:type="dxa" w:w="60"/>
              <w:left w:type="dxa" w:w="100"/>
              <w:bottom w:type="dxa" w:w="60"/>
              <w:right w:type="dxa" w:w="100"/>
            </w:tcMar>
          </w:tcPr>
          <w:p>
            <w:pPr>
              <w:spacing w:after="0" w:line="240"/>
            </w:pPr>
            <w:r>
              <w:rPr>
                <w:b w:val="false"/>
                <w:bCs w:val="false"/>
                <w:sz w:val="19"/>
                <w:szCs w:val="19"/>
              </w:rPr>
              <w:t xml:space="preserve">expérimentation Big Data</w:t>
            </w:r>
          </w:p>
        </w:tc>
      </w:tr>
    </w:tbl>
    <w:p>
      <w:pPr>
        <w:spacing w:after="0" w:line="120"/>
      </w:pPr>
      <w:r>
        <w:rPr>
          <w:sz w:val="10"/>
          <w:szCs w:val="10"/>
        </w:rPr>
        <w:t xml:space="preserve"/>
      </w:r>
    </w:p>
    <w:p>
      <w:pPr>
        <w:spacing w:after="60" w:line="276"/>
      </w:pPr>
      <w:r>
        <w:rPr>
          <w:sz w:val="22"/>
          <w:szCs w:val="22"/>
        </w:rPr>
        <w:t xml:space="preserve">Chaque ligne comporte dix-neuf colonnes décrivant une transaction : identifiant, horodatage, client, ville, magasin, catégorie, produit, quantité, prix unitaire, remise, mode de paiement, âge et type de client, stocks avant et après, indicateur de promotion, jour de la semaine, indicateur de livraison et montant net.</w:t>
      </w:r>
    </w:p>
    <w:p>
      <w:pPr>
        <w:spacing w:after="120" w:line="276"/>
      </w:pPr>
      <w:r>
        <w:rPr>
          <w:sz w:val="22"/>
          <w:szCs w:val="22"/>
        </w:rPr>
        <w:t xml:space="preserve">Le montant est défini par la relation </w:t>
      </w:r>
      <w:r>
        <w:rPr>
          <w:b/>
          <w:bCs/>
          <w:sz w:val="22"/>
          <w:szCs w:val="22"/>
        </w:rPr>
        <w:t xml:space="preserve">montant = quantité × prix_unitaire × (1 − remise)</w:t>
      </w:r>
      <w:r>
        <w:rPr>
          <w:sz w:val="22"/>
          <w:szCs w:val="22"/>
        </w:rPr>
        <w:t xml:space="preserve">, relation que nous vérifions explicitement au lieu de la supposer (section 6).</w:t>
      </w:r>
    </w:p>
    <w:p>
      <w:pPr>
        <w:pStyle w:val="Heading2"/>
        <w:spacing w:after="140" w:before="280"/>
      </w:pPr>
      <w:r>
        <w:t xml:space="preserve">1.2 Ce que nous avons reçu</w:t>
      </w:r>
    </w:p>
    <w:p>
      <w:pPr>
        <w:spacing w:after="120" w:line="276"/>
      </w:pPr>
      <w:r>
        <w:rPr>
          <w:sz w:val="22"/>
          <w:szCs w:val="22"/>
        </w:rPr>
        <w:t xml:space="preserve">À la date de réalisation de ce travail, aucun des Groupes 1 à 5 n'avait transmis de livrable : ni arborescence HDFS, ni résultats de référence MapReduce, ni mesures YARN. Le Groupe 4, dont nous devions reprendre les sorties pour les comparer aux nôtres, n'avait pas encore présenté.</w:t>
      </w:r>
    </w:p>
    <w:p>
      <w:pPr>
        <w:spacing w:after="120" w:line="276"/>
      </w:pPr>
      <w:r>
        <w:rPr>
          <w:sz w:val="22"/>
          <w:szCs w:val="22"/>
        </w:rPr>
        <w:t xml:space="preserve">Nous avons donc reconstruit ce qui manquait, en le documentant systématiquement — la règle de transmission de l'énoncé interdit de reconstruire silencieusement une sortie manquante. Le détail figure en section 9.</w:t>
      </w:r>
    </w:p>
    <w:p>
      <w:pPr>
        <w:pStyle w:val="Heading1"/>
        <w:spacing w:after="200" w:before="360"/>
      </w:pPr>
      <w:r>
        <w:t xml:space="preserve">2. Fondements théoriques</w:t>
      </w:r>
    </w:p>
    <w:p>
      <w:pPr>
        <w:pStyle w:val="Heading2"/>
        <w:spacing w:after="140" w:before="280"/>
      </w:pPr>
      <w:r>
        <w:t xml:space="preserve">2.1 Pourquoi une infrastructure distribuée</w:t>
      </w:r>
    </w:p>
    <w:p>
      <w:pPr>
        <w:spacing w:after="120" w:line="276"/>
      </w:pPr>
      <w:r>
        <w:rPr>
          <w:sz w:val="22"/>
          <w:szCs w:val="22"/>
        </w:rPr>
        <w:t xml:space="preserve">Hadoop répond à un problème précis : lorsque les données dépassent ce qu'une machine peut stocker ou lire en un temps acceptable, il devient moins coûteux de déplacer le calcul vers les données que l'inverse. Trois principes en découlent, qui structurent toute l'architecture :</w:t>
      </w:r>
    </w:p>
    <w:p>
      <w:pPr>
        <w:pStyle w:val="ListParagraph"/>
        <w:numPr>
          <w:ilvl w:val="0"/>
          <w:numId w:val="2"/>
        </w:numPr>
        <w:spacing w:after="80" w:line="276"/>
      </w:pPr>
      <w:r>
        <w:rPr>
          <w:sz w:val="22"/>
          <w:szCs w:val="22"/>
        </w:rPr>
        <w:t xml:space="preserve">La localité des données : le programme, qui pèse quelques kilo-octets, est envoyé sur les machines détenant déjà les données, plutôt que de faire transiter des téraoctets par le réseau.</w:t>
      </w:r>
    </w:p>
    <w:p>
      <w:pPr>
        <w:pStyle w:val="ListParagraph"/>
        <w:numPr>
          <w:ilvl w:val="0"/>
          <w:numId w:val="2"/>
        </w:numPr>
        <w:spacing w:after="80" w:line="276"/>
      </w:pPr>
      <w:r>
        <w:rPr>
          <w:sz w:val="22"/>
          <w:szCs w:val="22"/>
        </w:rPr>
        <w:t xml:space="preserve">La montée en charge horizontale : on ajoute des machines ordinaires au lieu d'acquérir une machine plus puissante, dont le coût croît plus vite que la capacité.</w:t>
      </w:r>
    </w:p>
    <w:p>
      <w:pPr>
        <w:pStyle w:val="ListParagraph"/>
        <w:numPr>
          <w:ilvl w:val="0"/>
          <w:numId w:val="2"/>
        </w:numPr>
        <w:spacing w:after="80" w:line="276"/>
      </w:pPr>
      <w:r>
        <w:rPr>
          <w:sz w:val="22"/>
          <w:szCs w:val="22"/>
        </w:rPr>
        <w:t xml:space="preserve">La tolérance aux pannes : sur un parc important, la défaillance est l'état normal. Le système réplique les données et relance automatiquement les calculs perdus.</w:t>
      </w:r>
    </w:p>
    <w:p>
      <w:pPr>
        <w:spacing w:after="120" w:line="276"/>
      </w:pPr>
      <w:r>
        <w:rPr>
          <w:sz w:val="22"/>
          <w:szCs w:val="22"/>
        </w:rPr>
        <w:t xml:space="preserve">Ce choix a un coût qu'il faut énoncer : l'infrastructure est lente sur de petits volumes. Nos propres mesures le confirment — le même calcul prend environ deux secondes avec un enchaînement de commandes Unix sur une seule machine, et un ordre de grandeur comparable avec Hive sur un cluster complet (section 7). Hadoop ne devient rentable qu'au-delà de ce qu'une machine traite seule.</w:t>
      </w:r>
    </w:p>
    <w:p>
      <w:pPr>
        <w:pStyle w:val="Heading2"/>
        <w:spacing w:after="140" w:before="280"/>
      </w:pPr>
      <w:r>
        <w:t xml:space="preserve">2.2 HDFS</w:t>
      </w:r>
    </w:p>
    <w:p>
      <w:pPr>
        <w:spacing w:after="120" w:line="276"/>
      </w:pPr>
      <w:r>
        <w:rPr>
          <w:sz w:val="22"/>
          <w:szCs w:val="22"/>
        </w:rPr>
        <w:t xml:space="preserve">HDFS découpe chaque fichier en blocs de taille fixe — 128 Mo dans notre configuration — et répartit ces blocs sur les machines du cluster. Le nombre de blocs d'un fichier vaut le quotient arrondi au supérieur de sa taille par celle du bloc.</w:t>
      </w:r>
    </w:p>
    <w:p>
      <w:pPr>
        <w:spacing w:after="120" w:line="276"/>
      </w:pPr>
      <w:r>
        <w:rPr>
          <w:sz w:val="22"/>
          <w:szCs w:val="22"/>
        </w:rPr>
        <w:t xml:space="preserve">Deux rôles coexistent. Le NameNode détient l'annuaire : quels fichiers existent, découpés en quels blocs, placés sur quelles machines. Il conserve cet annuaire en mémoire, ce qui explique sa sensibilité au nombre de fichiers. Les DataNodes détiennent les blocs eux-mêmes, sans savoir à quel fichier ils appartiennent.</w:t>
      </w:r>
    </w:p>
    <w:p>
      <w:pPr>
        <w:spacing w:after="120" w:line="276"/>
      </w:pPr>
      <w:r>
        <w:rPr>
          <w:sz w:val="22"/>
          <w:szCs w:val="22"/>
        </w:rPr>
        <w:t xml:space="preserve">Le choix de blocs volumineux — 128 Mo contre 4 ko pour un système de fichiers ordinaire — vise à rendre négligeable le temps de positionnement du disque devant le temps de lecture. Il explique aussi la difficulté connue sous le nom de small files problem : un fichier d'un kilo-octet occupe une entrée complète dans la mémoire du NameNode, exactement comme un fichier de 128 Mo.</w:t>
      </w:r>
    </w:p>
    <w:p>
      <w:pPr>
        <w:pStyle w:val="Heading2"/>
        <w:spacing w:after="140" w:before="280"/>
      </w:pPr>
      <w:r>
        <w:t xml:space="preserve">2.3 MapReduce</w:t>
      </w:r>
    </w:p>
    <w:p>
      <w:pPr>
        <w:spacing w:after="120" w:line="276"/>
      </w:pPr>
      <w:r>
        <w:rPr>
          <w:sz w:val="22"/>
          <w:szCs w:val="22"/>
        </w:rPr>
        <w:t xml:space="preserve">MapReduce est un modèle de programmation, non un logiciel. Il impose d'exprimer tout calcul en deux fonctions reliées par un tri, contrainte qui paraît sévère jusqu'à ce qu'on en mesure le bénéfice : un calcul ainsi formulé se parallélise sans que le programmeur n'écrive une ligne de code réseau.</w:t>
      </w:r>
    </w:p>
    <w:p>
      <w:pPr>
        <w:spacing w:after="120" w:line="276"/>
      </w:pPr>
      <w:r>
        <w:rPr>
          <w:sz w:val="22"/>
          <w:szCs w:val="22"/>
        </w:rPr>
        <w:t xml:space="preserve">Trois phases s'enchaînent. En phase Map, chaque machine lit les lignes qu'elle détient et émet des couples clé-valeur, sans communiquer avec les autres. En phase Shuffle, le framework regroupe les couples par clé et les achemine vers le même reducer — c'est la seule phase où les données traversent le réseau, et donc souvent le goulet d'étranglement. En phase Reduce, chaque clé et l'ensemble de ses valeurs sont agrégés en un résultat.</w:t>
      </w:r>
    </w:p>
    <w:p>
      <w:pPr>
        <w:spacing w:after="120" w:line="276"/>
      </w:pPr>
      <w:r>
        <w:rPr>
          <w:sz w:val="22"/>
          <w:szCs w:val="22"/>
        </w:rPr>
        <w:t xml:space="preserve">Un combiner peut réaliser une agrégation partielle côté mapper afin d'alléger le shuffle. Il n'est licite que si l'opération est associative et commutative : vrai pour une somme ou un comptage, faux pour une moyenne ou une médiane.</w:t>
      </w:r>
    </w:p>
    <w:p>
      <w:pPr>
        <w:pStyle w:val="Heading2"/>
        <w:spacing w:after="140" w:before="280"/>
      </w:pPr>
      <w:r>
        <w:t xml:space="preserve">2.4 Hive</w:t>
      </w:r>
    </w:p>
    <w:p>
      <w:pPr>
        <w:spacing w:after="120" w:line="276"/>
      </w:pPr>
      <w:r>
        <w:rPr>
          <w:sz w:val="22"/>
          <w:szCs w:val="22"/>
        </w:rPr>
        <w:t xml:space="preserve">Écrire un couple mapper / reducer pour chaque question est fastidieux. Hive traduit des requêtes SQL en jobs MapReduce, ce qui ramène une analyse à quelques lignes de code déclaratif.</w:t>
      </w:r>
    </w:p>
    <w:p>
      <w:pPr>
        <w:spacing w:after="120" w:line="276"/>
      </w:pPr>
      <w:r>
        <w:rPr>
          <w:sz w:val="22"/>
          <w:szCs w:val="22"/>
        </w:rPr>
        <w:t xml:space="preserve">Il importe cependant de dire ce que Hive n'est pas : ce n'est pas une base de données. Il ne stocke aucune donnée, n'offre pas de transactions et n'est pas conçu pour répondre en quelques millisecondes.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shd w:fill="EDEDEA" w:val="clear"/>
            <w:tcMar>
              <w:top w:type="dxa" w:w="60"/>
              <w:left w:type="dxa" w:w="100"/>
              <w:bottom w:type="dxa" w:w="60"/>
              <w:right w:type="dxa" w:w="100"/>
            </w:tcMar>
          </w:tcPr>
          <w:p>
            <w:pPr>
              <w:spacing w:after="0" w:line="240"/>
            </w:pPr>
            <w:r>
              <w:rPr>
                <w:b/>
                <w:bCs/>
                <w:sz w:val="19"/>
                <w:szCs w:val="19"/>
              </w:rPr>
              <w:t xml:space="preserve"/>
            </w:r>
          </w:p>
        </w:tc>
        <w:tc>
          <w:tcPr>
            <w:tcW w:type="dxa" w:w="3519"/>
            <w:shd w:fill="EDEDEA" w:val="clear"/>
            <w:tcMar>
              <w:top w:type="dxa" w:w="60"/>
              <w:left w:type="dxa" w:w="100"/>
              <w:bottom w:type="dxa" w:w="60"/>
              <w:right w:type="dxa" w:w="100"/>
            </w:tcMar>
          </w:tcPr>
          <w:p>
            <w:pPr>
              <w:spacing w:after="0" w:line="240"/>
            </w:pPr>
            <w:r>
              <w:rPr>
                <w:b/>
                <w:bCs/>
                <w:sz w:val="19"/>
                <w:szCs w:val="19"/>
              </w:rPr>
              <w:t xml:space="preserve">Base relationnelle</w:t>
            </w:r>
          </w:p>
        </w:tc>
        <w:tc>
          <w:tcPr>
            <w:tcW w:type="dxa" w:w="3519"/>
            <w:shd w:fill="EDEDEA" w:val="clear"/>
            <w:tcMar>
              <w:top w:type="dxa" w:w="60"/>
              <w:left w:type="dxa" w:w="100"/>
              <w:bottom w:type="dxa" w:w="60"/>
              <w:right w:type="dxa" w:w="100"/>
            </w:tcMar>
          </w:tcPr>
          <w:p>
            <w:pPr>
              <w:spacing w:after="0" w:line="240"/>
            </w:pPr>
            <w:r>
              <w:rPr>
                <w:b/>
                <w:bCs/>
                <w:sz w:val="19"/>
                <w:szCs w:val="19"/>
              </w:rPr>
              <w:t xml:space="preserve">Hive</w:t>
            </w:r>
          </w:p>
        </w:tc>
      </w:tr>
      <w:tr>
        <w:tc>
          <w:tcPr>
            <w:tcW w:type="dxa" w:w="2600"/>
            <w:tcMar>
              <w:top w:type="dxa" w:w="60"/>
              <w:left w:type="dxa" w:w="100"/>
              <w:bottom w:type="dxa" w:w="60"/>
              <w:right w:type="dxa" w:w="100"/>
            </w:tcMar>
          </w:tcPr>
          <w:p>
            <w:pPr>
              <w:spacing w:after="0" w:line="240"/>
            </w:pPr>
            <w:r>
              <w:rPr>
                <w:b w:val="false"/>
                <w:bCs w:val="false"/>
                <w:sz w:val="19"/>
                <w:szCs w:val="19"/>
              </w:rPr>
              <w:t xml:space="preserve">Localisation des données</w:t>
            </w:r>
          </w:p>
        </w:tc>
        <w:tc>
          <w:tcPr>
            <w:tcW w:type="dxa" w:w="3519"/>
            <w:tcMar>
              <w:top w:type="dxa" w:w="60"/>
              <w:left w:type="dxa" w:w="100"/>
              <w:bottom w:type="dxa" w:w="60"/>
              <w:right w:type="dxa" w:w="100"/>
            </w:tcMar>
          </w:tcPr>
          <w:p>
            <w:pPr>
              <w:spacing w:after="0" w:line="240"/>
            </w:pPr>
            <w:r>
              <w:rPr>
                <w:b w:val="false"/>
                <w:bCs w:val="false"/>
                <w:sz w:val="19"/>
                <w:szCs w:val="19"/>
              </w:rPr>
              <w:t xml:space="preserve">dans la base, format propriétaire</w:t>
            </w:r>
          </w:p>
        </w:tc>
        <w:tc>
          <w:tcPr>
            <w:tcW w:type="dxa" w:w="3519"/>
            <w:tcMar>
              <w:top w:type="dxa" w:w="60"/>
              <w:left w:type="dxa" w:w="100"/>
              <w:bottom w:type="dxa" w:w="60"/>
              <w:right w:type="dxa" w:w="100"/>
            </w:tcMar>
          </w:tcPr>
          <w:p>
            <w:pPr>
              <w:spacing w:after="0" w:line="240"/>
            </w:pPr>
            <w:r>
              <w:rPr>
                <w:b w:val="false"/>
                <w:bCs w:val="false"/>
                <w:sz w:val="19"/>
                <w:szCs w:val="19"/>
              </w:rPr>
              <w:t xml:space="preserve">dans HDFS, fichiers ordinaires</w:t>
            </w:r>
          </w:p>
        </w:tc>
      </w:tr>
      <w:tr>
        <w:tc>
          <w:tcPr>
            <w:tcW w:type="dxa" w:w="2600"/>
            <w:tcMar>
              <w:top w:type="dxa" w:w="60"/>
              <w:left w:type="dxa" w:w="100"/>
              <w:bottom w:type="dxa" w:w="60"/>
              <w:right w:type="dxa" w:w="100"/>
            </w:tcMar>
          </w:tcPr>
          <w:p>
            <w:pPr>
              <w:spacing w:after="0" w:line="240"/>
            </w:pPr>
            <w:r>
              <w:rPr>
                <w:b w:val="false"/>
                <w:bCs w:val="false"/>
                <w:sz w:val="19"/>
                <w:szCs w:val="19"/>
              </w:rPr>
              <w:t xml:space="preserve">Application du schéma</w:t>
            </w:r>
          </w:p>
        </w:tc>
        <w:tc>
          <w:tcPr>
            <w:tcW w:type="dxa" w:w="3519"/>
            <w:tcMar>
              <w:top w:type="dxa" w:w="60"/>
              <w:left w:type="dxa" w:w="100"/>
              <w:bottom w:type="dxa" w:w="60"/>
              <w:right w:type="dxa" w:w="100"/>
            </w:tcMar>
          </w:tcPr>
          <w:p>
            <w:pPr>
              <w:spacing w:after="0" w:line="240"/>
            </w:pPr>
            <w:r>
              <w:rPr>
                <w:b w:val="false"/>
                <w:bCs w:val="false"/>
                <w:sz w:val="19"/>
                <w:szCs w:val="19"/>
              </w:rPr>
              <w:t xml:space="preserve">à l'écriture</w:t>
            </w:r>
          </w:p>
        </w:tc>
        <w:tc>
          <w:tcPr>
            <w:tcW w:type="dxa" w:w="3519"/>
            <w:tcMar>
              <w:top w:type="dxa" w:w="60"/>
              <w:left w:type="dxa" w:w="100"/>
              <w:bottom w:type="dxa" w:w="60"/>
              <w:right w:type="dxa" w:w="100"/>
            </w:tcMar>
          </w:tcPr>
          <w:p>
            <w:pPr>
              <w:spacing w:after="0" w:line="240"/>
            </w:pPr>
            <w:r>
              <w:rPr>
                <w:b w:val="false"/>
                <w:bCs w:val="false"/>
                <w:sz w:val="19"/>
                <w:szCs w:val="19"/>
              </w:rPr>
              <w:t xml:space="preserve">à la lecture (schema on read)</w:t>
            </w:r>
          </w:p>
        </w:tc>
      </w:tr>
      <w:tr>
        <w:tc>
          <w:tcPr>
            <w:tcW w:type="dxa" w:w="2600"/>
            <w:tcMar>
              <w:top w:type="dxa" w:w="60"/>
              <w:left w:type="dxa" w:w="100"/>
              <w:bottom w:type="dxa" w:w="60"/>
              <w:right w:type="dxa" w:w="100"/>
            </w:tcMar>
          </w:tcPr>
          <w:p>
            <w:pPr>
              <w:spacing w:after="0" w:line="240"/>
            </w:pPr>
            <w:r>
              <w:rPr>
                <w:b w:val="false"/>
                <w:bCs w:val="false"/>
                <w:sz w:val="19"/>
                <w:szCs w:val="19"/>
              </w:rPr>
              <w:t xml:space="preserve">Modification d'une ligne</w:t>
            </w:r>
          </w:p>
        </w:tc>
        <w:tc>
          <w:tcPr>
            <w:tcW w:type="dxa" w:w="3519"/>
            <w:tcMar>
              <w:top w:type="dxa" w:w="60"/>
              <w:left w:type="dxa" w:w="100"/>
              <w:bottom w:type="dxa" w:w="60"/>
              <w:right w:type="dxa" w:w="100"/>
            </w:tcMar>
          </w:tcPr>
          <w:p>
            <w:pPr>
              <w:spacing w:after="0" w:line="240"/>
            </w:pPr>
            <w:r>
              <w:rPr>
                <w:b w:val="false"/>
                <w:bCs w:val="false"/>
                <w:sz w:val="19"/>
                <w:szCs w:val="19"/>
              </w:rPr>
              <w:t xml:space="preserve">UPDATE et DELETE naturels</w:t>
            </w:r>
          </w:p>
        </w:tc>
        <w:tc>
          <w:tcPr>
            <w:tcW w:type="dxa" w:w="3519"/>
            <w:tcMar>
              <w:top w:type="dxa" w:w="60"/>
              <w:left w:type="dxa" w:w="100"/>
              <w:bottom w:type="dxa" w:w="60"/>
              <w:right w:type="dxa" w:w="100"/>
            </w:tcMar>
          </w:tcPr>
          <w:p>
            <w:pPr>
              <w:spacing w:after="0" w:line="240"/>
            </w:pPr>
            <w:r>
              <w:rPr>
                <w:b w:val="false"/>
                <w:bCs w:val="false"/>
                <w:sz w:val="19"/>
                <w:szCs w:val="19"/>
              </w:rPr>
              <w:t xml:space="preserve">très limités, à éviter</w:t>
            </w:r>
          </w:p>
        </w:tc>
      </w:tr>
      <w:tr>
        <w:tc>
          <w:tcPr>
            <w:tcW w:type="dxa" w:w="2600"/>
            <w:tcMar>
              <w:top w:type="dxa" w:w="60"/>
              <w:left w:type="dxa" w:w="100"/>
              <w:bottom w:type="dxa" w:w="60"/>
              <w:right w:type="dxa" w:w="100"/>
            </w:tcMar>
          </w:tcPr>
          <w:p>
            <w:pPr>
              <w:spacing w:after="0" w:line="240"/>
            </w:pPr>
            <w:r>
              <w:rPr>
                <w:b w:val="false"/>
                <w:bCs w:val="false"/>
                <w:sz w:val="19"/>
                <w:szCs w:val="19"/>
              </w:rPr>
              <w:t xml:space="preserve">Temps de réponse</w:t>
            </w:r>
          </w:p>
        </w:tc>
        <w:tc>
          <w:tcPr>
            <w:tcW w:type="dxa" w:w="3519"/>
            <w:tcMar>
              <w:top w:type="dxa" w:w="60"/>
              <w:left w:type="dxa" w:w="100"/>
              <w:bottom w:type="dxa" w:w="60"/>
              <w:right w:type="dxa" w:w="100"/>
            </w:tcMar>
          </w:tcPr>
          <w:p>
            <w:pPr>
              <w:spacing w:after="0" w:line="240"/>
            </w:pPr>
            <w:r>
              <w:rPr>
                <w:b w:val="false"/>
                <w:bCs w:val="false"/>
                <w:sz w:val="19"/>
                <w:szCs w:val="19"/>
              </w:rPr>
              <w:t xml:space="preserve">millisecondes</w:t>
            </w:r>
          </w:p>
        </w:tc>
        <w:tc>
          <w:tcPr>
            <w:tcW w:type="dxa" w:w="3519"/>
            <w:tcMar>
              <w:top w:type="dxa" w:w="60"/>
              <w:left w:type="dxa" w:w="100"/>
              <w:bottom w:type="dxa" w:w="60"/>
              <w:right w:type="dxa" w:w="100"/>
            </w:tcMar>
          </w:tcPr>
          <w:p>
            <w:pPr>
              <w:spacing w:after="0" w:line="240"/>
            </w:pPr>
            <w:r>
              <w:rPr>
                <w:b w:val="false"/>
                <w:bCs w:val="false"/>
                <w:sz w:val="19"/>
                <w:szCs w:val="19"/>
              </w:rPr>
              <w:t xml:space="preserve">secondes à minutes</w:t>
            </w:r>
          </w:p>
        </w:tc>
      </w:tr>
      <w:tr>
        <w:tc>
          <w:tcPr>
            <w:tcW w:type="dxa" w:w="2600"/>
            <w:tcMar>
              <w:top w:type="dxa" w:w="60"/>
              <w:left w:type="dxa" w:w="100"/>
              <w:bottom w:type="dxa" w:w="60"/>
              <w:right w:type="dxa" w:w="100"/>
            </w:tcMar>
          </w:tcPr>
          <w:p>
            <w:pPr>
              <w:spacing w:after="0" w:line="240"/>
            </w:pPr>
            <w:r>
              <w:rPr>
                <w:b w:val="false"/>
                <w:bCs w:val="false"/>
                <w:sz w:val="19"/>
                <w:szCs w:val="19"/>
              </w:rPr>
              <w:t xml:space="preserve">Usage visé</w:t>
            </w:r>
          </w:p>
        </w:tc>
        <w:tc>
          <w:tcPr>
            <w:tcW w:type="dxa" w:w="3519"/>
            <w:tcMar>
              <w:top w:type="dxa" w:w="60"/>
              <w:left w:type="dxa" w:w="100"/>
              <w:bottom w:type="dxa" w:w="60"/>
              <w:right w:type="dxa" w:w="100"/>
            </w:tcMar>
          </w:tcPr>
          <w:p>
            <w:pPr>
              <w:spacing w:after="0" w:line="240"/>
            </w:pPr>
            <w:r>
              <w:rPr>
                <w:b w:val="false"/>
                <w:bCs w:val="false"/>
                <w:sz w:val="19"/>
                <w:szCs w:val="19"/>
              </w:rPr>
              <w:t xml:space="preserve">transactions du quotidien</w:t>
            </w:r>
          </w:p>
        </w:tc>
        <w:tc>
          <w:tcPr>
            <w:tcW w:type="dxa" w:w="3519"/>
            <w:tcMar>
              <w:top w:type="dxa" w:w="60"/>
              <w:left w:type="dxa" w:w="100"/>
              <w:bottom w:type="dxa" w:w="60"/>
              <w:right w:type="dxa" w:w="100"/>
            </w:tcMar>
          </w:tcPr>
          <w:p>
            <w:pPr>
              <w:spacing w:after="0" w:line="240"/>
            </w:pPr>
            <w:r>
              <w:rPr>
                <w:b w:val="false"/>
                <w:bCs w:val="false"/>
                <w:sz w:val="19"/>
                <w:szCs w:val="19"/>
              </w:rPr>
              <w:t xml:space="preserve">analyse de gros volumes</w:t>
            </w:r>
          </w:p>
        </w:tc>
      </w:tr>
    </w:tbl>
    <w:p>
      <w:pPr>
        <w:spacing w:after="0" w:line="120"/>
      </w:pPr>
      <w:r>
        <w:rPr>
          <w:sz w:val="10"/>
          <w:szCs w:val="10"/>
        </w:rPr>
        <w:t xml:space="preserve"/>
      </w:r>
    </w:p>
    <w:p>
      <w:pPr>
        <w:spacing w:after="120" w:line="276"/>
      </w:pPr>
      <w:r>
        <w:rPr>
          <w:sz w:val="22"/>
          <w:szCs w:val="22"/>
        </w:rPr>
        <w:t xml:space="preserve">Le schema on read est l'idée centrale : les fichiers existent d'abord, et la table se contente de déclarer comment les lire. Créer une table ne déplace ni ne transforme aucun octet. Deux tables peuvent d'ailleurs décrire le même fichier de deux manières différentes.</w:t>
      </w:r>
    </w:p>
    <w:p>
      <w:pPr>
        <w:spacing w:after="120" w:line="276"/>
      </w:pPr>
      <w:r>
        <w:rPr>
          <w:sz w:val="22"/>
          <w:szCs w:val="22"/>
        </w:rPr>
        <w:t xml:space="preserve">Ce que Hive conserve, c'est le metastore : les noms de tables, les colonnes et leurs types, les emplacements HDFS, les formats et la liste des partitions. Dans notre cluster, ce metastore est une base PostgreSQL hébergée dans son propre conteneur. Si le metastore est perdu, les fichiers demeurent intacts dans HDFS mais plus aucune table n'existe.</w:t>
      </w:r>
    </w:p>
    <w:p>
      <w:pPr>
        <w:pStyle w:val="Heading1"/>
        <w:spacing w:after="200" w:before="360"/>
      </w:pPr>
      <w:r>
        <w:t xml:space="preserve">3. Architecture mise en œuvre</w:t>
      </w:r>
    </w:p>
    <w:p>
      <w:pPr>
        <w:pStyle w:val="Heading2"/>
        <w:spacing w:after="140" w:before="280"/>
      </w:pPr>
      <w:r>
        <w:t xml:space="preserve">3.1 Le cluster</w:t>
      </w:r>
    </w:p>
    <w:p>
      <w:pPr>
        <w:spacing w:after="120" w:line="276"/>
      </w:pPr>
      <w:r>
        <w:rPr>
          <w:sz w:val="22"/>
          <w:szCs w:val="22"/>
        </w:rPr>
        <w:t xml:space="preserve">L'environnement repose sur Docker, pour deux raisons. L'installation manuelle de Hadoop et Hive sous Windows exige Java, de nombreuses variables d'environnement et une configuration SSH ; et surtout, Docker garantit un environnement identique pour tous les membres du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038"/>
        <w:gridCol w:w="3200"/>
      </w:tblGrid>
      <w:tr>
        <w:trPr>
          <w:tblHeader/>
        </w:trPr>
        <w:tc>
          <w:tcPr>
            <w:tcW w:type="dxa" w:w="2400"/>
            <w:shd w:fill="EDEDEA" w:val="clear"/>
            <w:tcMar>
              <w:top w:type="dxa" w:w="60"/>
              <w:left w:type="dxa" w:w="100"/>
              <w:bottom w:type="dxa" w:w="60"/>
              <w:right w:type="dxa" w:w="100"/>
            </w:tcMar>
          </w:tcPr>
          <w:p>
            <w:pPr>
              <w:spacing w:after="0" w:line="240"/>
            </w:pPr>
            <w:r>
              <w:rPr>
                <w:b/>
                <w:bCs/>
                <w:sz w:val="19"/>
                <w:szCs w:val="19"/>
              </w:rPr>
              <w:t xml:space="preserve">Service</w:t>
            </w:r>
          </w:p>
        </w:tc>
        <w:tc>
          <w:tcPr>
            <w:tcW w:type="dxa" w:w="4038"/>
            <w:shd w:fill="EDEDEA" w:val="clear"/>
            <w:tcMar>
              <w:top w:type="dxa" w:w="60"/>
              <w:left w:type="dxa" w:w="100"/>
              <w:bottom w:type="dxa" w:w="60"/>
              <w:right w:type="dxa" w:w="100"/>
            </w:tcMar>
          </w:tcPr>
          <w:p>
            <w:pPr>
              <w:spacing w:after="0" w:line="240"/>
            </w:pPr>
            <w:r>
              <w:rPr>
                <w:b/>
                <w:bCs/>
                <w:sz w:val="19"/>
                <w:szCs w:val="19"/>
              </w:rPr>
              <w:t xml:space="preserve">Image</w:t>
            </w:r>
          </w:p>
        </w:tc>
        <w:tc>
          <w:tcPr>
            <w:tcW w:type="dxa" w:w="3200"/>
            <w:shd w:fill="EDEDEA" w:val="clear"/>
            <w:tcMar>
              <w:top w:type="dxa" w:w="60"/>
              <w:left w:type="dxa" w:w="100"/>
              <w:bottom w:type="dxa" w:w="60"/>
              <w:right w:type="dxa" w:w="100"/>
            </w:tcMar>
          </w:tcPr>
          <w:p>
            <w:pPr>
              <w:spacing w:after="0" w:line="240"/>
            </w:pPr>
            <w:r>
              <w:rPr>
                <w:b/>
                <w:bCs/>
                <w:sz w:val="19"/>
                <w:szCs w:val="19"/>
              </w:rPr>
              <w:t xml:space="preserve">Rôle</w:t>
            </w:r>
          </w:p>
        </w:tc>
      </w:tr>
      <w:tr>
        <w:tc>
          <w:tcPr>
            <w:tcW w:type="dxa" w:w="2400"/>
            <w:tcMar>
              <w:top w:type="dxa" w:w="60"/>
              <w:left w:type="dxa" w:w="100"/>
              <w:bottom w:type="dxa" w:w="60"/>
              <w:right w:type="dxa" w:w="100"/>
            </w:tcMar>
          </w:tcPr>
          <w:p>
            <w:pPr>
              <w:spacing w:after="0" w:line="240"/>
            </w:pPr>
            <w:r>
              <w:rPr>
                <w:b w:val="false"/>
                <w:bCs w:val="false"/>
                <w:sz w:val="19"/>
                <w:szCs w:val="19"/>
              </w:rPr>
              <w:t xml:space="preserve">namenode</w:t>
            </w:r>
          </w:p>
        </w:tc>
        <w:tc>
          <w:tcPr>
            <w:tcW w:type="dxa" w:w="4038"/>
            <w:tcMar>
              <w:top w:type="dxa" w:w="60"/>
              <w:left w:type="dxa" w:w="100"/>
              <w:bottom w:type="dxa" w:w="60"/>
              <w:right w:type="dxa" w:w="100"/>
            </w:tcMar>
          </w:tcPr>
          <w:p>
            <w:pPr>
              <w:spacing w:after="0" w:line="240"/>
            </w:pPr>
            <w:r>
              <w:rPr>
                <w:b w:val="false"/>
                <w:bCs w:val="false"/>
                <w:sz w:val="19"/>
                <w:szCs w:val="19"/>
              </w:rPr>
              <w:t xml:space="preserve">bde2020/hadoop-namenode:2.0.0-hadoop3.2.1</w:t>
            </w:r>
          </w:p>
        </w:tc>
        <w:tc>
          <w:tcPr>
            <w:tcW w:type="dxa" w:w="3200"/>
            <w:tcMar>
              <w:top w:type="dxa" w:w="60"/>
              <w:left w:type="dxa" w:w="100"/>
              <w:bottom w:type="dxa" w:w="60"/>
              <w:right w:type="dxa" w:w="100"/>
            </w:tcMar>
          </w:tcPr>
          <w:p>
            <w:pPr>
              <w:spacing w:after="0" w:line="240"/>
            </w:pPr>
            <w:r>
              <w:rPr>
                <w:b w:val="false"/>
                <w:bCs w:val="false"/>
                <w:sz w:val="19"/>
                <w:szCs w:val="19"/>
              </w:rPr>
              <w:t xml:space="preserve">annuaire HDFS, ports 9870 et 9000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datanode</w:t>
            </w:r>
          </w:p>
        </w:tc>
        <w:tc>
          <w:tcPr>
            <w:tcW w:type="dxa" w:w="4038"/>
            <w:tcMar>
              <w:top w:type="dxa" w:w="60"/>
              <w:left w:type="dxa" w:w="100"/>
              <w:bottom w:type="dxa" w:w="60"/>
              <w:right w:type="dxa" w:w="100"/>
            </w:tcMar>
          </w:tcPr>
          <w:p>
            <w:pPr>
              <w:spacing w:after="0" w:line="240"/>
            </w:pPr>
            <w:r>
              <w:rPr>
                <w:b w:val="false"/>
                <w:bCs w:val="false"/>
                <w:sz w:val="19"/>
                <w:szCs w:val="19"/>
              </w:rPr>
              <w:t xml:space="preserve">bde2020/hadoop-datanode:2.0.0-hadoop3.2.1</w:t>
            </w:r>
          </w:p>
        </w:tc>
        <w:tc>
          <w:tcPr>
            <w:tcW w:type="dxa" w:w="3200"/>
            <w:tcMar>
              <w:top w:type="dxa" w:w="60"/>
              <w:left w:type="dxa" w:w="100"/>
              <w:bottom w:type="dxa" w:w="60"/>
              <w:right w:type="dxa" w:w="100"/>
            </w:tcMar>
          </w:tcPr>
          <w:p>
            <w:pPr>
              <w:spacing w:after="0" w:line="240"/>
            </w:pPr>
            <w:r>
              <w:rPr>
                <w:b w:val="false"/>
                <w:bCs w:val="false"/>
                <w:sz w:val="19"/>
                <w:szCs w:val="19"/>
              </w:rPr>
              <w:t xml:space="preserve">stockage des blocs, port 9864</w:t>
            </w:r>
          </w:p>
        </w:tc>
      </w:tr>
      <w:tr>
        <w:tc>
          <w:tcPr>
            <w:tcW w:type="dxa" w:w="2400"/>
            <w:tcMar>
              <w:top w:type="dxa" w:w="60"/>
              <w:left w:type="dxa" w:w="100"/>
              <w:bottom w:type="dxa" w:w="60"/>
              <w:right w:type="dxa" w:w="100"/>
            </w:tcMar>
          </w:tcPr>
          <w:p>
            <w:pPr>
              <w:spacing w:after="0" w:line="240"/>
            </w:pPr>
            <w:r>
              <w:rPr>
                <w:b w:val="false"/>
                <w:bCs w:val="false"/>
                <w:sz w:val="19"/>
                <w:szCs w:val="19"/>
              </w:rPr>
              <w:t xml:space="preserve">hive-server</w:t>
            </w:r>
          </w:p>
        </w:tc>
        <w:tc>
          <w:tcPr>
            <w:tcW w:type="dxa" w:w="4038"/>
            <w:tcMar>
              <w:top w:type="dxa" w:w="60"/>
              <w:left w:type="dxa" w:w="100"/>
              <w:bottom w:type="dxa" w:w="60"/>
              <w:right w:type="dxa" w:w="100"/>
            </w:tcMar>
          </w:tcPr>
          <w:p>
            <w:pPr>
              <w:spacing w:after="0" w:line="240"/>
            </w:pPr>
            <w:r>
              <w:rPr>
                <w:b w:val="false"/>
                <w:bCs w:val="false"/>
                <w:sz w:val="19"/>
                <w:szCs w:val="19"/>
              </w:rPr>
              <w:t xml:space="preserve">bde2020/hive:2.3.2-postgresql-metastore</w:t>
            </w:r>
          </w:p>
        </w:tc>
        <w:tc>
          <w:tcPr>
            <w:tcW w:type="dxa" w:w="3200"/>
            <w:tcMar>
              <w:top w:type="dxa" w:w="60"/>
              <w:left w:type="dxa" w:w="100"/>
              <w:bottom w:type="dxa" w:w="60"/>
              <w:right w:type="dxa" w:w="100"/>
            </w:tcMar>
          </w:tcPr>
          <w:p>
            <w:pPr>
              <w:spacing w:after="0" w:line="240"/>
            </w:pPr>
            <w:r>
              <w:rPr>
                <w:b w:val="false"/>
                <w:bCs w:val="false"/>
                <w:sz w:val="19"/>
                <w:szCs w:val="19"/>
              </w:rPr>
              <w:t xml:space="preserve">HiveServer2, ports 10000 et 10002</w:t>
            </w:r>
          </w:p>
        </w:tc>
      </w:tr>
      <w:tr>
        <w:tc>
          <w:tcPr>
            <w:tcW w:type="dxa" w:w="2400"/>
            <w:tcMar>
              <w:top w:type="dxa" w:w="60"/>
              <w:left w:type="dxa" w:w="100"/>
              <w:bottom w:type="dxa" w:w="60"/>
              <w:right w:type="dxa" w:w="100"/>
            </w:tcMar>
          </w:tcPr>
          <w:p>
            <w:pPr>
              <w:spacing w:after="0" w:line="240"/>
            </w:pPr>
            <w:r>
              <w:rPr>
                <w:b w:val="false"/>
                <w:bCs w:val="false"/>
                <w:sz w:val="19"/>
                <w:szCs w:val="19"/>
              </w:rPr>
              <w:t xml:space="preserve">hive-metastore</w:t>
            </w:r>
          </w:p>
        </w:tc>
        <w:tc>
          <w:tcPr>
            <w:tcW w:type="dxa" w:w="4038"/>
            <w:tcMar>
              <w:top w:type="dxa" w:w="60"/>
              <w:left w:type="dxa" w:w="100"/>
              <w:bottom w:type="dxa" w:w="60"/>
              <w:right w:type="dxa" w:w="100"/>
            </w:tcMar>
          </w:tcPr>
          <w:p>
            <w:pPr>
              <w:spacing w:after="0" w:line="240"/>
            </w:pPr>
            <w:r>
              <w:rPr>
                <w:b w:val="false"/>
                <w:bCs w:val="false"/>
                <w:sz w:val="19"/>
                <w:szCs w:val="19"/>
              </w:rPr>
              <w:t xml:space="preserve">bde2020/hive:2.3.2-postgresql-metastore</w:t>
            </w:r>
          </w:p>
        </w:tc>
        <w:tc>
          <w:tcPr>
            <w:tcW w:type="dxa" w:w="3200"/>
            <w:tcMar>
              <w:top w:type="dxa" w:w="60"/>
              <w:left w:type="dxa" w:w="100"/>
              <w:bottom w:type="dxa" w:w="60"/>
              <w:right w:type="dxa" w:w="100"/>
            </w:tcMar>
          </w:tcPr>
          <w:p>
            <w:pPr>
              <w:spacing w:after="0" w:line="240"/>
            </w:pPr>
            <w:r>
              <w:rPr>
                <w:b w:val="false"/>
                <w:bCs w:val="false"/>
                <w:sz w:val="19"/>
                <w:szCs w:val="19"/>
              </w:rPr>
              <w:t xml:space="preserve">service de métadonnées, port 9083</w:t>
            </w:r>
          </w:p>
        </w:tc>
      </w:tr>
      <w:tr>
        <w:tc>
          <w:tcPr>
            <w:tcW w:type="dxa" w:w="2400"/>
            <w:tcMar>
              <w:top w:type="dxa" w:w="60"/>
              <w:left w:type="dxa" w:w="100"/>
              <w:bottom w:type="dxa" w:w="60"/>
              <w:right w:type="dxa" w:w="100"/>
            </w:tcMar>
          </w:tcPr>
          <w:p>
            <w:pPr>
              <w:spacing w:after="0" w:line="240"/>
            </w:pPr>
            <w:r>
              <w:rPr>
                <w:b w:val="false"/>
                <w:bCs w:val="false"/>
                <w:sz w:val="19"/>
                <w:szCs w:val="19"/>
              </w:rPr>
              <w:t xml:space="preserve">hive-metastore-postgresql</w:t>
            </w:r>
          </w:p>
        </w:tc>
        <w:tc>
          <w:tcPr>
            <w:tcW w:type="dxa" w:w="4038"/>
            <w:tcMar>
              <w:top w:type="dxa" w:w="60"/>
              <w:left w:type="dxa" w:w="100"/>
              <w:bottom w:type="dxa" w:w="60"/>
              <w:right w:type="dxa" w:w="100"/>
            </w:tcMar>
          </w:tcPr>
          <w:p>
            <w:pPr>
              <w:spacing w:after="0" w:line="240"/>
            </w:pPr>
            <w:r>
              <w:rPr>
                <w:b w:val="false"/>
                <w:bCs w:val="false"/>
                <w:sz w:val="19"/>
                <w:szCs w:val="19"/>
              </w:rPr>
              <w:t xml:space="preserve">bde2020/hive-metastore-postgresql:2.3.0</w:t>
            </w:r>
          </w:p>
        </w:tc>
        <w:tc>
          <w:tcPr>
            <w:tcW w:type="dxa" w:w="3200"/>
            <w:tcMar>
              <w:top w:type="dxa" w:w="60"/>
              <w:left w:type="dxa" w:w="100"/>
              <w:bottom w:type="dxa" w:w="60"/>
              <w:right w:type="dxa" w:w="100"/>
            </w:tcMar>
          </w:tcPr>
          <w:p>
            <w:pPr>
              <w:spacing w:after="0" w:line="240"/>
            </w:pPr>
            <w:r>
              <w:rPr>
                <w:b w:val="false"/>
                <w:bCs w:val="false"/>
                <w:sz w:val="19"/>
                <w:szCs w:val="19"/>
              </w:rPr>
              <w:t xml:space="preserve">base du metastore</w:t>
            </w:r>
          </w:p>
        </w:tc>
      </w:tr>
    </w:tbl>
    <w:p>
      <w:pPr>
        <w:spacing w:after="0" w:line="120"/>
      </w:pPr>
      <w:r>
        <w:rPr>
          <w:sz w:val="10"/>
          <w:szCs w:val="10"/>
        </w:rPr>
        <w:t xml:space="preserve"/>
      </w:r>
    </w:p>
    <w:p>
      <w:pPr>
        <w:spacing w:after="120" w:line="276"/>
      </w:pPr>
      <w:r>
        <w:rPr>
          <w:sz w:val="22"/>
          <w:szCs w:val="22"/>
        </w:rPr>
        <w:t xml:space="preserve">Une décision de configuration mérite d'être signalée : HiveServer2 est configuré en mode </w:t>
      </w:r>
      <w:r>
        <w:rPr>
          <w:b/>
          <w:bCs/>
          <w:sz w:val="22"/>
          <w:szCs w:val="22"/>
        </w:rPr>
        <w:t xml:space="preserve">NOSASL</w:t>
      </w:r>
      <w:r>
        <w:rPr>
          <w:sz w:val="22"/>
          <w:szCs w:val="22"/>
        </w:rPr>
        <w:t xml:space="preserve">. SASL est une couche d'authentification dont le module Python correspondant exige un compilateur C++ sous Windows. En la désactivant, le client PyHive se connecte directement. Ce choix est acceptable pour un travail pratique sur une machine locale ; il serait inacceptable sur un cluster d'entreprise, où l'authentification Kerberos constitue la norme.</w:t>
      </w:r>
    </w:p>
    <w:p>
      <w:pPr>
        <w:spacing w:after="120" w:line="276"/>
      </w:pPr>
      <w:r>
        <w:rPr>
          <w:sz w:val="22"/>
          <w:szCs w:val="22"/>
        </w:rPr>
        <w:t xml:space="preserve">Le dossier du projet est monté dans les conteneurs sous /projet, ce qui évite de recopier les fichiers par docker cp à chaque exécution.</w:t>
      </w:r>
    </w:p>
    <w:p>
      <w:pPr>
        <w:pStyle w:val="Heading2"/>
        <w:spacing w:after="140" w:before="280"/>
      </w:pPr>
      <w:r>
        <w:t xml:space="preserve">3.2 Le Data Lake</w:t>
      </w:r>
    </w:p>
    <w:p>
      <w:pPr>
        <w:spacing w:after="120" w:line="276"/>
      </w:pPr>
      <w:r>
        <w:rPr>
          <w:sz w:val="22"/>
          <w:szCs w:val="22"/>
        </w:rPr>
        <w:t xml:space="preserve">L'arborescence respecte la structure imposée au Groupe 2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/datalake/</w:t>
      </w:r>
      <w:r>
        <w:br/>
      </w:r>
      <w:r>
        <w:rPr>
          <w:rFonts w:ascii="Consolas" w:cs="Consolas" w:eastAsia="Consolas" w:hAnsi="Consolas"/>
          <w:sz w:val="18"/>
          <w:szCs w:val="18"/>
        </w:rPr>
        <w:t xml:space="preserve">   raw/transactions/{small,medium,big}/   données sources, jamais modifiées</w:t>
      </w:r>
      <w:r>
        <w:br/>
      </w:r>
      <w:r>
        <w:rPr>
          <w:rFonts w:ascii="Consolas" w:cs="Consolas" w:eastAsia="Consolas" w:hAnsi="Consolas"/>
          <w:sz w:val="18"/>
          <w:szCs w:val="18"/>
        </w:rPr>
        <w:t xml:space="preserve">   processed/transactions_part/           données retravaillées, ORC partitionné</w:t>
      </w:r>
      <w:r>
        <w:br/>
      </w:r>
      <w:r>
        <w:rPr>
          <w:rFonts w:ascii="Consolas" w:cs="Consolas" w:eastAsia="Consolas" w:hAnsi="Consolas"/>
          <w:sz w:val="18"/>
          <w:szCs w:val="18"/>
        </w:rPr>
        <w:t xml:space="preserve">   results/{mapreduce,hive,spark,ml}/     sorties de chaque groupe</w:t>
      </w:r>
    </w:p>
    <w:p>
      <w:pPr>
        <w:spacing w:after="120" w:line="276"/>
      </w:pPr>
      <w:r>
        <w:rPr>
          <w:sz w:val="22"/>
          <w:szCs w:val="22"/>
        </w:rPr>
        <w:t xml:space="preserve">La séparation en trois couches n'est pas décorative. La couche raw demeure intacte et constitue la référence commune aux huit groupes ; la couche processed accueille les transformations ; la couche results reçoit les livrables destinés aux groupes suivants.</w:t>
      </w:r>
    </w:p>
    <w:p>
      <w:pPr>
        <w:pStyle w:val="Heading2"/>
        <w:spacing w:after="140" w:before="280"/>
      </w:pPr>
      <w:r>
        <w:t xml:space="preserve">3.3 Vérification du stockage</w:t>
      </w:r>
    </w:p>
    <w:p>
      <w:pPr>
        <w:spacing w:after="120" w:line="276"/>
      </w:pPr>
      <w:r>
        <w:rPr>
          <w:sz w:val="22"/>
          <w:szCs w:val="22"/>
        </w:rPr>
        <w:t xml:space="preserve">La commande hdfs fsck confirme le découpage en blocs annoncé par le calcul théorique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1919"/>
        <w:gridCol w:w="1919"/>
      </w:tblGrid>
      <w:tr>
        <w:trPr>
          <w:tblHeader/>
        </w:trPr>
        <w:tc>
          <w:tcPr>
            <w:tcW w:type="dxa" w:w="3400"/>
            <w:shd w:fill="EDEDEA" w:val="clear"/>
            <w:tcMar>
              <w:top w:type="dxa" w:w="60"/>
              <w:left w:type="dxa" w:w="100"/>
              <w:bottom w:type="dxa" w:w="60"/>
              <w:right w:type="dxa" w:w="100"/>
            </w:tcMar>
          </w:tcPr>
          <w:p>
            <w:pPr>
              <w:spacing w:after="0" w:line="240"/>
            </w:pPr>
            <w:r>
              <w:rPr>
                <w:b/>
                <w:bCs/>
                <w:sz w:val="19"/>
                <w:szCs w:val="19"/>
              </w:rPr>
              <w:t xml:space="preserve">Fichier</w:t>
            </w:r>
          </w:p>
        </w:tc>
        <w:tc>
          <w:tcPr>
            <w:tcW w:type="dxa" w:w="2400"/>
            <w:shd w:fill="EDEDEA" w:val="clear"/>
            <w:tcMar>
              <w:top w:type="dxa" w:w="60"/>
              <w:left w:type="dxa" w:w="100"/>
              <w:bottom w:type="dxa" w:w="60"/>
              <w:right w:type="dxa" w:w="100"/>
            </w:tcMar>
          </w:tcPr>
          <w:p>
            <w:pPr>
              <w:spacing w:after="0" w:line="240"/>
            </w:pPr>
            <w:r>
              <w:rPr>
                <w:b/>
                <w:bCs/>
                <w:sz w:val="19"/>
                <w:szCs w:val="19"/>
              </w:rPr>
              <w:t xml:space="preserve">Taille (octets)</w:t>
            </w:r>
          </w:p>
        </w:tc>
        <w:tc>
          <w:tcPr>
            <w:tcW w:type="dxa" w:w="1919"/>
            <w:shd w:fill="EDEDEA" w:val="clear"/>
            <w:tcMar>
              <w:top w:type="dxa" w:w="60"/>
              <w:left w:type="dxa" w:w="100"/>
              <w:bottom w:type="dxa" w:w="60"/>
              <w:right w:type="dxa" w:w="100"/>
            </w:tcMar>
          </w:tcPr>
          <w:p>
            <w:pPr>
              <w:spacing w:after="0" w:line="240"/>
            </w:pPr>
            <w:r>
              <w:rPr>
                <w:b/>
                <w:bCs/>
                <w:sz w:val="19"/>
                <w:szCs w:val="19"/>
              </w:rPr>
              <w:t xml:space="preserve">Blocs attendus</w:t>
            </w:r>
          </w:p>
        </w:tc>
        <w:tc>
          <w:tcPr>
            <w:tcW w:type="dxa" w:w="1919"/>
            <w:shd w:fill="EDEDEA" w:val="clear"/>
            <w:tcMar>
              <w:top w:type="dxa" w:w="60"/>
              <w:left w:type="dxa" w:w="100"/>
              <w:bottom w:type="dxa" w:w="60"/>
              <w:right w:type="dxa" w:w="100"/>
            </w:tcMar>
          </w:tcPr>
          <w:p>
            <w:pPr>
              <w:spacing w:after="0" w:line="240"/>
            </w:pPr>
            <w:r>
              <w:rPr>
                <w:b/>
                <w:bCs/>
                <w:sz w:val="19"/>
                <w:szCs w:val="19"/>
              </w:rPr>
              <w:t xml:space="preserve">Blocs constatés</w:t>
            </w:r>
          </w:p>
        </w:tc>
      </w:tr>
      <w:tr>
        <w:tc>
          <w:tcPr>
            <w:tcW w:type="dxa" w:w="3400"/>
            <w:tcMar>
              <w:top w:type="dxa" w:w="60"/>
              <w:left w:type="dxa" w:w="100"/>
              <w:bottom w:type="dxa" w:w="60"/>
              <w:right w:type="dxa" w:w="100"/>
            </w:tcMar>
          </w:tcPr>
          <w:p>
            <w:pPr>
              <w:spacing w:after="0" w:line="240"/>
            </w:pPr>
            <w:r>
              <w:rPr>
                <w:b w:val="false"/>
                <w:bCs w:val="false"/>
                <w:sz w:val="19"/>
                <w:szCs w:val="19"/>
              </w:rPr>
              <w:t xml:space="preserve">transactions_small.csv</w:t>
            </w:r>
          </w:p>
        </w:tc>
        <w:tc>
          <w:tcPr>
            <w:tcW w:type="dxa" w:w="2400"/>
            <w:tcMar>
              <w:top w:type="dxa" w:w="60"/>
              <w:left w:type="dxa" w:w="100"/>
              <w:bottom w:type="dxa" w:w="60"/>
              <w:right w:type="dxa" w:w="100"/>
            </w:tcMar>
          </w:tcPr>
          <w:p>
            <w:pPr>
              <w:spacing w:after="0" w:line="240"/>
            </w:pPr>
            <w:r>
              <w:rPr>
                <w:b w:val="false"/>
                <w:bCs w:val="false"/>
                <w:sz w:val="19"/>
                <w:szCs w:val="19"/>
              </w:rPr>
              <w:t xml:space="preserve">1 319 956</w:t>
            </w:r>
          </w:p>
        </w:tc>
        <w:tc>
          <w:tcPr>
            <w:tcW w:type="dxa" w:w="1919"/>
            <w:tcMar>
              <w:top w:type="dxa" w:w="60"/>
              <w:left w:type="dxa" w:w="100"/>
              <w:bottom w:type="dxa" w:w="60"/>
              <w:right w:type="dxa" w:w="100"/>
            </w:tcMar>
          </w:tcPr>
          <w:p>
            <w:pPr>
              <w:spacing w:after="0" w:line="240"/>
            </w:pPr>
            <w:r>
              <w:rPr>
                <w:b w:val="false"/>
                <w:bCs w:val="false"/>
                <w:sz w:val="19"/>
                <w:szCs w:val="19"/>
              </w:rPr>
              <w:t xml:space="preserve">1</w:t>
            </w:r>
          </w:p>
        </w:tc>
        <w:tc>
          <w:tcPr>
            <w:tcW w:type="dxa" w:w="1919"/>
            <w:tcMar>
              <w:top w:type="dxa" w:w="60"/>
              <w:left w:type="dxa" w:w="100"/>
              <w:bottom w:type="dxa" w:w="60"/>
              <w:right w:type="dxa" w:w="100"/>
            </w:tcMar>
          </w:tcPr>
          <w:p>
            <w:pPr>
              <w:spacing w:after="0" w:line="240"/>
            </w:pPr>
            <w:r>
              <w:rPr>
                <w:b w:val="false"/>
                <w:bCs w:val="false"/>
                <w:sz w:val="19"/>
                <w:szCs w:val="19"/>
              </w:rPr>
              <w:t xml:space="preserve">1</w:t>
            </w:r>
          </w:p>
        </w:tc>
      </w:tr>
      <w:tr>
        <w:tc>
          <w:tcPr>
            <w:tcW w:type="dxa" w:w="3400"/>
            <w:tcMar>
              <w:top w:type="dxa" w:w="60"/>
              <w:left w:type="dxa" w:w="100"/>
              <w:bottom w:type="dxa" w:w="60"/>
              <w:right w:type="dxa" w:w="100"/>
            </w:tcMar>
          </w:tcPr>
          <w:p>
            <w:pPr>
              <w:spacing w:after="0" w:line="240"/>
            </w:pPr>
            <w:r>
              <w:rPr>
                <w:b w:val="false"/>
                <w:bCs w:val="false"/>
                <w:sz w:val="19"/>
                <w:szCs w:val="19"/>
              </w:rPr>
              <w:t xml:space="preserve">transactions_medium.csv</w:t>
            </w:r>
          </w:p>
        </w:tc>
        <w:tc>
          <w:tcPr>
            <w:tcW w:type="dxa" w:w="2400"/>
            <w:tcMar>
              <w:top w:type="dxa" w:w="60"/>
              <w:left w:type="dxa" w:w="100"/>
              <w:bottom w:type="dxa" w:w="60"/>
              <w:right w:type="dxa" w:w="100"/>
            </w:tcMar>
          </w:tcPr>
          <w:p>
            <w:pPr>
              <w:spacing w:after="0" w:line="240"/>
            </w:pPr>
            <w:r>
              <w:rPr>
                <w:b w:val="false"/>
                <w:bCs w:val="false"/>
                <w:sz w:val="19"/>
                <w:szCs w:val="19"/>
              </w:rPr>
              <w:t xml:space="preserve">65 977 458</w:t>
            </w:r>
          </w:p>
        </w:tc>
        <w:tc>
          <w:tcPr>
            <w:tcW w:type="dxa" w:w="1919"/>
            <w:tcMar>
              <w:top w:type="dxa" w:w="60"/>
              <w:left w:type="dxa" w:w="100"/>
              <w:bottom w:type="dxa" w:w="60"/>
              <w:right w:type="dxa" w:w="100"/>
            </w:tcMar>
          </w:tcPr>
          <w:p>
            <w:pPr>
              <w:spacing w:after="0" w:line="240"/>
            </w:pPr>
            <w:r>
              <w:rPr>
                <w:b w:val="false"/>
                <w:bCs w:val="false"/>
                <w:sz w:val="19"/>
                <w:szCs w:val="19"/>
              </w:rPr>
              <w:t xml:space="preserve">1</w:t>
            </w:r>
          </w:p>
        </w:tc>
        <w:tc>
          <w:tcPr>
            <w:tcW w:type="dxa" w:w="1919"/>
            <w:tcMar>
              <w:top w:type="dxa" w:w="60"/>
              <w:left w:type="dxa" w:w="100"/>
              <w:bottom w:type="dxa" w:w="60"/>
              <w:right w:type="dxa" w:w="100"/>
            </w:tcMar>
          </w:tcPr>
          <w:p>
            <w:pPr>
              <w:spacing w:after="0" w:line="240"/>
            </w:pPr>
            <w:r>
              <w:rPr>
                <w:b w:val="false"/>
                <w:bCs w:val="false"/>
                <w:sz w:val="19"/>
                <w:szCs w:val="19"/>
              </w:rPr>
              <w:t xml:space="preserve">1</w:t>
            </w:r>
          </w:p>
        </w:tc>
      </w:tr>
      <w:tr>
        <w:tc>
          <w:tcPr>
            <w:tcW w:type="dxa" w:w="3400"/>
            <w:tcMar>
              <w:top w:type="dxa" w:w="60"/>
              <w:left w:type="dxa" w:w="100"/>
              <w:bottom w:type="dxa" w:w="60"/>
              <w:right w:type="dxa" w:w="100"/>
            </w:tcMar>
          </w:tcPr>
          <w:p>
            <w:pPr>
              <w:spacing w:after="0" w:line="240"/>
            </w:pPr>
            <w:r>
              <w:rPr>
                <w:b w:val="false"/>
                <w:bCs w:val="false"/>
                <w:sz w:val="19"/>
                <w:szCs w:val="19"/>
              </w:rPr>
              <w:t xml:space="preserve">transactions_big.csv.gz</w:t>
            </w:r>
          </w:p>
        </w:tc>
        <w:tc>
          <w:tcPr>
            <w:tcW w:type="dxa" w:w="2400"/>
            <w:tcMar>
              <w:top w:type="dxa" w:w="60"/>
              <w:left w:type="dxa" w:w="100"/>
              <w:bottom w:type="dxa" w:w="60"/>
              <w:right w:type="dxa" w:w="100"/>
            </w:tcMar>
          </w:tcPr>
          <w:p>
            <w:pPr>
              <w:spacing w:after="0" w:line="240"/>
            </w:pPr>
            <w:r>
              <w:rPr>
                <w:b w:val="false"/>
                <w:bCs w:val="false"/>
                <w:sz w:val="19"/>
                <w:szCs w:val="19"/>
              </w:rPr>
              <w:t xml:space="preserve">145 205 662</w:t>
            </w:r>
          </w:p>
        </w:tc>
        <w:tc>
          <w:tcPr>
            <w:tcW w:type="dxa" w:w="1919"/>
            <w:tcMar>
              <w:top w:type="dxa" w:w="60"/>
              <w:left w:type="dxa" w:w="100"/>
              <w:bottom w:type="dxa" w:w="60"/>
              <w:right w:type="dxa" w:w="100"/>
            </w:tcMar>
          </w:tcPr>
          <w:p>
            <w:pPr>
              <w:spacing w:after="0" w:line="240"/>
            </w:pPr>
            <w:r>
              <w:rPr>
                <w:b w:val="false"/>
                <w:bCs w:val="false"/>
                <w:sz w:val="19"/>
                <w:szCs w:val="19"/>
              </w:rPr>
              <w:t xml:space="preserve">2</w:t>
            </w:r>
          </w:p>
        </w:tc>
        <w:tc>
          <w:tcPr>
            <w:tcW w:type="dxa" w:w="1919"/>
            <w:tcMar>
              <w:top w:type="dxa" w:w="60"/>
              <w:left w:type="dxa" w:w="100"/>
              <w:bottom w:type="dxa" w:w="60"/>
              <w:right w:type="dxa" w:w="100"/>
            </w:tcMar>
          </w:tcPr>
          <w:p>
            <w:pPr>
              <w:spacing w:after="0" w:line="240"/>
            </w:pPr>
            <w:r>
              <w:rPr>
                <w:b w:val="false"/>
                <w:bCs w:val="false"/>
                <w:sz w:val="19"/>
                <w:szCs w:val="19"/>
              </w:rPr>
              <w:t xml:space="preserve">2</w:t>
            </w:r>
          </w:p>
        </w:tc>
      </w:tr>
    </w:tbl>
    <w:p>
      <w:pPr>
        <w:spacing w:after="0" w:line="120"/>
      </w:pPr>
      <w:r>
        <w:rPr>
          <w:sz w:val="10"/>
          <w:szCs w:val="10"/>
        </w:rPr>
        <w:t xml:space="preserve"/>
      </w:r>
    </w:p>
    <w:p>
      <w:pPr>
        <w:spacing w:after="120" w:line="276"/>
      </w:pPr>
      <w:r>
        <w:rPr>
          <w:sz w:val="22"/>
          <w:szCs w:val="22"/>
        </w:rPr>
        <w:t xml:space="preserve">Le second bloc du fichier big ne contient que 10 987 934 octets : HDFS n'alloue pas un bloc entier pour une fraction de bloc, contrairement à une idée répandue.</w:t>
      </w:r>
    </w:p>
    <w:p>
      <w:pPr>
        <w:spacing w:after="120" w:line="276"/>
      </w:pPr>
      <w:r>
        <w:rPr>
          <w:sz w:val="22"/>
          <w:szCs w:val="22"/>
        </w:rPr>
        <w:t xml:space="preserve">Le cluster ne comportant qu'un seul DataNode, le facteur de réplication est fixé à 1. Il en résulte que l'espace consommé égale la taille logique et qu'aucune résilience n'est démontrable. Sur un cluster de production à réplication 3, nos 212 Mo de données en occuperaient 636.</w:t>
      </w:r>
    </w:p>
    <w:p>
      <w:pPr>
        <w:pStyle w:val="Heading1"/>
        <w:spacing w:after="200" w:before="360"/>
      </w:pPr>
      <w:r>
        <w:t xml:space="preserve">4. Modèle de données et choix de conception</w:t>
      </w:r>
    </w:p>
    <w:p>
      <w:pPr>
        <w:pStyle w:val="Heading2"/>
        <w:spacing w:after="140" w:before="280"/>
      </w:pPr>
      <w:r>
        <w:t xml:space="preserve">4.1 Les tables externes</w:t>
      </w:r>
    </w:p>
    <w:p>
      <w:pPr>
        <w:spacing w:after="120" w:line="276"/>
      </w:pPr>
      <w:r>
        <w:rPr>
          <w:sz w:val="22"/>
          <w:szCs w:val="22"/>
        </w:rPr>
        <w:t xml:space="preserve">Chaque volume fait l'objet d'une table externe déclarée dans sql/analyse.hql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CREATE EXTERNAL TABLE transactions (</w:t>
      </w:r>
      <w:r>
        <w:br/>
      </w:r>
      <w:r>
        <w:rPr>
          <w:rFonts w:ascii="Consolas" w:cs="Consolas" w:eastAsia="Consolas" w:hAnsi="Consolas"/>
          <w:sz w:val="18"/>
          <w:szCs w:val="18"/>
        </w:rPr>
        <w:t xml:space="preserve">    transaction_id STRING,</w:t>
      </w:r>
      <w:r>
        <w:br/>
      </w:r>
      <w:r>
        <w:rPr>
          <w:rFonts w:ascii="Consolas" w:cs="Consolas" w:eastAsia="Consolas" w:hAnsi="Consolas"/>
          <w:sz w:val="18"/>
          <w:szCs w:val="18"/>
        </w:rPr>
        <w:t xml:space="preserve">    datetime       STRING,</w:t>
      </w:r>
      <w:r>
        <w:br/>
      </w:r>
      <w:r>
        <w:rPr>
          <w:rFonts w:ascii="Consolas" w:cs="Consolas" w:eastAsia="Consolas" w:hAnsi="Consolas"/>
          <w:sz w:val="18"/>
          <w:szCs w:val="18"/>
        </w:rPr>
        <w:t xml:space="preserve">    ...                        -- les 19 colonnes du dictionnaire</w:t>
      </w:r>
      <w:r>
        <w:br/>
      </w:r>
      <w:r>
        <w:rPr>
          <w:rFonts w:ascii="Consolas" w:cs="Consolas" w:eastAsia="Consolas" w:hAnsi="Consolas"/>
          <w:sz w:val="18"/>
          <w:szCs w:val="18"/>
        </w:rPr>
        <w:t xml:space="preserve">    montant        DOUBLE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ROW FORMAT DELIMITED</w:t>
      </w:r>
      <w:r>
        <w:br/>
      </w:r>
      <w:r>
        <w:rPr>
          <w:rFonts w:ascii="Consolas" w:cs="Consolas" w:eastAsia="Consolas" w:hAnsi="Consolas"/>
          <w:sz w:val="18"/>
          <w:szCs w:val="18"/>
        </w:rPr>
        <w:t xml:space="preserve">  FIELDS TERMINATED BY ','</w:t>
      </w:r>
      <w:r>
        <w:br/>
      </w:r>
      <w:r>
        <w:rPr>
          <w:rFonts w:ascii="Consolas" w:cs="Consolas" w:eastAsia="Consolas" w:hAnsi="Consolas"/>
          <w:sz w:val="18"/>
          <w:szCs w:val="18"/>
        </w:rPr>
        <w:t xml:space="preserve">STORED AS TEXTFILE</w:t>
      </w:r>
      <w:r>
        <w:br/>
      </w:r>
      <w:r>
        <w:rPr>
          <w:rFonts w:ascii="Consolas" w:cs="Consolas" w:eastAsia="Consolas" w:hAnsi="Consolas"/>
          <w:sz w:val="18"/>
          <w:szCs w:val="18"/>
        </w:rPr>
        <w:t xml:space="preserve">LOCATION '/datalake/raw/transactions/medium'</w:t>
      </w:r>
      <w:r>
        <w:br/>
      </w:r>
      <w:r>
        <w:rPr>
          <w:rFonts w:ascii="Consolas" w:cs="Consolas" w:eastAsia="Consolas" w:hAnsi="Consolas"/>
          <w:sz w:val="18"/>
          <w:szCs w:val="18"/>
        </w:rPr>
        <w:t xml:space="preserve">TBLPROPERTIES ("skip.header.line.count"="1");</w:t>
      </w:r>
    </w:p>
    <w:p>
      <w:pPr>
        <w:spacing w:after="120" w:line="276"/>
      </w:pPr>
      <w:r>
        <w:rPr>
          <w:sz w:val="22"/>
          <w:szCs w:val="22"/>
        </w:rPr>
        <w:t xml:space="preserve">Le mot-clé </w:t>
      </w:r>
      <w:r>
        <w:rPr>
          <w:rFonts w:ascii="Consolas" w:cs="Consolas" w:eastAsia="Consolas" w:hAnsi="Consolas"/>
          <w:sz w:val="19"/>
          <w:szCs w:val="19"/>
        </w:rPr>
        <w:t xml:space="preserve">EXTERNAL</w:t>
      </w:r>
      <w:r>
        <w:rPr>
          <w:sz w:val="22"/>
          <w:szCs w:val="22"/>
        </w:rPr>
        <w:t xml:space="preserve"> signifie que les fichiers n'appartiennent pas à Hive : un </w:t>
      </w:r>
      <w:r>
        <w:rPr>
          <w:rFonts w:ascii="Consolas" w:cs="Consolas" w:eastAsia="Consolas" w:hAnsi="Consolas"/>
          <w:sz w:val="19"/>
          <w:szCs w:val="19"/>
        </w:rPr>
        <w:t xml:space="preserve">DROP TABLE</w:t>
      </w:r>
      <w:r>
        <w:rPr>
          <w:sz w:val="22"/>
          <w:szCs w:val="22"/>
        </w:rPr>
        <w:t xml:space="preserve"> n'efface que la définition. Ce choix est délibéré et vaut pour toutes nos tables. Les données brutes sont le bien commun des huit groupes, et une erreur de manipulation de notre part ne doit pas pouvoir détruire le travail de la promotion.</w:t>
      </w:r>
    </w:p>
    <w:p>
      <w:pPr>
        <w:spacing w:after="120" w:line="276"/>
      </w:pPr>
      <w:r>
        <w:rPr>
          <w:sz w:val="22"/>
          <w:szCs w:val="22"/>
        </w:rPr>
        <w:t xml:space="preserve">La propriété </w:t>
      </w:r>
      <w:r>
        <w:rPr>
          <w:rFonts w:ascii="Consolas" w:cs="Consolas" w:eastAsia="Consolas" w:hAnsi="Consolas"/>
          <w:sz w:val="19"/>
          <w:szCs w:val="19"/>
        </w:rPr>
        <w:t xml:space="preserve">skip.header.line.count</w:t>
      </w:r>
      <w:r>
        <w:rPr>
          <w:sz w:val="22"/>
          <w:szCs w:val="22"/>
        </w:rPr>
        <w:t xml:space="preserve"> écarte la ligne de titres du CSV. Sans elle, Hive la lirait comme une transaction : les champs numériques vaudraient NULL et tous les totaux seraient faussés d'une ligne. Notre contrôle qualité détecte précisément ce cas.</w:t>
      </w:r>
    </w:p>
    <w:p>
      <w:pPr>
        <w:pStyle w:val="Heading2"/>
        <w:spacing w:after="140" w:before="280"/>
      </w:pPr>
      <w:r>
        <w:t xml:space="preserve">4.2 Le partitionnement</w:t>
      </w:r>
    </w:p>
    <w:p>
      <w:pPr>
        <w:spacing w:after="120" w:line="276"/>
      </w:pPr>
      <w:r>
        <w:rPr>
          <w:sz w:val="22"/>
          <w:szCs w:val="22"/>
        </w:rPr>
        <w:t xml:space="preserve">Les données sont ensuite réorganisées dans une table partitionnée par année et par mois, stockée au format ORC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CREATE EXTERNAL TABLE transactions_part ( ... )</w:t>
      </w:r>
      <w:r>
        <w:br/>
      </w:r>
      <w:r>
        <w:rPr>
          <w:rFonts w:ascii="Consolas" w:cs="Consolas" w:eastAsia="Consolas" w:hAnsi="Consolas"/>
          <w:sz w:val="18"/>
          <w:szCs w:val="18"/>
        </w:rPr>
        <w:t xml:space="preserve">PARTITIONED BY (annee INT, mois INT)</w:t>
      </w:r>
      <w:r>
        <w:br/>
      </w:r>
      <w:r>
        <w:rPr>
          <w:rFonts w:ascii="Consolas" w:cs="Consolas" w:eastAsia="Consolas" w:hAnsi="Consolas"/>
          <w:sz w:val="18"/>
          <w:szCs w:val="18"/>
        </w:rPr>
        <w:t xml:space="preserve">STORED AS ORC</w:t>
      </w:r>
      <w:r>
        <w:br/>
      </w:r>
      <w:r>
        <w:rPr>
          <w:rFonts w:ascii="Consolas" w:cs="Consolas" w:eastAsia="Consolas" w:hAnsi="Consolas"/>
          <w:sz w:val="18"/>
          <w:szCs w:val="18"/>
        </w:rPr>
        <w:t xml:space="preserve">LOCATION '/datalake/processed/transactions_part';</w:t>
      </w:r>
      <w:r>
        <w:br/>
      </w:r>
      <w:r>
        <w:rPr>
          <w:rFonts w:ascii="Consolas" w:cs="Consolas" w:eastAsia="Consolas" w:hAnsi="Consolas"/>
          <w:sz w:val="18"/>
          <w:szCs w:val="18"/>
        </w:rPr>
        <w:t xml:space="preserve"/>
      </w:r>
      <w:r>
        <w:br/>
      </w:r>
      <w:r>
        <w:rPr>
          <w:rFonts w:ascii="Consolas" w:cs="Consolas" w:eastAsia="Consolas" w:hAnsi="Consolas"/>
          <w:sz w:val="18"/>
          <w:szCs w:val="18"/>
        </w:rPr>
        <w:t xml:space="preserve">INSERT OVERWRITE TABLE transactions_part PARTITION (annee, mois)</w:t>
      </w:r>
      <w:r>
        <w:br/>
      </w:r>
      <w:r>
        <w:rPr>
          <w:rFonts w:ascii="Consolas" w:cs="Consolas" w:eastAsia="Consolas" w:hAnsi="Consolas"/>
          <w:sz w:val="18"/>
          <w:szCs w:val="18"/>
        </w:rPr>
        <w:t xml:space="preserve">SELECT transaction_id, datetime, ..., montant,</w:t>
      </w:r>
      <w:r>
        <w:br/>
      </w:r>
      <w:r>
        <w:rPr>
          <w:rFonts w:ascii="Consolas" w:cs="Consolas" w:eastAsia="Consolas" w:hAnsi="Consolas"/>
          <w:sz w:val="18"/>
          <w:szCs w:val="18"/>
        </w:rPr>
        <w:t xml:space="preserve">       CAST(SUBSTR(datetime, 1, 4) AS INT) AS annee,</w:t>
      </w:r>
      <w:r>
        <w:br/>
      </w:r>
      <w:r>
        <w:rPr>
          <w:rFonts w:ascii="Consolas" w:cs="Consolas" w:eastAsia="Consolas" w:hAnsi="Consolas"/>
          <w:sz w:val="18"/>
          <w:szCs w:val="18"/>
        </w:rPr>
        <w:t xml:space="preserve">       CAST(SUBSTR(datetime, 6, 2) AS INT) AS mois</w:t>
      </w:r>
      <w:r>
        <w:br/>
      </w:r>
      <w:r>
        <w:rPr>
          <w:rFonts w:ascii="Consolas" w:cs="Consolas" w:eastAsia="Consolas" w:hAnsi="Consolas"/>
          <w:sz w:val="18"/>
          <w:szCs w:val="18"/>
        </w:rPr>
        <w:t xml:space="preserve">FROM transactions;</w:t>
      </w:r>
    </w:p>
    <w:p>
      <w:pPr>
        <w:spacing w:after="120" w:line="276"/>
      </w:pPr>
      <w:r>
        <w:rPr>
          <w:sz w:val="22"/>
          <w:szCs w:val="22"/>
        </w:rPr>
        <w:t xml:space="preserve">Partitionner consiste à ranger les lignes dans des sous-répertoires distincts selon la valeur d'une colonne. La valeur n'est pas stockée dans les fichiers : elle est portée par le nom du répertoire, ce qui rend l'opération gratuite en espace. L'insertion produit vingt-quatre répertoires, de annee=2024/mois=1 à annee=2025/mois=12.</w:t>
      </w:r>
    </w:p>
    <w:p>
      <w:pPr>
        <w:spacing w:after="120" w:line="276"/>
      </w:pPr>
      <w:r>
        <w:rPr>
          <w:sz w:val="22"/>
          <w:szCs w:val="22"/>
        </w:rPr>
        <w:t xml:space="preserve">Les colonnes de partition doivent figurer en dernière position du SELECT, dans l'ordre déclaré par PARTITIONED BY : Hive les identifie par leur position et non par leur nom.</w:t>
      </w:r>
    </w:p>
    <w:p>
      <w:pPr>
        <w:pStyle w:val="Heading2"/>
        <w:spacing w:after="140" w:before="280"/>
      </w:pPr>
      <w:r>
        <w:t xml:space="preserve">4.3 Justification du découpage retenu</w:t>
      </w:r>
    </w:p>
    <w:p>
      <w:pPr>
        <w:spacing w:after="120" w:line="276"/>
      </w:pPr>
      <w:r>
        <w:rPr>
          <w:sz w:val="22"/>
          <w:szCs w:val="22"/>
        </w:rPr>
        <w:t xml:space="preserve">Le choix d'un partitionnement par mois plutôt que par une autre colonne repose sur trois critères.</w:t>
      </w:r>
    </w:p>
    <w:p>
      <w:pPr>
        <w:spacing w:after="60" w:line="276"/>
      </w:pPr>
      <w:r>
        <w:rPr>
          <w:sz w:val="22"/>
          <w:szCs w:val="22"/>
        </w:rPr>
        <w:t xml:space="preserve">D'abord, l'usage. Une clé de partition ne sert que si les requêtes filtrent dessus. Les analyses demandées par l'énoncé sont très majoritairement temporelles — chiffre d'affaires mensuel, chiffre d'affaires annuel.</w:t>
      </w:r>
    </w:p>
    <w:p>
      <w:pPr>
        <w:spacing w:after="60" w:line="276"/>
      </w:pPr>
      <w:r>
        <w:rPr>
          <w:sz w:val="22"/>
          <w:szCs w:val="22"/>
        </w:rPr>
        <w:t xml:space="preserve">Ensuite, l'équilibre. Nos vingt-quatre partitions contiennent chacune environ 20 800 lignes. Un partitionnement par ville aurait produit des partitions très inégales : Lomé concentre 40 % des transactions, Aného 5 %, soit un rapport de huit entre la plus grosse et la plus petite, et une répartition du travail déséquilibrée entre les machines.</w:t>
      </w:r>
    </w:p>
    <w:p>
      <w:pPr>
        <w:spacing w:after="120" w:line="276"/>
      </w:pPr>
      <w:r>
        <w:rPr>
          <w:sz w:val="22"/>
          <w:szCs w:val="22"/>
        </w:rPr>
        <w:t xml:space="preserve">Enfin, le nombre. Chaque partition engendre au moins un fichier. Un découpage par jour aurait donné 730 partitions de 685 lignes, un découpage par identifiant de transaction 500 000 partitions d'une ligne : le small files problem de HDFS serait atteint et la mémoire du NameNode saturée. Vingt-quatre partitions de 20 800 lignes constituent un compromis raisonnable.</w:t>
      </w:r>
    </w:p>
    <w:p>
      <w:pPr>
        <w:pStyle w:val="Heading2"/>
        <w:spacing w:after="140" w:before="280"/>
      </w:pPr>
      <w:r>
        <w:t xml:space="preserve">4.4 Le format ORC</w:t>
      </w:r>
    </w:p>
    <w:p>
      <w:pPr>
        <w:spacing w:after="120" w:line="276"/>
      </w:pPr>
      <w:r>
        <w:rPr>
          <w:sz w:val="22"/>
          <w:szCs w:val="22"/>
        </w:rPr>
        <w:t xml:space="preserve">Un fichier CSV range les valeurs ligne par ligne. Le format ORC les range colonne par colonne : toutes les villes ensemble, puis tous les montants, puis toutes les dates.</w:t>
      </w:r>
    </w:p>
    <w:p>
      <w:pPr>
        <w:spacing w:after="120" w:line="276"/>
      </w:pPr>
      <w:r>
        <w:rPr>
          <w:sz w:val="22"/>
          <w:szCs w:val="22"/>
        </w:rPr>
        <w:t xml:space="preserve">Il en résulte deux avantages. La compression devient très efficace, une colonne ne contenant que des valeurs de même nature et souvent répétées — huit villes distinctes sur 500 000 lignes. Et une requête ne lit que les colonnes dont elle a besoin, sans décompresser les autres.</w:t>
      </w:r>
    </w:p>
    <w:p>
      <w:pPr>
        <w:spacing w:after="120" w:line="276"/>
      </w:pPr>
      <w:r>
        <w:rPr>
          <w:sz w:val="22"/>
          <w:szCs w:val="22"/>
        </w:rPr>
        <w:t xml:space="preserve">ORC porte en outre des statistiques par bande de lignes, qui permettent d'ignorer des blocs entiers, et il est splittable : plusieurs mappers peuvent se partager un même fichier. Cette dernière propriété distingue ORC du gzip du volume big, dont il sera question en section 7.</w:t>
      </w:r>
    </w:p>
    <w:p>
      <w:pPr>
        <w:pStyle w:val="Heading1"/>
        <w:spacing w:after="200" w:before="360"/>
      </w:pPr>
      <w:r>
        <w:t xml:space="preserve">5. Les requêtes d'analyse</w:t>
      </w:r>
    </w:p>
    <w:p>
      <w:pPr>
        <w:spacing w:after="120" w:line="276"/>
      </w:pPr>
      <w:r>
        <w:rPr>
          <w:sz w:val="22"/>
          <w:szCs w:val="22"/>
        </w:rPr>
        <w:t xml:space="preserve">L'énoncé demande sept blocs de questions. Ils sont réalisés par douze requêtes, toutes bâties sur le même patron : une table externe décrit la forme du résultat, une insertion la remplit, un affichage la relit.</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CREATE EXTERNAL TABLE res_q2_ca_panier_ville (</w:t>
      </w:r>
      <w:r>
        <w:br/>
      </w:r>
      <w:r>
        <w:rPr>
          <w:rFonts w:ascii="Consolas" w:cs="Consolas" w:eastAsia="Consolas" w:hAnsi="Consolas"/>
          <w:sz w:val="18"/>
          <w:szCs w:val="18"/>
        </w:rPr>
        <w:t xml:space="preserve">    ville STRING, nb_transactions BIGINT, ca_total DOUBLE, panier_moyen DOUBLE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LOCATION '/datalake/results/hive/Q2_ca_panier_ville';</w:t>
      </w:r>
      <w:r>
        <w:br/>
      </w:r>
      <w:r>
        <w:rPr>
          <w:rFonts w:ascii="Consolas" w:cs="Consolas" w:eastAsia="Consolas" w:hAnsi="Consolas"/>
          <w:sz w:val="18"/>
          <w:szCs w:val="18"/>
        </w:rPr>
        <w:t xml:space="preserve"/>
      </w:r>
      <w:r>
        <w:br/>
      </w:r>
      <w:r>
        <w:rPr>
          <w:rFonts w:ascii="Consolas" w:cs="Consolas" w:eastAsia="Consolas" w:hAnsi="Consolas"/>
          <w:sz w:val="18"/>
          <w:szCs w:val="18"/>
        </w:rPr>
        <w:t xml:space="preserve">INSERT OVERWRITE TABLE res_q2_ca_panier_ville</w:t>
      </w:r>
      <w:r>
        <w:br/>
      </w:r>
      <w:r>
        <w:rPr>
          <w:rFonts w:ascii="Consolas" w:cs="Consolas" w:eastAsia="Consolas" w:hAnsi="Consolas"/>
          <w:sz w:val="18"/>
          <w:szCs w:val="18"/>
        </w:rPr>
        <w:t xml:space="preserve">SELECT ville,</w:t>
      </w:r>
      <w:r>
        <w:br/>
      </w:r>
      <w:r>
        <w:rPr>
          <w:rFonts w:ascii="Consolas" w:cs="Consolas" w:eastAsia="Consolas" w:hAnsi="Consolas"/>
          <w:sz w:val="18"/>
          <w:szCs w:val="18"/>
        </w:rPr>
        <w:t xml:space="preserve">       COUNT(*)               AS nb_transactions,</w:t>
      </w:r>
      <w:r>
        <w:br/>
      </w:r>
      <w:r>
        <w:rPr>
          <w:rFonts w:ascii="Consolas" w:cs="Consolas" w:eastAsia="Consolas" w:hAnsi="Consolas"/>
          <w:sz w:val="18"/>
          <w:szCs w:val="18"/>
        </w:rPr>
        <w:t xml:space="preserve">       ROUND(SUM(montant), 2) AS ca_total,</w:t>
      </w:r>
      <w:r>
        <w:br/>
      </w:r>
      <w:r>
        <w:rPr>
          <w:rFonts w:ascii="Consolas" w:cs="Consolas" w:eastAsia="Consolas" w:hAnsi="Consolas"/>
          <w:sz w:val="18"/>
          <w:szCs w:val="18"/>
        </w:rPr>
        <w:t xml:space="preserve">       ROUND(AVG(montant), 2) AS panier_moyen</w:t>
      </w:r>
      <w:r>
        <w:br/>
      </w:r>
      <w:r>
        <w:rPr>
          <w:rFonts w:ascii="Consolas" w:cs="Consolas" w:eastAsia="Consolas" w:hAnsi="Consolas"/>
          <w:sz w:val="18"/>
          <w:szCs w:val="18"/>
        </w:rPr>
        <w:t xml:space="preserve">FROM transactions_part</w:t>
      </w:r>
      <w:r>
        <w:br/>
      </w:r>
      <w:r>
        <w:rPr>
          <w:rFonts w:ascii="Consolas" w:cs="Consolas" w:eastAsia="Consolas" w:hAnsi="Consolas"/>
          <w:sz w:val="18"/>
          <w:szCs w:val="18"/>
        </w:rPr>
        <w:t xml:space="preserve">GROUP BY ville</w:t>
      </w:r>
      <w:r>
        <w:br/>
      </w:r>
      <w:r>
        <w:rPr>
          <w:rFonts w:ascii="Consolas" w:cs="Consolas" w:eastAsia="Consolas" w:hAnsi="Consolas"/>
          <w:sz w:val="18"/>
          <w:szCs w:val="18"/>
        </w:rPr>
        <w:t xml:space="preserve">ORDER BY ca_total DESC;</w:t>
      </w:r>
    </w:p>
    <w:p>
      <w:pPr>
        <w:spacing w:after="120" w:line="276"/>
      </w:pPr>
      <w:r>
        <w:rPr>
          <w:sz w:val="22"/>
          <w:szCs w:val="22"/>
        </w:rPr>
        <w:t xml:space="preserve">Le passage par une table matérialisée plutôt que par un simple affichage répond à une exigence de transmission : le Groupe 7 hérite ainsi d'un schéma nommé et typé, interrogeable en SQL, et de fichiers CSV lisibles directement par Spark. Un résultat affiché à l'écran aurait disparu avec la session.</w:t>
      </w:r>
    </w:p>
    <w:p>
      <w:pPr>
        <w:spacing w:after="120" w:line="276"/>
      </w:pPr>
      <w:r>
        <w:rPr>
          <w:sz w:val="22"/>
          <w:szCs w:val="22"/>
        </w:rPr>
        <w:t xml:space="preserve">Une distinction importante pour la lecture des mesures : les requêtes Q1 à Q6 interrogent </w:t>
      </w:r>
      <w:r>
        <w:rPr>
          <w:rFonts w:ascii="Consolas" w:cs="Consolas" w:eastAsia="Consolas" w:hAnsi="Consolas"/>
          <w:sz w:val="19"/>
          <w:szCs w:val="19"/>
        </w:rPr>
        <w:t xml:space="preserve">transactions_part</w:t>
      </w:r>
      <w:r>
        <w:rPr>
          <w:sz w:val="22"/>
          <w:szCs w:val="22"/>
        </w:rPr>
        <w:t xml:space="preserve">, la table ORC partitionnée, tandis que les requêtes Q7 interrogent </w:t>
      </w:r>
      <w:r>
        <w:rPr>
          <w:rFonts w:ascii="Consolas" w:cs="Consolas" w:eastAsia="Consolas" w:hAnsi="Consolas"/>
          <w:sz w:val="19"/>
          <w:szCs w:val="19"/>
        </w:rPr>
        <w:t xml:space="preserve">transactions</w:t>
      </w:r>
      <w:r>
        <w:rPr>
          <w:sz w:val="22"/>
          <w:szCs w:val="22"/>
        </w:rPr>
        <w:t xml:space="preserve">, le CSV brut. Ce choix est délibéré : les cinq requêtes Q7 sont les équivalents des cinq jobs MapReduce du Groupe 3 et doivent lire le même fichier qu'eux pour que la comparaison ait un sens. Les durées des deux séries ne sont donc pas comparables entre elles.</w:t>
      </w:r>
    </w:p>
    <w:p>
      <w:pPr>
        <w:pStyle w:val="Heading2"/>
        <w:spacing w:after="140" w:before="280"/>
      </w:pPr>
      <w:r>
        <w:t xml:space="preserve">5.1 Chiffre d'affaires annuel et mensuel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shd w:fill="EDEDEA" w:val="clear"/>
            <w:tcMar>
              <w:top w:type="dxa" w:w="60"/>
              <w:left w:type="dxa" w:w="100"/>
              <w:bottom w:type="dxa" w:w="60"/>
              <w:right w:type="dxa" w:w="100"/>
            </w:tcMar>
          </w:tcPr>
          <w:p>
            <w:pPr>
              <w:spacing w:after="0" w:line="240"/>
            </w:pPr>
            <w:r>
              <w:rPr>
                <w:b/>
                <w:bCs/>
                <w:sz w:val="19"/>
                <w:szCs w:val="19"/>
              </w:rPr>
              <w:t xml:space="preserve">Année</w:t>
            </w:r>
          </w:p>
        </w:tc>
        <w:tc>
          <w:tcPr>
            <w:tcW w:type="dxa" w:w="3000"/>
            <w:shd w:fill="EDEDEA" w:val="clear"/>
            <w:tcMar>
              <w:top w:type="dxa" w:w="60"/>
              <w:left w:type="dxa" w:w="100"/>
              <w:bottom w:type="dxa" w:w="60"/>
              <w:right w:type="dxa" w:w="100"/>
            </w:tcMar>
          </w:tcPr>
          <w:p>
            <w:pPr>
              <w:spacing w:after="0" w:line="240"/>
            </w:pPr>
            <w:r>
              <w:rPr>
                <w:b/>
                <w:bCs/>
                <w:sz w:val="19"/>
                <w:szCs w:val="19"/>
              </w:rPr>
              <w:t xml:space="preserve">Transactions</w:t>
            </w:r>
          </w:p>
        </w:tc>
        <w:tc>
          <w:tcPr>
            <w:tcW w:type="dxa" w:w="4638"/>
            <w:shd w:fill="EDEDEA" w:val="clear"/>
            <w:tcMar>
              <w:top w:type="dxa" w:w="60"/>
              <w:left w:type="dxa" w:w="100"/>
              <w:bottom w:type="dxa" w:w="60"/>
              <w:right w:type="dxa" w:w="100"/>
            </w:tcMar>
          </w:tcPr>
          <w:p>
            <w:pPr>
              <w:spacing w:after="0" w:line="240"/>
            </w:pPr>
            <w:r>
              <w:rPr>
                <w:b/>
                <w:bCs/>
                <w:sz w:val="19"/>
                <w:szCs w:val="19"/>
              </w:rPr>
              <w:t xml:space="preserve">Chiffre d'affaires (FCFA)</w:t>
            </w:r>
          </w:p>
        </w:tc>
      </w:tr>
      <w:tr>
        <w:tc>
          <w:tcPr>
            <w:tcW w:type="dxa" w:w="2000"/>
            <w:tcMar>
              <w:top w:type="dxa" w:w="60"/>
              <w:left w:type="dxa" w:w="100"/>
              <w:bottom w:type="dxa" w:w="60"/>
              <w:right w:type="dxa" w:w="100"/>
            </w:tcMar>
          </w:tcPr>
          <w:p>
            <w:pPr>
              <w:spacing w:after="0" w:line="240"/>
            </w:pPr>
            <w:r>
              <w:rPr>
                <w:b w:val="false"/>
                <w:bCs w:val="false"/>
                <w:sz w:val="19"/>
                <w:szCs w:val="19"/>
              </w:rPr>
              <w:t xml:space="preserve">2024</w:t>
            </w:r>
          </w:p>
        </w:tc>
        <w:tc>
          <w:tcPr>
            <w:tcW w:type="dxa" w:w="3000"/>
            <w:tcMar>
              <w:top w:type="dxa" w:w="60"/>
              <w:left w:type="dxa" w:w="100"/>
              <w:bottom w:type="dxa" w:w="60"/>
              <w:right w:type="dxa" w:w="100"/>
            </w:tcMar>
          </w:tcPr>
          <w:p>
            <w:pPr>
              <w:spacing w:after="0" w:line="240"/>
            </w:pPr>
            <w:r>
              <w:rPr>
                <w:b w:val="false"/>
                <w:bCs w:val="false"/>
                <w:sz w:val="19"/>
                <w:szCs w:val="19"/>
              </w:rPr>
              <w:t xml:space="preserve">251 005</w:t>
            </w:r>
          </w:p>
        </w:tc>
        <w:tc>
          <w:tcPr>
            <w:tcW w:type="dxa" w:w="4638"/>
            <w:tcMar>
              <w:top w:type="dxa" w:w="60"/>
              <w:left w:type="dxa" w:w="100"/>
              <w:bottom w:type="dxa" w:w="60"/>
              <w:right w:type="dxa" w:w="100"/>
            </w:tcMar>
          </w:tcPr>
          <w:p>
            <w:pPr>
              <w:spacing w:after="0" w:line="240"/>
            </w:pPr>
            <w:r>
              <w:rPr>
                <w:b w:val="false"/>
                <w:bCs w:val="false"/>
                <w:sz w:val="19"/>
                <w:szCs w:val="19"/>
              </w:rPr>
              <w:t xml:space="preserve">2 297 946 882,5</w:t>
            </w:r>
          </w:p>
        </w:tc>
      </w:tr>
      <w:tr>
        <w:tc>
          <w:tcPr>
            <w:tcW w:type="dxa" w:w="2000"/>
            <w:tcMar>
              <w:top w:type="dxa" w:w="60"/>
              <w:left w:type="dxa" w:w="100"/>
              <w:bottom w:type="dxa" w:w="60"/>
              <w:right w:type="dxa" w:w="100"/>
            </w:tcMar>
          </w:tcPr>
          <w:p>
            <w:pPr>
              <w:spacing w:after="0" w:line="240"/>
            </w:pPr>
            <w:r>
              <w:rPr>
                <w:b w:val="false"/>
                <w:bCs w:val="false"/>
                <w:sz w:val="19"/>
                <w:szCs w:val="19"/>
              </w:rPr>
              <w:t xml:space="preserve">2025</w:t>
            </w:r>
          </w:p>
        </w:tc>
        <w:tc>
          <w:tcPr>
            <w:tcW w:type="dxa" w:w="3000"/>
            <w:tcMar>
              <w:top w:type="dxa" w:w="60"/>
              <w:left w:type="dxa" w:w="100"/>
              <w:bottom w:type="dxa" w:w="60"/>
              <w:right w:type="dxa" w:w="100"/>
            </w:tcMar>
          </w:tcPr>
          <w:p>
            <w:pPr>
              <w:spacing w:after="0" w:line="240"/>
            </w:pPr>
            <w:r>
              <w:rPr>
                <w:b w:val="false"/>
                <w:bCs w:val="false"/>
                <w:sz w:val="19"/>
                <w:szCs w:val="19"/>
              </w:rPr>
              <w:t xml:space="preserve">248 995</w:t>
            </w:r>
          </w:p>
        </w:tc>
        <w:tc>
          <w:tcPr>
            <w:tcW w:type="dxa" w:w="4638"/>
            <w:tcMar>
              <w:top w:type="dxa" w:w="60"/>
              <w:left w:type="dxa" w:w="100"/>
              <w:bottom w:type="dxa" w:w="60"/>
              <w:right w:type="dxa" w:w="100"/>
            </w:tcMar>
          </w:tcPr>
          <w:p>
            <w:pPr>
              <w:spacing w:after="0" w:line="240"/>
            </w:pPr>
            <w:r>
              <w:rPr>
                <w:b w:val="false"/>
                <w:bCs w:val="false"/>
                <w:sz w:val="19"/>
                <w:szCs w:val="19"/>
              </w:rPr>
              <w:t xml:space="preserve">2 298 147 167,5</w:t>
            </w:r>
          </w:p>
        </w:tc>
      </w:tr>
    </w:tbl>
    <w:p>
      <w:pPr>
        <w:spacing w:after="0" w:line="120"/>
      </w:pPr>
      <w:r>
        <w:rPr>
          <w:sz w:val="10"/>
          <w:szCs w:val="10"/>
        </w:rPr>
        <w:t xml:space="preserve"/>
      </w:r>
    </w:p>
    <w:p>
      <w:pPr>
        <w:spacing w:after="120" w:line="276"/>
      </w:pPr>
      <w:r>
        <w:rPr>
          <w:sz w:val="22"/>
          <w:szCs w:val="22"/>
        </w:rPr>
        <w:t xml:space="preserve">Les deux années sont remarquablement équilibrées, à 0,01 % près. L'évolution mensuelle demande une lecture prudente, développée en section 8.</w:t>
      </w:r>
    </w:p>
    <w:p>
      <w:pPr>
        <w:spacing w:after="60" w:before="160"/>
        <w:jc w:val="center"/>
      </w:pPr>
      <w:r>
        <w:drawing>
          <wp:inline distT="0" distB="0" distL="0" distR="0">
            <wp:extent cx="5143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276475"/>
                    </a:xfrm>
                    <a:prstGeom prst="rect">
                      <a:avLst/>
                    </a:prstGeom>
                  </pic:spPr>
                </pic:pic>
              </a:graphicData>
            </a:graphic>
          </wp:inline>
        </w:drawing>
      </w:r>
    </w:p>
    <w:p>
      <w:pPr>
        <w:spacing w:after="200"/>
        <w:jc w:val="center"/>
      </w:pPr>
      <w:r>
        <w:rPr>
          <w:i/>
          <w:iCs/>
          <w:color w:val="52514E"/>
          <w:sz w:val="18"/>
          <w:szCs w:val="18"/>
        </w:rPr>
        <w:t xml:space="preserve">Figure 1 — évolution mensuelle du chiffre d'affaires sur les deux années</w:t>
      </w:r>
    </w:p>
    <w:p>
      <w:pPr>
        <w:pStyle w:val="Heading2"/>
        <w:spacing w:after="140" w:before="280"/>
      </w:pPr>
      <w:r>
        <w:t xml:space="preserve">5.2 Chiffre d'affaires et panier moyen par ville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38"/>
        <w:gridCol w:w="2000"/>
      </w:tblGrid>
      <w:tr>
        <w:trPr>
          <w:tblHeader/>
        </w:trPr>
        <w:tc>
          <w:tcPr>
            <w:tcW w:type="dxa" w:w="2200"/>
            <w:shd w:fill="EDEDEA" w:val="clear"/>
            <w:tcMar>
              <w:top w:type="dxa" w:w="60"/>
              <w:left w:type="dxa" w:w="100"/>
              <w:bottom w:type="dxa" w:w="60"/>
              <w:right w:type="dxa" w:w="100"/>
            </w:tcMar>
          </w:tcPr>
          <w:p>
            <w:pPr>
              <w:spacing w:after="0" w:line="240"/>
            </w:pPr>
            <w:r>
              <w:rPr>
                <w:b/>
                <w:bCs/>
                <w:sz w:val="19"/>
                <w:szCs w:val="19"/>
              </w:rPr>
              <w:t xml:space="preserve">Ville</w:t>
            </w:r>
          </w:p>
        </w:tc>
        <w:tc>
          <w:tcPr>
            <w:tcW w:type="dxa" w:w="2200"/>
            <w:shd w:fill="EDEDEA" w:val="clear"/>
            <w:tcMar>
              <w:top w:type="dxa" w:w="60"/>
              <w:left w:type="dxa" w:w="100"/>
              <w:bottom w:type="dxa" w:w="60"/>
              <w:right w:type="dxa" w:w="100"/>
            </w:tcMar>
          </w:tcPr>
          <w:p>
            <w:pPr>
              <w:spacing w:after="0" w:line="240"/>
            </w:pPr>
            <w:r>
              <w:rPr>
                <w:b/>
                <w:bCs/>
                <w:sz w:val="19"/>
                <w:szCs w:val="19"/>
              </w:rPr>
              <w:t xml:space="preserve">Transactions</w:t>
            </w:r>
          </w:p>
        </w:tc>
        <w:tc>
          <w:tcPr>
            <w:tcW w:type="dxa" w:w="3238"/>
            <w:shd w:fill="EDEDEA" w:val="clear"/>
            <w:tcMar>
              <w:top w:type="dxa" w:w="60"/>
              <w:left w:type="dxa" w:w="100"/>
              <w:bottom w:type="dxa" w:w="60"/>
              <w:right w:type="dxa" w:w="100"/>
            </w:tcMar>
          </w:tcPr>
          <w:p>
            <w:pPr>
              <w:spacing w:after="0" w:line="240"/>
            </w:pPr>
            <w:r>
              <w:rPr>
                <w:b/>
                <w:bCs/>
                <w:sz w:val="19"/>
                <w:szCs w:val="19"/>
              </w:rPr>
              <w:t xml:space="preserve">Chiffre d'affaires (FCFA)</w:t>
            </w:r>
          </w:p>
        </w:tc>
        <w:tc>
          <w:tcPr>
            <w:tcW w:type="dxa" w:w="2000"/>
            <w:shd w:fill="EDEDEA" w:val="clear"/>
            <w:tcMar>
              <w:top w:type="dxa" w:w="60"/>
              <w:left w:type="dxa" w:w="100"/>
              <w:bottom w:type="dxa" w:w="60"/>
              <w:right w:type="dxa" w:w="100"/>
            </w:tcMar>
          </w:tcPr>
          <w:p>
            <w:pPr>
              <w:spacing w:after="0" w:line="240"/>
            </w:pPr>
            <w:r>
              <w:rPr>
                <w:b/>
                <w:bCs/>
                <w:sz w:val="19"/>
                <w:szCs w:val="19"/>
              </w:rPr>
              <w:t xml:space="preserve">Panier moyen</w:t>
            </w:r>
          </w:p>
        </w:tc>
      </w:tr>
      <w:tr>
        <w:tc>
          <w:tcPr>
            <w:tcW w:type="dxa" w:w="2200"/>
            <w:tcMar>
              <w:top w:type="dxa" w:w="60"/>
              <w:left w:type="dxa" w:w="100"/>
              <w:bottom w:type="dxa" w:w="60"/>
              <w:right w:type="dxa" w:w="100"/>
            </w:tcMar>
          </w:tcPr>
          <w:p>
            <w:pPr>
              <w:spacing w:after="0" w:line="240"/>
            </w:pPr>
            <w:r>
              <w:rPr>
                <w:b w:val="false"/>
                <w:bCs w:val="false"/>
                <w:sz w:val="19"/>
                <w:szCs w:val="19"/>
              </w:rPr>
              <w:t xml:space="preserve">Lomé</w:t>
            </w:r>
          </w:p>
        </w:tc>
        <w:tc>
          <w:tcPr>
            <w:tcW w:type="dxa" w:w="2200"/>
            <w:tcMar>
              <w:top w:type="dxa" w:w="60"/>
              <w:left w:type="dxa" w:w="100"/>
              <w:bottom w:type="dxa" w:w="60"/>
              <w:right w:type="dxa" w:w="100"/>
            </w:tcMar>
          </w:tcPr>
          <w:p>
            <w:pPr>
              <w:spacing w:after="0" w:line="240"/>
            </w:pPr>
            <w:r>
              <w:rPr>
                <w:b w:val="false"/>
                <w:bCs w:val="false"/>
                <w:sz w:val="19"/>
                <w:szCs w:val="19"/>
              </w:rPr>
              <w:t xml:space="preserve">200 348</w:t>
            </w:r>
          </w:p>
        </w:tc>
        <w:tc>
          <w:tcPr>
            <w:tcW w:type="dxa" w:w="3238"/>
            <w:tcMar>
              <w:top w:type="dxa" w:w="60"/>
              <w:left w:type="dxa" w:w="100"/>
              <w:bottom w:type="dxa" w:w="60"/>
              <w:right w:type="dxa" w:w="100"/>
            </w:tcMar>
          </w:tcPr>
          <w:p>
            <w:pPr>
              <w:spacing w:after="0" w:line="240"/>
            </w:pPr>
            <w:r>
              <w:rPr>
                <w:b w:val="false"/>
                <w:bCs w:val="false"/>
                <w:sz w:val="19"/>
                <w:szCs w:val="19"/>
              </w:rPr>
              <w:t xml:space="preserve">1 838 294 035,0</w:t>
            </w:r>
          </w:p>
        </w:tc>
        <w:tc>
          <w:tcPr>
            <w:tcW w:type="dxa" w:w="2000"/>
            <w:tcMar>
              <w:top w:type="dxa" w:w="60"/>
              <w:left w:type="dxa" w:w="100"/>
              <w:bottom w:type="dxa" w:w="60"/>
              <w:right w:type="dxa" w:w="100"/>
            </w:tcMar>
          </w:tcPr>
          <w:p>
            <w:pPr>
              <w:spacing w:after="0" w:line="240"/>
            </w:pPr>
            <w:r>
              <w:rPr>
                <w:b w:val="false"/>
                <w:bCs w:val="false"/>
                <w:sz w:val="19"/>
                <w:szCs w:val="19"/>
              </w:rPr>
              <w:t xml:space="preserve">9 175,50</w:t>
            </w:r>
          </w:p>
        </w:tc>
      </w:tr>
      <w:tr>
        <w:tc>
          <w:tcPr>
            <w:tcW w:type="dxa" w:w="2200"/>
            <w:tcMar>
              <w:top w:type="dxa" w:w="60"/>
              <w:left w:type="dxa" w:w="100"/>
              <w:bottom w:type="dxa" w:w="60"/>
              <w:right w:type="dxa" w:w="100"/>
            </w:tcMar>
          </w:tcPr>
          <w:p>
            <w:pPr>
              <w:spacing w:after="0" w:line="240"/>
            </w:pPr>
            <w:r>
              <w:rPr>
                <w:b w:val="false"/>
                <w:bCs w:val="false"/>
                <w:sz w:val="19"/>
                <w:szCs w:val="19"/>
              </w:rPr>
              <w:t xml:space="preserve">Kara</w:t>
            </w:r>
          </w:p>
        </w:tc>
        <w:tc>
          <w:tcPr>
            <w:tcW w:type="dxa" w:w="2200"/>
            <w:tcMar>
              <w:top w:type="dxa" w:w="60"/>
              <w:left w:type="dxa" w:w="100"/>
              <w:bottom w:type="dxa" w:w="60"/>
              <w:right w:type="dxa" w:w="100"/>
            </w:tcMar>
          </w:tcPr>
          <w:p>
            <w:pPr>
              <w:spacing w:after="0" w:line="240"/>
            </w:pPr>
            <w:r>
              <w:rPr>
                <w:b w:val="false"/>
                <w:bCs w:val="false"/>
                <w:sz w:val="19"/>
                <w:szCs w:val="19"/>
              </w:rPr>
              <w:t xml:space="preserve">59 635</w:t>
            </w:r>
          </w:p>
        </w:tc>
        <w:tc>
          <w:tcPr>
            <w:tcW w:type="dxa" w:w="3238"/>
            <w:tcMar>
              <w:top w:type="dxa" w:w="60"/>
              <w:left w:type="dxa" w:w="100"/>
              <w:bottom w:type="dxa" w:w="60"/>
              <w:right w:type="dxa" w:w="100"/>
            </w:tcMar>
          </w:tcPr>
          <w:p>
            <w:pPr>
              <w:spacing w:after="0" w:line="240"/>
            </w:pPr>
            <w:r>
              <w:rPr>
                <w:b w:val="false"/>
                <w:bCs w:val="false"/>
                <w:sz w:val="19"/>
                <w:szCs w:val="19"/>
              </w:rPr>
              <w:t xml:space="preserve">550 959 267,5</w:t>
            </w:r>
          </w:p>
        </w:tc>
        <w:tc>
          <w:tcPr>
            <w:tcW w:type="dxa" w:w="2000"/>
            <w:tcMar>
              <w:top w:type="dxa" w:w="60"/>
              <w:left w:type="dxa" w:w="100"/>
              <w:bottom w:type="dxa" w:w="60"/>
              <w:right w:type="dxa" w:w="100"/>
            </w:tcMar>
          </w:tcPr>
          <w:p>
            <w:pPr>
              <w:spacing w:after="0" w:line="240"/>
            </w:pPr>
            <w:r>
              <w:rPr>
                <w:b w:val="false"/>
                <w:bCs w:val="false"/>
                <w:sz w:val="19"/>
                <w:szCs w:val="19"/>
              </w:rPr>
              <w:t xml:space="preserve">9 238,86</w:t>
            </w:r>
          </w:p>
        </w:tc>
      </w:tr>
      <w:tr>
        <w:tc>
          <w:tcPr>
            <w:tcW w:type="dxa" w:w="2200"/>
            <w:tcMar>
              <w:top w:type="dxa" w:w="60"/>
              <w:left w:type="dxa" w:w="100"/>
              <w:bottom w:type="dxa" w:w="60"/>
              <w:right w:type="dxa" w:w="100"/>
            </w:tcMar>
          </w:tcPr>
          <w:p>
            <w:pPr>
              <w:spacing w:after="0" w:line="240"/>
            </w:pPr>
            <w:r>
              <w:rPr>
                <w:b w:val="false"/>
                <w:bCs w:val="false"/>
                <w:sz w:val="19"/>
                <w:szCs w:val="19"/>
              </w:rPr>
              <w:t xml:space="preserve">Sokodé</w:t>
            </w:r>
          </w:p>
        </w:tc>
        <w:tc>
          <w:tcPr>
            <w:tcW w:type="dxa" w:w="2200"/>
            <w:tcMar>
              <w:top w:type="dxa" w:w="60"/>
              <w:left w:type="dxa" w:w="100"/>
              <w:bottom w:type="dxa" w:w="60"/>
              <w:right w:type="dxa" w:w="100"/>
            </w:tcMar>
          </w:tcPr>
          <w:p>
            <w:pPr>
              <w:spacing w:after="0" w:line="240"/>
            </w:pPr>
            <w:r>
              <w:rPr>
                <w:b w:val="false"/>
                <w:bCs w:val="false"/>
                <w:sz w:val="19"/>
                <w:szCs w:val="19"/>
              </w:rPr>
              <w:t xml:space="preserve">54 686</w:t>
            </w:r>
          </w:p>
        </w:tc>
        <w:tc>
          <w:tcPr>
            <w:tcW w:type="dxa" w:w="3238"/>
            <w:tcMar>
              <w:top w:type="dxa" w:w="60"/>
              <w:left w:type="dxa" w:w="100"/>
              <w:bottom w:type="dxa" w:w="60"/>
              <w:right w:type="dxa" w:w="100"/>
            </w:tcMar>
          </w:tcPr>
          <w:p>
            <w:pPr>
              <w:spacing w:after="0" w:line="240"/>
            </w:pPr>
            <w:r>
              <w:rPr>
                <w:b w:val="false"/>
                <w:bCs w:val="false"/>
                <w:sz w:val="19"/>
                <w:szCs w:val="19"/>
              </w:rPr>
              <w:t xml:space="preserve">503 559 237,5</w:t>
            </w:r>
          </w:p>
        </w:tc>
        <w:tc>
          <w:tcPr>
            <w:tcW w:type="dxa" w:w="2000"/>
            <w:tcMar>
              <w:top w:type="dxa" w:w="60"/>
              <w:left w:type="dxa" w:w="100"/>
              <w:bottom w:type="dxa" w:w="60"/>
              <w:right w:type="dxa" w:w="100"/>
            </w:tcMar>
          </w:tcPr>
          <w:p>
            <w:pPr>
              <w:spacing w:after="0" w:line="240"/>
            </w:pPr>
            <w:r>
              <w:rPr>
                <w:b w:val="false"/>
                <w:bCs w:val="false"/>
                <w:sz w:val="19"/>
                <w:szCs w:val="19"/>
              </w:rPr>
              <w:t xml:space="preserve">9 208,19</w:t>
            </w:r>
          </w:p>
        </w:tc>
      </w:tr>
      <w:tr>
        <w:tc>
          <w:tcPr>
            <w:tcW w:type="dxa" w:w="2200"/>
            <w:tcMar>
              <w:top w:type="dxa" w:w="60"/>
              <w:left w:type="dxa" w:w="100"/>
              <w:bottom w:type="dxa" w:w="60"/>
              <w:right w:type="dxa" w:w="100"/>
            </w:tcMar>
          </w:tcPr>
          <w:p>
            <w:pPr>
              <w:spacing w:after="0" w:line="240"/>
            </w:pPr>
            <w:r>
              <w:rPr>
                <w:b w:val="false"/>
                <w:bCs w:val="false"/>
                <w:sz w:val="19"/>
                <w:szCs w:val="19"/>
              </w:rPr>
              <w:t xml:space="preserve">Kpalimé</w:t>
            </w:r>
          </w:p>
        </w:tc>
        <w:tc>
          <w:tcPr>
            <w:tcW w:type="dxa" w:w="2200"/>
            <w:tcMar>
              <w:top w:type="dxa" w:w="60"/>
              <w:left w:type="dxa" w:w="100"/>
              <w:bottom w:type="dxa" w:w="60"/>
              <w:right w:type="dxa" w:w="100"/>
            </w:tcMar>
          </w:tcPr>
          <w:p>
            <w:pPr>
              <w:spacing w:after="0" w:line="240"/>
            </w:pPr>
            <w:r>
              <w:rPr>
                <w:b w:val="false"/>
                <w:bCs w:val="false"/>
                <w:sz w:val="19"/>
                <w:szCs w:val="19"/>
              </w:rPr>
              <w:t xml:space="preserve">45 369</w:t>
            </w:r>
          </w:p>
        </w:tc>
        <w:tc>
          <w:tcPr>
            <w:tcW w:type="dxa" w:w="3238"/>
            <w:tcMar>
              <w:top w:type="dxa" w:w="60"/>
              <w:left w:type="dxa" w:w="100"/>
              <w:bottom w:type="dxa" w:w="60"/>
              <w:right w:type="dxa" w:w="100"/>
            </w:tcMar>
          </w:tcPr>
          <w:p>
            <w:pPr>
              <w:spacing w:after="0" w:line="240"/>
            </w:pPr>
            <w:r>
              <w:rPr>
                <w:b w:val="false"/>
                <w:bCs w:val="false"/>
                <w:sz w:val="19"/>
                <w:szCs w:val="19"/>
              </w:rPr>
              <w:t xml:space="preserve">416 192 485,0</w:t>
            </w:r>
          </w:p>
        </w:tc>
        <w:tc>
          <w:tcPr>
            <w:tcW w:type="dxa" w:w="2000"/>
            <w:tcMar>
              <w:top w:type="dxa" w:w="60"/>
              <w:left w:type="dxa" w:w="100"/>
              <w:bottom w:type="dxa" w:w="60"/>
              <w:right w:type="dxa" w:w="100"/>
            </w:tcMar>
          </w:tcPr>
          <w:p>
            <w:pPr>
              <w:spacing w:after="0" w:line="240"/>
            </w:pPr>
            <w:r>
              <w:rPr>
                <w:b w:val="false"/>
                <w:bCs w:val="false"/>
                <w:sz w:val="19"/>
                <w:szCs w:val="19"/>
              </w:rPr>
              <w:t xml:space="preserve">9 173,50</w:t>
            </w:r>
          </w:p>
        </w:tc>
      </w:tr>
      <w:tr>
        <w:tc>
          <w:tcPr>
            <w:tcW w:type="dxa" w:w="2200"/>
            <w:tcMar>
              <w:top w:type="dxa" w:w="60"/>
              <w:left w:type="dxa" w:w="100"/>
              <w:bottom w:type="dxa" w:w="60"/>
              <w:right w:type="dxa" w:w="100"/>
            </w:tcMar>
          </w:tcPr>
          <w:p>
            <w:pPr>
              <w:spacing w:after="0" w:line="240"/>
            </w:pPr>
            <w:r>
              <w:rPr>
                <w:b w:val="false"/>
                <w:bCs w:val="false"/>
                <w:sz w:val="19"/>
                <w:szCs w:val="19"/>
              </w:rPr>
              <w:t xml:space="preserve">Atakpamé</w:t>
            </w:r>
          </w:p>
        </w:tc>
        <w:tc>
          <w:tcPr>
            <w:tcW w:type="dxa" w:w="2200"/>
            <w:tcMar>
              <w:top w:type="dxa" w:w="60"/>
              <w:left w:type="dxa" w:w="100"/>
              <w:bottom w:type="dxa" w:w="60"/>
              <w:right w:type="dxa" w:w="100"/>
            </w:tcMar>
          </w:tcPr>
          <w:p>
            <w:pPr>
              <w:spacing w:after="0" w:line="240"/>
            </w:pPr>
            <w:r>
              <w:rPr>
                <w:b w:val="false"/>
                <w:bCs w:val="false"/>
                <w:sz w:val="19"/>
                <w:szCs w:val="19"/>
              </w:rPr>
              <w:t xml:space="preserve">44 803</w:t>
            </w:r>
          </w:p>
        </w:tc>
        <w:tc>
          <w:tcPr>
            <w:tcW w:type="dxa" w:w="3238"/>
            <w:tcMar>
              <w:top w:type="dxa" w:w="60"/>
              <w:left w:type="dxa" w:w="100"/>
              <w:bottom w:type="dxa" w:w="60"/>
              <w:right w:type="dxa" w:w="100"/>
            </w:tcMar>
          </w:tcPr>
          <w:p>
            <w:pPr>
              <w:spacing w:after="0" w:line="240"/>
            </w:pPr>
            <w:r>
              <w:rPr>
                <w:b w:val="false"/>
                <w:bCs w:val="false"/>
                <w:sz w:val="19"/>
                <w:szCs w:val="19"/>
              </w:rPr>
              <w:t xml:space="preserve">411 258 220,0</w:t>
            </w:r>
          </w:p>
        </w:tc>
        <w:tc>
          <w:tcPr>
            <w:tcW w:type="dxa" w:w="2000"/>
            <w:tcMar>
              <w:top w:type="dxa" w:w="60"/>
              <w:left w:type="dxa" w:w="100"/>
              <w:bottom w:type="dxa" w:w="60"/>
              <w:right w:type="dxa" w:w="100"/>
            </w:tcMar>
          </w:tcPr>
          <w:p>
            <w:pPr>
              <w:spacing w:after="0" w:line="240"/>
            </w:pPr>
            <w:r>
              <w:rPr>
                <w:b w:val="false"/>
                <w:bCs w:val="false"/>
                <w:sz w:val="19"/>
                <w:szCs w:val="19"/>
              </w:rPr>
              <w:t xml:space="preserve">9 179,26</w:t>
            </w:r>
          </w:p>
        </w:tc>
      </w:tr>
      <w:tr>
        <w:tc>
          <w:tcPr>
            <w:tcW w:type="dxa" w:w="2200"/>
            <w:tcMar>
              <w:top w:type="dxa" w:w="60"/>
              <w:left w:type="dxa" w:w="100"/>
              <w:bottom w:type="dxa" w:w="60"/>
              <w:right w:type="dxa" w:w="100"/>
            </w:tcMar>
          </w:tcPr>
          <w:p>
            <w:pPr>
              <w:spacing w:after="0" w:line="240"/>
            </w:pPr>
            <w:r>
              <w:rPr>
                <w:b w:val="false"/>
                <w:bCs w:val="false"/>
                <w:sz w:val="19"/>
                <w:szCs w:val="19"/>
              </w:rPr>
              <w:t xml:space="preserve">Tsévié</w:t>
            </w:r>
          </w:p>
        </w:tc>
        <w:tc>
          <w:tcPr>
            <w:tcW w:type="dxa" w:w="2200"/>
            <w:tcMar>
              <w:top w:type="dxa" w:w="60"/>
              <w:left w:type="dxa" w:w="100"/>
              <w:bottom w:type="dxa" w:w="60"/>
              <w:right w:type="dxa" w:w="100"/>
            </w:tcMar>
          </w:tcPr>
          <w:p>
            <w:pPr>
              <w:spacing w:after="0" w:line="240"/>
            </w:pPr>
            <w:r>
              <w:rPr>
                <w:b w:val="false"/>
                <w:bCs w:val="false"/>
                <w:sz w:val="19"/>
                <w:szCs w:val="19"/>
              </w:rPr>
              <w:t xml:space="preserve">35 204</w:t>
            </w:r>
          </w:p>
        </w:tc>
        <w:tc>
          <w:tcPr>
            <w:tcW w:type="dxa" w:w="3238"/>
            <w:tcMar>
              <w:top w:type="dxa" w:w="60"/>
              <w:left w:type="dxa" w:w="100"/>
              <w:bottom w:type="dxa" w:w="60"/>
              <w:right w:type="dxa" w:w="100"/>
            </w:tcMar>
          </w:tcPr>
          <w:p>
            <w:pPr>
              <w:spacing w:after="0" w:line="240"/>
            </w:pPr>
            <w:r>
              <w:rPr>
                <w:b w:val="false"/>
                <w:bCs w:val="false"/>
                <w:sz w:val="19"/>
                <w:szCs w:val="19"/>
              </w:rPr>
              <w:t xml:space="preserve">323 521 682,5</w:t>
            </w:r>
          </w:p>
        </w:tc>
        <w:tc>
          <w:tcPr>
            <w:tcW w:type="dxa" w:w="2000"/>
            <w:tcMar>
              <w:top w:type="dxa" w:w="60"/>
              <w:left w:type="dxa" w:w="100"/>
              <w:bottom w:type="dxa" w:w="60"/>
              <w:right w:type="dxa" w:w="100"/>
            </w:tcMar>
          </w:tcPr>
          <w:p>
            <w:pPr>
              <w:spacing w:after="0" w:line="240"/>
            </w:pPr>
            <w:r>
              <w:rPr>
                <w:b w:val="false"/>
                <w:bCs w:val="false"/>
                <w:sz w:val="19"/>
                <w:szCs w:val="19"/>
              </w:rPr>
              <w:t xml:space="preserve">9 189,91</w:t>
            </w:r>
          </w:p>
        </w:tc>
      </w:tr>
      <w:tr>
        <w:tc>
          <w:tcPr>
            <w:tcW w:type="dxa" w:w="2200"/>
            <w:tcMar>
              <w:top w:type="dxa" w:w="60"/>
              <w:left w:type="dxa" w:w="100"/>
              <w:bottom w:type="dxa" w:w="60"/>
              <w:right w:type="dxa" w:w="100"/>
            </w:tcMar>
          </w:tcPr>
          <w:p>
            <w:pPr>
              <w:spacing w:after="0" w:line="240"/>
            </w:pPr>
            <w:r>
              <w:rPr>
                <w:b w:val="false"/>
                <w:bCs w:val="false"/>
                <w:sz w:val="19"/>
                <w:szCs w:val="19"/>
              </w:rPr>
              <w:t xml:space="preserve">Dapaong</w:t>
            </w:r>
          </w:p>
        </w:tc>
        <w:tc>
          <w:tcPr>
            <w:tcW w:type="dxa" w:w="2200"/>
            <w:tcMar>
              <w:top w:type="dxa" w:w="60"/>
              <w:left w:type="dxa" w:w="100"/>
              <w:bottom w:type="dxa" w:w="60"/>
              <w:right w:type="dxa" w:w="100"/>
            </w:tcMar>
          </w:tcPr>
          <w:p>
            <w:pPr>
              <w:spacing w:after="0" w:line="240"/>
            </w:pPr>
            <w:r>
              <w:rPr>
                <w:b w:val="false"/>
                <w:bCs w:val="false"/>
                <w:sz w:val="19"/>
                <w:szCs w:val="19"/>
              </w:rPr>
              <w:t xml:space="preserve">34 808</w:t>
            </w:r>
          </w:p>
        </w:tc>
        <w:tc>
          <w:tcPr>
            <w:tcW w:type="dxa" w:w="3238"/>
            <w:tcMar>
              <w:top w:type="dxa" w:w="60"/>
              <w:left w:type="dxa" w:w="100"/>
              <w:bottom w:type="dxa" w:w="60"/>
              <w:right w:type="dxa" w:w="100"/>
            </w:tcMar>
          </w:tcPr>
          <w:p>
            <w:pPr>
              <w:spacing w:after="0" w:line="240"/>
            </w:pPr>
            <w:r>
              <w:rPr>
                <w:b w:val="false"/>
                <w:bCs w:val="false"/>
                <w:sz w:val="19"/>
                <w:szCs w:val="19"/>
              </w:rPr>
              <w:t xml:space="preserve">321 225 312,5</w:t>
            </w:r>
          </w:p>
        </w:tc>
        <w:tc>
          <w:tcPr>
            <w:tcW w:type="dxa" w:w="2000"/>
            <w:tcMar>
              <w:top w:type="dxa" w:w="60"/>
              <w:left w:type="dxa" w:w="100"/>
              <w:bottom w:type="dxa" w:w="60"/>
              <w:right w:type="dxa" w:w="100"/>
            </w:tcMar>
          </w:tcPr>
          <w:p>
            <w:pPr>
              <w:spacing w:after="0" w:line="240"/>
            </w:pPr>
            <w:r>
              <w:rPr>
                <w:b w:val="false"/>
                <w:bCs w:val="false"/>
                <w:sz w:val="19"/>
                <w:szCs w:val="19"/>
              </w:rPr>
              <w:t xml:space="preserve">9 228,49</w:t>
            </w:r>
          </w:p>
        </w:tc>
      </w:tr>
      <w:tr>
        <w:tc>
          <w:tcPr>
            <w:tcW w:type="dxa" w:w="2200"/>
            <w:tcMar>
              <w:top w:type="dxa" w:w="60"/>
              <w:left w:type="dxa" w:w="100"/>
              <w:bottom w:type="dxa" w:w="60"/>
              <w:right w:type="dxa" w:w="100"/>
            </w:tcMar>
          </w:tcPr>
          <w:p>
            <w:pPr>
              <w:spacing w:after="0" w:line="240"/>
            </w:pPr>
            <w:r>
              <w:rPr>
                <w:b w:val="false"/>
                <w:bCs w:val="false"/>
                <w:sz w:val="19"/>
                <w:szCs w:val="19"/>
              </w:rPr>
              <w:t xml:space="preserve">Aného</w:t>
            </w:r>
          </w:p>
        </w:tc>
        <w:tc>
          <w:tcPr>
            <w:tcW w:type="dxa" w:w="2200"/>
            <w:tcMar>
              <w:top w:type="dxa" w:w="60"/>
              <w:left w:type="dxa" w:w="100"/>
              <w:bottom w:type="dxa" w:w="60"/>
              <w:right w:type="dxa" w:w="100"/>
            </w:tcMar>
          </w:tcPr>
          <w:p>
            <w:pPr>
              <w:spacing w:after="0" w:line="240"/>
            </w:pPr>
            <w:r>
              <w:rPr>
                <w:b w:val="false"/>
                <w:bCs w:val="false"/>
                <w:sz w:val="19"/>
                <w:szCs w:val="19"/>
              </w:rPr>
              <w:t xml:space="preserve">25 147</w:t>
            </w:r>
          </w:p>
        </w:tc>
        <w:tc>
          <w:tcPr>
            <w:tcW w:type="dxa" w:w="3238"/>
            <w:tcMar>
              <w:top w:type="dxa" w:w="60"/>
              <w:left w:type="dxa" w:w="100"/>
              <w:bottom w:type="dxa" w:w="60"/>
              <w:right w:type="dxa" w:w="100"/>
            </w:tcMar>
          </w:tcPr>
          <w:p>
            <w:pPr>
              <w:spacing w:after="0" w:line="240"/>
            </w:pPr>
            <w:r>
              <w:rPr>
                <w:b w:val="false"/>
                <w:bCs w:val="false"/>
                <w:sz w:val="19"/>
                <w:szCs w:val="19"/>
              </w:rPr>
              <w:t xml:space="preserve">231 083 810,0</w:t>
            </w:r>
          </w:p>
        </w:tc>
        <w:tc>
          <w:tcPr>
            <w:tcW w:type="dxa" w:w="2000"/>
            <w:tcMar>
              <w:top w:type="dxa" w:w="60"/>
              <w:left w:type="dxa" w:w="100"/>
              <w:bottom w:type="dxa" w:w="60"/>
              <w:right w:type="dxa" w:w="100"/>
            </w:tcMar>
          </w:tcPr>
          <w:p>
            <w:pPr>
              <w:spacing w:after="0" w:line="240"/>
            </w:pPr>
            <w:r>
              <w:rPr>
                <w:b w:val="false"/>
                <w:bCs w:val="false"/>
                <w:sz w:val="19"/>
                <w:szCs w:val="19"/>
              </w:rPr>
              <w:t xml:space="preserve">9 189,32</w:t>
            </w:r>
          </w:p>
        </w:tc>
      </w:tr>
    </w:tbl>
    <w:p>
      <w:pPr>
        <w:spacing w:after="0" w:line="120"/>
      </w:pPr>
      <w:r>
        <w:rPr>
          <w:sz w:val="10"/>
          <w:szCs w:val="10"/>
        </w:rPr>
        <w:t xml:space="preserve"/>
      </w:r>
    </w:p>
    <w:p>
      <w:pPr>
        <w:spacing w:after="120" w:line="276"/>
      </w:pPr>
      <w:r>
        <w:rPr>
          <w:sz w:val="22"/>
          <w:szCs w:val="22"/>
        </w:rPr>
        <w:t xml:space="preserve">Lomé concentre 40 % des transactions comme du chiffre d'affaires. Le panier moyen, en revanche, est d'une stabilité frappante : toutes les villes se tiennent dans un intervalle de 0,7 %.</w:t>
      </w:r>
    </w:p>
    <w:p>
      <w:pPr>
        <w:spacing w:after="60" w:before="160"/>
        <w:jc w:val="center"/>
      </w:pPr>
      <w:r>
        <w:drawing>
          <wp:inline distT="0" distB="0" distL="0" distR="0">
            <wp:extent cx="5143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28925"/>
                    </a:xfrm>
                    <a:prstGeom prst="rect">
                      <a:avLst/>
                    </a:prstGeom>
                  </pic:spPr>
                </pic:pic>
              </a:graphicData>
            </a:graphic>
          </wp:inline>
        </w:drawing>
      </w:r>
    </w:p>
    <w:p>
      <w:pPr>
        <w:spacing w:after="200"/>
        <w:jc w:val="center"/>
      </w:pPr>
      <w:r>
        <w:rPr>
          <w:i/>
          <w:iCs/>
          <w:color w:val="52514E"/>
          <w:sz w:val="18"/>
          <w:szCs w:val="18"/>
        </w:rPr>
        <w:t xml:space="preserve">Figure 2 — chiffre d'affaires par ville</w:t>
      </w:r>
    </w:p>
    <w:p>
      <w:pPr>
        <w:pStyle w:val="Heading2"/>
        <w:spacing w:after="140" w:before="280"/>
      </w:pPr>
      <w:r>
        <w:t xml:space="preserve">5.3 Les dix premiers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838"/>
      </w:tblGrid>
      <w:tr>
        <w:trPr>
          <w:tblHeader/>
        </w:trPr>
        <w:tc>
          <w:tcPr>
            <w:tcW w:type="dxa" w:w="2400"/>
            <w:shd w:fill="EDEDEA" w:val="clear"/>
            <w:tcMar>
              <w:top w:type="dxa" w:w="60"/>
              <w:left w:type="dxa" w:w="100"/>
              <w:bottom w:type="dxa" w:w="60"/>
              <w:right w:type="dxa" w:w="100"/>
            </w:tcMar>
          </w:tcPr>
          <w:p>
            <w:pPr>
              <w:spacing w:after="0" w:line="240"/>
            </w:pPr>
            <w:r>
              <w:rPr>
                <w:b/>
                <w:bCs/>
                <w:sz w:val="19"/>
                <w:szCs w:val="19"/>
              </w:rPr>
              <w:t xml:space="preserve">Produit</w:t>
            </w:r>
          </w:p>
        </w:tc>
        <w:tc>
          <w:tcPr>
            <w:tcW w:type="dxa" w:w="2200"/>
            <w:shd w:fill="EDEDEA" w:val="clear"/>
            <w:tcMar>
              <w:top w:type="dxa" w:w="60"/>
              <w:left w:type="dxa" w:w="100"/>
              <w:bottom w:type="dxa" w:w="60"/>
              <w:right w:type="dxa" w:w="100"/>
            </w:tcMar>
          </w:tcPr>
          <w:p>
            <w:pPr>
              <w:spacing w:after="0" w:line="240"/>
            </w:pPr>
            <w:r>
              <w:rPr>
                <w:b/>
                <w:bCs/>
                <w:sz w:val="19"/>
                <w:szCs w:val="19"/>
              </w:rPr>
              <w:t xml:space="preserve">Catégorie</w:t>
            </w:r>
          </w:p>
        </w:tc>
        <w:tc>
          <w:tcPr>
            <w:tcW w:type="dxa" w:w="2200"/>
            <w:shd w:fill="EDEDEA" w:val="clear"/>
            <w:tcMar>
              <w:top w:type="dxa" w:w="60"/>
              <w:left w:type="dxa" w:w="100"/>
              <w:bottom w:type="dxa" w:w="60"/>
              <w:right w:type="dxa" w:w="100"/>
            </w:tcMar>
          </w:tcPr>
          <w:p>
            <w:pPr>
              <w:spacing w:after="0" w:line="240"/>
            </w:pPr>
            <w:r>
              <w:rPr>
                <w:b/>
                <w:bCs/>
                <w:sz w:val="19"/>
                <w:szCs w:val="19"/>
              </w:rPr>
              <w:t xml:space="preserve">Quantité vendue</w:t>
            </w:r>
          </w:p>
        </w:tc>
        <w:tc>
          <w:tcPr>
            <w:tcW w:type="dxa" w:w="2838"/>
            <w:shd w:fill="EDEDEA" w:val="clear"/>
            <w:tcMar>
              <w:top w:type="dxa" w:w="60"/>
              <w:left w:type="dxa" w:w="100"/>
              <w:bottom w:type="dxa" w:w="60"/>
              <w:right w:type="dxa" w:w="100"/>
            </w:tcMar>
          </w:tcPr>
          <w:p>
            <w:pPr>
              <w:spacing w:after="0" w:line="240"/>
            </w:pPr>
            <w:r>
              <w:rPr>
                <w:b/>
                <w:bCs/>
                <w:sz w:val="19"/>
                <w:szCs w:val="19"/>
              </w:rPr>
              <w:t xml:space="preserve">Chiffre d'affaires (FCFA)</w:t>
            </w:r>
          </w:p>
        </w:tc>
      </w:tr>
      <w:tr>
        <w:tc>
          <w:tcPr>
            <w:tcW w:type="dxa" w:w="2400"/>
            <w:tcMar>
              <w:top w:type="dxa" w:w="60"/>
              <w:left w:type="dxa" w:w="100"/>
              <w:bottom w:type="dxa" w:w="60"/>
              <w:right w:type="dxa" w:w="100"/>
            </w:tcMar>
          </w:tcPr>
          <w:p>
            <w:pPr>
              <w:spacing w:after="0" w:line="240"/>
            </w:pPr>
            <w:r>
              <w:rPr>
                <w:b w:val="false"/>
                <w:bCs w:val="false"/>
                <w:sz w:val="19"/>
                <w:szCs w:val="19"/>
              </w:rPr>
              <w:t xml:space="preserve">Powerbank</w:t>
            </w:r>
          </w:p>
        </w:tc>
        <w:tc>
          <w:tcPr>
            <w:tcW w:type="dxa" w:w="2200"/>
            <w:tcMar>
              <w:top w:type="dxa" w:w="60"/>
              <w:left w:type="dxa" w:w="100"/>
              <w:bottom w:type="dxa" w:w="60"/>
              <w:right w:type="dxa" w:w="100"/>
            </w:tcMar>
          </w:tcPr>
          <w:p>
            <w:pPr>
              <w:spacing w:after="0" w:line="240"/>
            </w:pPr>
            <w:r>
              <w:rPr>
                <w:b w:val="false"/>
                <w:bCs w:val="false"/>
                <w:sz w:val="19"/>
                <w:szCs w:val="19"/>
              </w:rPr>
              <w:t xml:space="preserve">Électronique</w:t>
            </w:r>
          </w:p>
        </w:tc>
        <w:tc>
          <w:tcPr>
            <w:tcW w:type="dxa" w:w="2200"/>
            <w:tcMar>
              <w:top w:type="dxa" w:w="60"/>
              <w:left w:type="dxa" w:w="100"/>
              <w:bottom w:type="dxa" w:w="60"/>
              <w:right w:type="dxa" w:w="100"/>
            </w:tcMar>
          </w:tcPr>
          <w:p>
            <w:pPr>
              <w:spacing w:after="0" w:line="240"/>
            </w:pPr>
            <w:r>
              <w:rPr>
                <w:b w:val="false"/>
                <w:bCs w:val="false"/>
                <w:sz w:val="19"/>
                <w:szCs w:val="19"/>
              </w:rPr>
              <w:t xml:space="preserve">76 312</w:t>
            </w:r>
          </w:p>
        </w:tc>
        <w:tc>
          <w:tcPr>
            <w:tcW w:type="dxa" w:w="2838"/>
            <w:tcMar>
              <w:top w:type="dxa" w:w="60"/>
              <w:left w:type="dxa" w:w="100"/>
              <w:bottom w:type="dxa" w:w="60"/>
              <w:right w:type="dxa" w:w="100"/>
            </w:tcMar>
          </w:tcPr>
          <w:p>
            <w:pPr>
              <w:spacing w:after="0" w:line="240"/>
            </w:pPr>
            <w:r>
              <w:rPr>
                <w:b w:val="false"/>
                <w:bCs w:val="false"/>
                <w:sz w:val="19"/>
                <w:szCs w:val="19"/>
              </w:rPr>
              <w:t xml:space="preserve">888 405 717,5</w:t>
            </w:r>
          </w:p>
        </w:tc>
      </w:tr>
      <w:tr>
        <w:tc>
          <w:tcPr>
            <w:tcW w:type="dxa" w:w="2400"/>
            <w:tcMar>
              <w:top w:type="dxa" w:w="60"/>
              <w:left w:type="dxa" w:w="100"/>
              <w:bottom w:type="dxa" w:w="60"/>
              <w:right w:type="dxa" w:w="100"/>
            </w:tcMar>
          </w:tcPr>
          <w:p>
            <w:pPr>
              <w:spacing w:after="0" w:line="240"/>
            </w:pPr>
            <w:r>
              <w:rPr>
                <w:b w:val="false"/>
                <w:bCs w:val="false"/>
                <w:sz w:val="19"/>
                <w:szCs w:val="19"/>
              </w:rPr>
              <w:t xml:space="preserve">Souris</w:t>
            </w:r>
          </w:p>
        </w:tc>
        <w:tc>
          <w:tcPr>
            <w:tcW w:type="dxa" w:w="2200"/>
            <w:tcMar>
              <w:top w:type="dxa" w:w="60"/>
              <w:left w:type="dxa" w:w="100"/>
              <w:bottom w:type="dxa" w:w="60"/>
              <w:right w:type="dxa" w:w="100"/>
            </w:tcMar>
          </w:tcPr>
          <w:p>
            <w:pPr>
              <w:spacing w:after="0" w:line="240"/>
            </w:pPr>
            <w:r>
              <w:rPr>
                <w:b w:val="false"/>
                <w:bCs w:val="false"/>
                <w:sz w:val="19"/>
                <w:szCs w:val="19"/>
              </w:rPr>
              <w:t xml:space="preserve">Électronique</w:t>
            </w:r>
          </w:p>
        </w:tc>
        <w:tc>
          <w:tcPr>
            <w:tcW w:type="dxa" w:w="2200"/>
            <w:tcMar>
              <w:top w:type="dxa" w:w="60"/>
              <w:left w:type="dxa" w:w="100"/>
              <w:bottom w:type="dxa" w:w="60"/>
              <w:right w:type="dxa" w:w="100"/>
            </w:tcMar>
          </w:tcPr>
          <w:p>
            <w:pPr>
              <w:spacing w:after="0" w:line="240"/>
            </w:pPr>
            <w:r>
              <w:rPr>
                <w:b w:val="false"/>
                <w:bCs w:val="false"/>
                <w:sz w:val="19"/>
                <w:szCs w:val="19"/>
              </w:rPr>
              <w:t xml:space="preserve">75 158</w:t>
            </w:r>
          </w:p>
        </w:tc>
        <w:tc>
          <w:tcPr>
            <w:tcW w:type="dxa" w:w="2838"/>
            <w:tcMar>
              <w:top w:type="dxa" w:w="60"/>
              <w:left w:type="dxa" w:w="100"/>
              <w:bottom w:type="dxa" w:w="60"/>
              <w:right w:type="dxa" w:w="100"/>
            </w:tcMar>
          </w:tcPr>
          <w:p>
            <w:pPr>
              <w:spacing w:after="0" w:line="240"/>
            </w:pPr>
            <w:r>
              <w:rPr>
                <w:b w:val="false"/>
                <w:bCs w:val="false"/>
                <w:sz w:val="19"/>
                <w:szCs w:val="19"/>
              </w:rPr>
              <w:t xml:space="preserve">583 799 070,0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Clé USB</w:t>
            </w:r>
          </w:p>
        </w:tc>
        <w:tc>
          <w:tcPr>
            <w:tcW w:type="dxa" w:w="2200"/>
            <w:tcMar>
              <w:top w:type="dxa" w:w="60"/>
              <w:left w:type="dxa" w:w="100"/>
              <w:bottom w:type="dxa" w:w="60"/>
              <w:right w:type="dxa" w:w="100"/>
            </w:tcMar>
          </w:tcPr>
          <w:p>
            <w:pPr>
              <w:spacing w:after="0" w:line="240"/>
            </w:pPr>
            <w:r>
              <w:rPr>
                <w:b w:val="false"/>
                <w:bCs w:val="false"/>
                <w:sz w:val="19"/>
                <w:szCs w:val="19"/>
              </w:rPr>
              <w:t xml:space="preserve">Électronique</w:t>
            </w:r>
          </w:p>
        </w:tc>
        <w:tc>
          <w:tcPr>
            <w:tcW w:type="dxa" w:w="2200"/>
            <w:tcMar>
              <w:top w:type="dxa" w:w="60"/>
              <w:left w:type="dxa" w:w="100"/>
              <w:bottom w:type="dxa" w:w="60"/>
              <w:right w:type="dxa" w:w="100"/>
            </w:tcMar>
          </w:tcPr>
          <w:p>
            <w:pPr>
              <w:spacing w:after="0" w:line="240"/>
            </w:pPr>
            <w:r>
              <w:rPr>
                <w:b w:val="false"/>
                <w:bCs w:val="false"/>
                <w:sz w:val="19"/>
                <w:szCs w:val="19"/>
              </w:rPr>
              <w:t xml:space="preserve">76 416</w:t>
            </w:r>
          </w:p>
        </w:tc>
        <w:tc>
          <w:tcPr>
            <w:tcW w:type="dxa" w:w="2838"/>
            <w:tcMar>
              <w:top w:type="dxa" w:w="60"/>
              <w:left w:type="dxa" w:w="100"/>
              <w:bottom w:type="dxa" w:w="60"/>
              <w:right w:type="dxa" w:w="100"/>
            </w:tcMar>
          </w:tcPr>
          <w:p>
            <w:pPr>
              <w:spacing w:after="0" w:line="240"/>
            </w:pPr>
            <w:r>
              <w:rPr>
                <w:b w:val="false"/>
                <w:bCs w:val="false"/>
                <w:sz w:val="19"/>
                <w:szCs w:val="19"/>
              </w:rPr>
              <w:t xml:space="preserve">519 491 492,5</w:t>
            </w:r>
          </w:p>
        </w:tc>
      </w:tr>
      <w:tr>
        <w:tc>
          <w:tcPr>
            <w:tcW w:type="dxa" w:w="2400"/>
            <w:tcMar>
              <w:top w:type="dxa" w:w="60"/>
              <w:left w:type="dxa" w:w="100"/>
              <w:bottom w:type="dxa" w:w="60"/>
              <w:right w:type="dxa" w:w="100"/>
            </w:tcMar>
          </w:tcPr>
          <w:p>
            <w:pPr>
              <w:spacing w:after="0" w:line="240"/>
            </w:pPr>
            <w:r>
              <w:rPr>
                <w:b w:val="false"/>
                <w:bCs w:val="false"/>
                <w:sz w:val="19"/>
                <w:szCs w:val="19"/>
              </w:rPr>
              <w:t xml:space="preserve">Écouteurs</w:t>
            </w:r>
          </w:p>
        </w:tc>
        <w:tc>
          <w:tcPr>
            <w:tcW w:type="dxa" w:w="2200"/>
            <w:tcMar>
              <w:top w:type="dxa" w:w="60"/>
              <w:left w:type="dxa" w:w="100"/>
              <w:bottom w:type="dxa" w:w="60"/>
              <w:right w:type="dxa" w:w="100"/>
            </w:tcMar>
          </w:tcPr>
          <w:p>
            <w:pPr>
              <w:spacing w:after="0" w:line="240"/>
            </w:pPr>
            <w:r>
              <w:rPr>
                <w:b w:val="false"/>
                <w:bCs w:val="false"/>
                <w:sz w:val="19"/>
                <w:szCs w:val="19"/>
              </w:rPr>
              <w:t xml:space="preserve">Électronique</w:t>
            </w:r>
          </w:p>
        </w:tc>
        <w:tc>
          <w:tcPr>
            <w:tcW w:type="dxa" w:w="2200"/>
            <w:tcMar>
              <w:top w:type="dxa" w:w="60"/>
              <w:left w:type="dxa" w:w="100"/>
              <w:bottom w:type="dxa" w:w="60"/>
              <w:right w:type="dxa" w:w="100"/>
            </w:tcMar>
          </w:tcPr>
          <w:p>
            <w:pPr>
              <w:spacing w:after="0" w:line="240"/>
            </w:pPr>
            <w:r>
              <w:rPr>
                <w:b w:val="false"/>
                <w:bCs w:val="false"/>
                <w:sz w:val="19"/>
                <w:szCs w:val="19"/>
              </w:rPr>
              <w:t xml:space="preserve">76 360</w:t>
            </w:r>
          </w:p>
        </w:tc>
        <w:tc>
          <w:tcPr>
            <w:tcW w:type="dxa" w:w="2838"/>
            <w:tcMar>
              <w:top w:type="dxa" w:w="60"/>
              <w:left w:type="dxa" w:w="100"/>
              <w:bottom w:type="dxa" w:w="60"/>
              <w:right w:type="dxa" w:w="100"/>
            </w:tcMar>
          </w:tcPr>
          <w:p>
            <w:pPr>
              <w:spacing w:after="0" w:line="240"/>
            </w:pPr>
            <w:r>
              <w:rPr>
                <w:b w:val="false"/>
                <w:bCs w:val="false"/>
                <w:sz w:val="19"/>
                <w:szCs w:val="19"/>
              </w:rPr>
              <w:t xml:space="preserve">482 385 960,0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Riz 5 kg</w:t>
            </w:r>
          </w:p>
        </w:tc>
        <w:tc>
          <w:tcPr>
            <w:tcW w:type="dxa" w:w="2200"/>
            <w:tcMar>
              <w:top w:type="dxa" w:w="60"/>
              <w:left w:type="dxa" w:w="100"/>
              <w:bottom w:type="dxa" w:w="60"/>
              <w:right w:type="dxa" w:w="100"/>
            </w:tcMar>
          </w:tcPr>
          <w:p>
            <w:pPr>
              <w:spacing w:after="0" w:line="240"/>
            </w:pPr>
            <w:r>
              <w:rPr>
                <w:b w:val="false"/>
                <w:bCs w:val="false"/>
                <w:sz w:val="19"/>
                <w:szCs w:val="19"/>
              </w:rPr>
              <w:t xml:space="preserve">Alimentation</w:t>
            </w:r>
          </w:p>
        </w:tc>
        <w:tc>
          <w:tcPr>
            <w:tcW w:type="dxa" w:w="2200"/>
            <w:tcMar>
              <w:top w:type="dxa" w:w="60"/>
              <w:left w:type="dxa" w:w="100"/>
              <w:bottom w:type="dxa" w:w="60"/>
              <w:right w:type="dxa" w:w="100"/>
            </w:tcMar>
          </w:tcPr>
          <w:p>
            <w:pPr>
              <w:spacing w:after="0" w:line="240"/>
            </w:pPr>
            <w:r>
              <w:rPr>
                <w:b w:val="false"/>
                <w:bCs w:val="false"/>
                <w:sz w:val="19"/>
                <w:szCs w:val="19"/>
              </w:rPr>
              <w:t xml:space="preserve">75 953</w:t>
            </w:r>
          </w:p>
        </w:tc>
        <w:tc>
          <w:tcPr>
            <w:tcW w:type="dxa" w:w="2838"/>
            <w:tcMar>
              <w:top w:type="dxa" w:w="60"/>
              <w:left w:type="dxa" w:w="100"/>
              <w:bottom w:type="dxa" w:w="60"/>
              <w:right w:type="dxa" w:w="100"/>
            </w:tcMar>
          </w:tcPr>
          <w:p>
            <w:pPr>
              <w:spacing w:after="0" w:line="240"/>
            </w:pPr>
            <w:r>
              <w:rPr>
                <w:b w:val="false"/>
                <w:bCs w:val="false"/>
                <w:sz w:val="19"/>
                <w:szCs w:val="19"/>
              </w:rPr>
              <w:t xml:space="preserve">479 229 640,0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Ramette A4</w:t>
            </w:r>
          </w:p>
        </w:tc>
        <w:tc>
          <w:tcPr>
            <w:tcW w:type="dxa" w:w="2200"/>
            <w:tcMar>
              <w:top w:type="dxa" w:w="60"/>
              <w:left w:type="dxa" w:w="100"/>
              <w:bottom w:type="dxa" w:w="60"/>
              <w:right w:type="dxa" w:w="100"/>
            </w:tcMar>
          </w:tcPr>
          <w:p>
            <w:pPr>
              <w:spacing w:after="0" w:line="240"/>
            </w:pPr>
            <w:r>
              <w:rPr>
                <w:b w:val="false"/>
                <w:bCs w:val="false"/>
                <w:sz w:val="19"/>
                <w:szCs w:val="19"/>
              </w:rPr>
              <w:t xml:space="preserve">Papeterie</w:t>
            </w:r>
          </w:p>
        </w:tc>
        <w:tc>
          <w:tcPr>
            <w:tcW w:type="dxa" w:w="2200"/>
            <w:tcMar>
              <w:top w:type="dxa" w:w="60"/>
              <w:left w:type="dxa" w:w="100"/>
              <w:bottom w:type="dxa" w:w="60"/>
              <w:right w:type="dxa" w:w="100"/>
            </w:tcMar>
          </w:tcPr>
          <w:p>
            <w:pPr>
              <w:spacing w:after="0" w:line="240"/>
            </w:pPr>
            <w:r>
              <w:rPr>
                <w:b w:val="false"/>
                <w:bCs w:val="false"/>
                <w:sz w:val="19"/>
                <w:szCs w:val="19"/>
              </w:rPr>
              <w:t xml:space="preserve">76 284</w:t>
            </w:r>
          </w:p>
        </w:tc>
        <w:tc>
          <w:tcPr>
            <w:tcW w:type="dxa" w:w="2838"/>
            <w:tcMar>
              <w:top w:type="dxa" w:w="60"/>
              <w:left w:type="dxa" w:w="100"/>
              <w:bottom w:type="dxa" w:w="60"/>
              <w:right w:type="dxa" w:w="100"/>
            </w:tcMar>
          </w:tcPr>
          <w:p>
            <w:pPr>
              <w:spacing w:after="0" w:line="240"/>
            </w:pPr>
            <w:r>
              <w:rPr>
                <w:b w:val="false"/>
                <w:bCs w:val="false"/>
                <w:sz w:val="19"/>
                <w:szCs w:val="19"/>
              </w:rPr>
              <w:t xml:space="preserve">333 786 595,0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Café</w:t>
            </w:r>
          </w:p>
        </w:tc>
        <w:tc>
          <w:tcPr>
            <w:tcW w:type="dxa" w:w="2200"/>
            <w:tcMar>
              <w:top w:type="dxa" w:w="60"/>
              <w:left w:type="dxa" w:w="100"/>
              <w:bottom w:type="dxa" w:w="60"/>
              <w:right w:type="dxa" w:w="100"/>
            </w:tcMar>
          </w:tcPr>
          <w:p>
            <w:pPr>
              <w:spacing w:after="0" w:line="240"/>
            </w:pPr>
            <w:r>
              <w:rPr>
                <w:b w:val="false"/>
                <w:bCs w:val="false"/>
                <w:sz w:val="19"/>
                <w:szCs w:val="19"/>
              </w:rPr>
              <w:t xml:space="preserve">Boissons</w:t>
            </w:r>
          </w:p>
        </w:tc>
        <w:tc>
          <w:tcPr>
            <w:tcW w:type="dxa" w:w="2200"/>
            <w:tcMar>
              <w:top w:type="dxa" w:w="60"/>
              <w:left w:type="dxa" w:w="100"/>
              <w:bottom w:type="dxa" w:w="60"/>
              <w:right w:type="dxa" w:w="100"/>
            </w:tcMar>
          </w:tcPr>
          <w:p>
            <w:pPr>
              <w:spacing w:after="0" w:line="240"/>
            </w:pPr>
            <w:r>
              <w:rPr>
                <w:b w:val="false"/>
                <w:bCs w:val="false"/>
                <w:sz w:val="19"/>
                <w:szCs w:val="19"/>
              </w:rPr>
              <w:t xml:space="preserve">75 481</w:t>
            </w:r>
          </w:p>
        </w:tc>
        <w:tc>
          <w:tcPr>
            <w:tcW w:type="dxa" w:w="2838"/>
            <w:tcMar>
              <w:top w:type="dxa" w:w="60"/>
              <w:left w:type="dxa" w:w="100"/>
              <w:bottom w:type="dxa" w:w="60"/>
              <w:right w:type="dxa" w:w="100"/>
            </w:tcMar>
          </w:tcPr>
          <w:p>
            <w:pPr>
              <w:spacing w:after="0" w:line="240"/>
            </w:pPr>
            <w:r>
              <w:rPr>
                <w:b w:val="false"/>
                <w:bCs w:val="false"/>
                <w:sz w:val="19"/>
                <w:szCs w:val="19"/>
              </w:rPr>
              <w:t xml:space="preserve">183 157 080,0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Shampooing</w:t>
            </w:r>
          </w:p>
        </w:tc>
        <w:tc>
          <w:tcPr>
            <w:tcW w:type="dxa" w:w="2200"/>
            <w:tcMar>
              <w:top w:type="dxa" w:w="60"/>
              <w:left w:type="dxa" w:w="100"/>
              <w:bottom w:type="dxa" w:w="60"/>
              <w:right w:type="dxa" w:w="100"/>
            </w:tcMar>
          </w:tcPr>
          <w:p>
            <w:pPr>
              <w:spacing w:after="0" w:line="240"/>
            </w:pPr>
            <w:r>
              <w:rPr>
                <w:b w:val="false"/>
                <w:bCs w:val="false"/>
                <w:sz w:val="19"/>
                <w:szCs w:val="19"/>
              </w:rPr>
              <w:t xml:space="preserve">Hygiène</w:t>
            </w:r>
          </w:p>
        </w:tc>
        <w:tc>
          <w:tcPr>
            <w:tcW w:type="dxa" w:w="2200"/>
            <w:tcMar>
              <w:top w:type="dxa" w:w="60"/>
              <w:left w:type="dxa" w:w="100"/>
              <w:bottom w:type="dxa" w:w="60"/>
              <w:right w:type="dxa" w:w="100"/>
            </w:tcMar>
          </w:tcPr>
          <w:p>
            <w:pPr>
              <w:spacing w:after="0" w:line="240"/>
            </w:pPr>
            <w:r>
              <w:rPr>
                <w:b w:val="false"/>
                <w:bCs w:val="false"/>
                <w:sz w:val="19"/>
                <w:szCs w:val="19"/>
              </w:rPr>
              <w:t xml:space="preserve">76 193</w:t>
            </w:r>
          </w:p>
        </w:tc>
        <w:tc>
          <w:tcPr>
            <w:tcW w:type="dxa" w:w="2838"/>
            <w:tcMar>
              <w:top w:type="dxa" w:w="60"/>
              <w:left w:type="dxa" w:w="100"/>
              <w:bottom w:type="dxa" w:w="60"/>
              <w:right w:type="dxa" w:w="100"/>
            </w:tcMar>
          </w:tcPr>
          <w:p>
            <w:pPr>
              <w:spacing w:after="0" w:line="240"/>
            </w:pPr>
            <w:r>
              <w:rPr>
                <w:b w:val="false"/>
                <w:bCs w:val="false"/>
                <w:sz w:val="19"/>
                <w:szCs w:val="19"/>
              </w:rPr>
              <w:t xml:space="preserve">162 800 165,0</w:t>
            </w:r>
          </w:p>
        </w:tc>
      </w:tr>
      <w:tr>
        <w:tc>
          <w:tcPr>
            <w:tcW w:type="dxa" w:w="2400"/>
            <w:tcMar>
              <w:top w:type="dxa" w:w="60"/>
              <w:left w:type="dxa" w:w="100"/>
              <w:bottom w:type="dxa" w:w="60"/>
              <w:right w:type="dxa" w:w="100"/>
            </w:tcMar>
          </w:tcPr>
          <w:p>
            <w:pPr>
              <w:spacing w:after="0" w:line="240"/>
            </w:pPr>
            <w:r>
              <w:rPr>
                <w:b w:val="false"/>
                <w:bCs w:val="false"/>
                <w:sz w:val="19"/>
                <w:szCs w:val="19"/>
              </w:rPr>
              <w:t xml:space="preserve">Huile 1 L</w:t>
            </w:r>
          </w:p>
        </w:tc>
        <w:tc>
          <w:tcPr>
            <w:tcW w:type="dxa" w:w="2200"/>
            <w:tcMar>
              <w:top w:type="dxa" w:w="60"/>
              <w:left w:type="dxa" w:w="100"/>
              <w:bottom w:type="dxa" w:w="60"/>
              <w:right w:type="dxa" w:w="100"/>
            </w:tcMar>
          </w:tcPr>
          <w:p>
            <w:pPr>
              <w:spacing w:after="0" w:line="240"/>
            </w:pPr>
            <w:r>
              <w:rPr>
                <w:b w:val="false"/>
                <w:bCs w:val="false"/>
                <w:sz w:val="19"/>
                <w:szCs w:val="19"/>
              </w:rPr>
              <w:t xml:space="preserve">Alimentation</w:t>
            </w:r>
          </w:p>
        </w:tc>
        <w:tc>
          <w:tcPr>
            <w:tcW w:type="dxa" w:w="2200"/>
            <w:tcMar>
              <w:top w:type="dxa" w:w="60"/>
              <w:left w:type="dxa" w:w="100"/>
              <w:bottom w:type="dxa" w:w="60"/>
              <w:right w:type="dxa" w:w="100"/>
            </w:tcMar>
          </w:tcPr>
          <w:p>
            <w:pPr>
              <w:spacing w:after="0" w:line="240"/>
            </w:pPr>
            <w:r>
              <w:rPr>
                <w:b w:val="false"/>
                <w:bCs w:val="false"/>
                <w:sz w:val="19"/>
                <w:szCs w:val="19"/>
              </w:rPr>
              <w:t xml:space="preserve">76 350</w:t>
            </w:r>
          </w:p>
        </w:tc>
        <w:tc>
          <w:tcPr>
            <w:tcW w:type="dxa" w:w="2838"/>
            <w:tcMar>
              <w:top w:type="dxa" w:w="60"/>
              <w:left w:type="dxa" w:w="100"/>
              <w:bottom w:type="dxa" w:w="60"/>
              <w:right w:type="dxa" w:w="100"/>
            </w:tcMar>
          </w:tcPr>
          <w:p>
            <w:pPr>
              <w:spacing w:after="0" w:line="240"/>
            </w:pPr>
            <w:r>
              <w:rPr>
                <w:b w:val="false"/>
                <w:bCs w:val="false"/>
                <w:sz w:val="19"/>
                <w:szCs w:val="19"/>
              </w:rPr>
              <w:t xml:space="preserve">133 519 407,5</w:t>
            </w:r>
          </w:p>
        </w:tc>
      </w:tr>
      <w:tr>
        <w:tc>
          <w:tcPr>
            <w:tcW w:type="dxa" w:w="2400"/>
            <w:tcMar>
              <w:top w:type="dxa" w:w="60"/>
              <w:left w:type="dxa" w:w="100"/>
              <w:bottom w:type="dxa" w:w="60"/>
              <w:right w:type="dxa" w:w="100"/>
            </w:tcMar>
          </w:tcPr>
          <w:p>
            <w:pPr>
              <w:spacing w:after="0" w:line="240"/>
            </w:pPr>
            <w:r>
              <w:rPr>
                <w:b w:val="false"/>
                <w:bCs w:val="false"/>
                <w:sz w:val="19"/>
                <w:szCs w:val="19"/>
              </w:rPr>
              <w:t xml:space="preserve">Lessive</w:t>
            </w:r>
          </w:p>
        </w:tc>
        <w:tc>
          <w:tcPr>
            <w:tcW w:type="dxa" w:w="2200"/>
            <w:tcMar>
              <w:top w:type="dxa" w:w="60"/>
              <w:left w:type="dxa" w:w="100"/>
              <w:bottom w:type="dxa" w:w="60"/>
              <w:right w:type="dxa" w:w="100"/>
            </w:tcMar>
          </w:tcPr>
          <w:p>
            <w:pPr>
              <w:spacing w:after="0" w:line="240"/>
            </w:pPr>
            <w:r>
              <w:rPr>
                <w:b w:val="false"/>
                <w:bCs w:val="false"/>
                <w:sz w:val="19"/>
                <w:szCs w:val="19"/>
              </w:rPr>
              <w:t xml:space="preserve">Hygiène</w:t>
            </w:r>
          </w:p>
        </w:tc>
        <w:tc>
          <w:tcPr>
            <w:tcW w:type="dxa" w:w="2200"/>
            <w:tcMar>
              <w:top w:type="dxa" w:w="60"/>
              <w:left w:type="dxa" w:w="100"/>
              <w:bottom w:type="dxa" w:w="60"/>
              <w:right w:type="dxa" w:w="100"/>
            </w:tcMar>
          </w:tcPr>
          <w:p>
            <w:pPr>
              <w:spacing w:after="0" w:line="240"/>
            </w:pPr>
            <w:r>
              <w:rPr>
                <w:b w:val="false"/>
                <w:bCs w:val="false"/>
                <w:sz w:val="19"/>
                <w:szCs w:val="19"/>
              </w:rPr>
              <w:t xml:space="preserve">75 637</w:t>
            </w:r>
          </w:p>
        </w:tc>
        <w:tc>
          <w:tcPr>
            <w:tcW w:type="dxa" w:w="2838"/>
            <w:tcMar>
              <w:top w:type="dxa" w:w="60"/>
              <w:left w:type="dxa" w:w="100"/>
              <w:bottom w:type="dxa" w:w="60"/>
              <w:right w:type="dxa" w:w="100"/>
            </w:tcMar>
          </w:tcPr>
          <w:p>
            <w:pPr>
              <w:spacing w:after="0" w:line="240"/>
            </w:pPr>
            <w:r>
              <w:rPr>
                <w:b w:val="false"/>
                <w:bCs w:val="false"/>
                <w:sz w:val="19"/>
                <w:szCs w:val="19"/>
              </w:rPr>
              <w:t xml:space="preserve">132 314 372,5</w:t>
            </w:r>
          </w:p>
        </w:tc>
      </w:tr>
    </w:tbl>
    <w:p>
      <w:pPr>
        <w:spacing w:after="0" w:line="120"/>
      </w:pPr>
      <w:r>
        <w:rPr>
          <w:sz w:val="10"/>
          <w:szCs w:val="10"/>
        </w:rPr>
        <w:t xml:space="preserve"/>
      </w:r>
    </w:p>
    <w:p>
      <w:pPr>
        <w:spacing w:after="120" w:line="276"/>
      </w:pPr>
      <w:r>
        <w:rPr>
          <w:sz w:val="22"/>
          <w:szCs w:val="22"/>
        </w:rPr>
        <w:t xml:space="preserve">La colonne des quantités mérite l'attention : toutes les valeurs tiennent dans un intervalle de 1,7 %. Ce classement mesure donc l'échelle des prix unitaires, non une préférence d'achat. Ce point est développé en section 8.</w:t>
      </w:r>
    </w:p>
    <w:p>
      <w:pPr>
        <w:spacing w:after="60" w:before="160"/>
        <w:jc w:val="center"/>
      </w:pPr>
      <w:r>
        <w:drawing>
          <wp:inline distT="0" distB="0" distL="0" distR="0">
            <wp:extent cx="5143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905125"/>
                    </a:xfrm>
                    <a:prstGeom prst="rect">
                      <a:avLst/>
                    </a:prstGeom>
                  </pic:spPr>
                </pic:pic>
              </a:graphicData>
            </a:graphic>
          </wp:inline>
        </w:drawing>
      </w:r>
    </w:p>
    <w:p>
      <w:pPr>
        <w:spacing w:after="200"/>
        <w:jc w:val="center"/>
      </w:pPr>
      <w:r>
        <w:rPr>
          <w:i/>
          <w:iCs/>
          <w:color w:val="52514E"/>
          <w:sz w:val="18"/>
          <w:szCs w:val="18"/>
        </w:rPr>
        <w:t xml:space="preserve">Figure 3 — les dix premiers produits par chiffre d'affaires, colorés par catégorie</w:t>
      </w:r>
    </w:p>
    <w:p>
      <w:pPr>
        <w:pStyle w:val="Heading2"/>
        <w:spacing w:after="140" w:before="280"/>
      </w:pPr>
      <w:r>
        <w:t xml:space="preserve">5.4 Ventes par catégorie et mode de paiement</w:t>
      </w:r>
    </w:p>
    <w:p>
      <w:pPr>
        <w:spacing w:after="120" w:line="276"/>
      </w:pPr>
      <w:r>
        <w:rPr>
          <w:sz w:val="22"/>
          <w:szCs w:val="22"/>
        </w:rPr>
        <w:t xml:space="preserve">L'Électronique domine avec environ 2,47 milliards de FCFA. Côté paiement, les espèces restent majoritaires, suivies du Mobile Money dans ses deux déclinaisons togolaises.</w:t>
      </w:r>
    </w:p>
    <w:p>
      <w:pPr>
        <w:spacing w:after="60" w:before="160"/>
        <w:jc w:val="center"/>
      </w:pPr>
      <w:r>
        <w:drawing>
          <wp:inline distT="0" distB="0" distL="0" distR="0">
            <wp:extent cx="5143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14600"/>
                    </a:xfrm>
                    <a:prstGeom prst="rect">
                      <a:avLst/>
                    </a:prstGeom>
                  </pic:spPr>
                </pic:pic>
              </a:graphicData>
            </a:graphic>
          </wp:inline>
        </w:drawing>
      </w:r>
    </w:p>
    <w:p>
      <w:pPr>
        <w:spacing w:after="200"/>
        <w:jc w:val="center"/>
      </w:pPr>
      <w:r>
        <w:rPr>
          <w:i/>
          <w:iCs/>
          <w:color w:val="52514E"/>
          <w:sz w:val="18"/>
          <w:szCs w:val="18"/>
        </w:rPr>
        <w:t xml:space="preserve">Figure 4 — répartition du chiffre d'affaires par catégorie et mode de paiement</w:t>
      </w:r>
    </w:p>
    <w:p>
      <w:pPr>
        <w:pStyle w:val="Heading2"/>
        <w:spacing w:after="140" w:before="280"/>
      </w:pPr>
      <w:r>
        <w:t xml:space="preserve">5.5 Impact des promotions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shd w:fill="EDEDEA" w:val="clear"/>
            <w:tcMar>
              <w:top w:type="dxa" w:w="60"/>
              <w:left w:type="dxa" w:w="100"/>
              <w:bottom w:type="dxa" w:w="60"/>
              <w:right w:type="dxa" w:w="100"/>
            </w:tcMar>
          </w:tcPr>
          <w:p>
            <w:pPr>
              <w:spacing w:after="0" w:line="240"/>
            </w:pPr>
            <w:r>
              <w:rPr>
                <w:b/>
                <w:bCs/>
                <w:sz w:val="19"/>
                <w:szCs w:val="19"/>
              </w:rPr>
              <w:t xml:space="preserve">Indicateur</w:t>
            </w:r>
          </w:p>
        </w:tc>
        <w:tc>
          <w:tcPr>
            <w:tcW w:type="dxa" w:w="2900"/>
            <w:shd w:fill="EDEDEA" w:val="clear"/>
            <w:tcMar>
              <w:top w:type="dxa" w:w="60"/>
              <w:left w:type="dxa" w:w="100"/>
              <w:bottom w:type="dxa" w:w="60"/>
              <w:right w:type="dxa" w:w="100"/>
            </w:tcMar>
          </w:tcPr>
          <w:p>
            <w:pPr>
              <w:spacing w:after="0" w:line="240"/>
            </w:pPr>
            <w:r>
              <w:rPr>
                <w:b/>
                <w:bCs/>
                <w:sz w:val="19"/>
                <w:szCs w:val="19"/>
              </w:rPr>
              <w:t xml:space="preserve">Sans promotion</w:t>
            </w:r>
          </w:p>
        </w:tc>
        <w:tc>
          <w:tcPr>
            <w:tcW w:type="dxa" w:w="2900"/>
            <w:shd w:fill="EDEDEA" w:val="clear"/>
            <w:tcMar>
              <w:top w:type="dxa" w:w="60"/>
              <w:left w:type="dxa" w:w="100"/>
              <w:bottom w:type="dxa" w:w="60"/>
              <w:right w:type="dxa" w:w="100"/>
            </w:tcMar>
          </w:tcPr>
          <w:p>
            <w:pPr>
              <w:spacing w:after="0" w:line="240"/>
            </w:pPr>
            <w:r>
              <w:rPr>
                <w:b/>
                <w:bCs/>
                <w:sz w:val="19"/>
                <w:szCs w:val="19"/>
              </w:rPr>
              <w:t xml:space="preserve">Avec promotion</w:t>
            </w:r>
          </w:p>
        </w:tc>
      </w:tr>
      <w:tr>
        <w:tc>
          <w:tcPr>
            <w:tcW w:type="dxa" w:w="3838"/>
            <w:tcMar>
              <w:top w:type="dxa" w:w="60"/>
              <w:left w:type="dxa" w:w="100"/>
              <w:bottom w:type="dxa" w:w="60"/>
              <w:right w:type="dxa" w:w="100"/>
            </w:tcMar>
          </w:tcPr>
          <w:p>
            <w:pPr>
              <w:spacing w:after="0" w:line="240"/>
            </w:pPr>
            <w:r>
              <w:rPr>
                <w:b w:val="false"/>
                <w:bCs w:val="false"/>
                <w:sz w:val="19"/>
                <w:szCs w:val="19"/>
              </w:rPr>
              <w:t xml:space="preserve">Transactions</w:t>
            </w:r>
          </w:p>
        </w:tc>
        <w:tc>
          <w:tcPr>
            <w:tcW w:type="dxa" w:w="2900"/>
            <w:tcMar>
              <w:top w:type="dxa" w:w="60"/>
              <w:left w:type="dxa" w:w="100"/>
              <w:bottom w:type="dxa" w:w="60"/>
              <w:right w:type="dxa" w:w="100"/>
            </w:tcMar>
          </w:tcPr>
          <w:p>
            <w:pPr>
              <w:spacing w:after="0" w:line="240"/>
            </w:pPr>
            <w:r>
              <w:rPr>
                <w:b w:val="false"/>
                <w:bCs w:val="false"/>
                <w:sz w:val="19"/>
                <w:szCs w:val="19"/>
              </w:rPr>
              <w:t xml:space="preserve">390 322</w:t>
            </w:r>
          </w:p>
        </w:tc>
        <w:tc>
          <w:tcPr>
            <w:tcW w:type="dxa" w:w="2900"/>
            <w:tcMar>
              <w:top w:type="dxa" w:w="60"/>
              <w:left w:type="dxa" w:w="100"/>
              <w:bottom w:type="dxa" w:w="60"/>
              <w:right w:type="dxa" w:w="100"/>
            </w:tcMar>
          </w:tcPr>
          <w:p>
            <w:pPr>
              <w:spacing w:after="0" w:line="240"/>
            </w:pPr>
            <w:r>
              <w:rPr>
                <w:b w:val="false"/>
                <w:bCs w:val="false"/>
                <w:sz w:val="19"/>
                <w:szCs w:val="19"/>
              </w:rPr>
              <w:t xml:space="preserve">109 678</w:t>
            </w:r>
          </w:p>
        </w:tc>
      </w:tr>
      <w:tr>
        <w:tc>
          <w:tcPr>
            <w:tcW w:type="dxa" w:w="3838"/>
            <w:tcMar>
              <w:top w:type="dxa" w:w="60"/>
              <w:left w:type="dxa" w:w="100"/>
              <w:bottom w:type="dxa" w:w="60"/>
              <w:right w:type="dxa" w:w="100"/>
            </w:tcMar>
          </w:tcPr>
          <w:p>
            <w:pPr>
              <w:spacing w:after="0" w:line="240"/>
            </w:pPr>
            <w:r>
              <w:rPr>
                <w:b w:val="false"/>
                <w:bCs w:val="false"/>
                <w:sz w:val="19"/>
                <w:szCs w:val="19"/>
              </w:rPr>
              <w:t xml:space="preserve">Chiffre d'affaires net (FCFA)</w:t>
            </w:r>
          </w:p>
        </w:tc>
        <w:tc>
          <w:tcPr>
            <w:tcW w:type="dxa" w:w="2900"/>
            <w:tcMar>
              <w:top w:type="dxa" w:w="60"/>
              <w:left w:type="dxa" w:w="100"/>
              <w:bottom w:type="dxa" w:w="60"/>
              <w:right w:type="dxa" w:w="100"/>
            </w:tcMar>
          </w:tcPr>
          <w:p>
            <w:pPr>
              <w:spacing w:after="0" w:line="240"/>
            </w:pPr>
            <w:r>
              <w:rPr>
                <w:b w:val="false"/>
                <w:bCs w:val="false"/>
                <w:sz w:val="19"/>
                <w:szCs w:val="19"/>
              </w:rPr>
              <w:t xml:space="preserve">3 693 298 450,0</w:t>
            </w:r>
          </w:p>
        </w:tc>
        <w:tc>
          <w:tcPr>
            <w:tcW w:type="dxa" w:w="2900"/>
            <w:tcMar>
              <w:top w:type="dxa" w:w="60"/>
              <w:left w:type="dxa" w:w="100"/>
              <w:bottom w:type="dxa" w:w="60"/>
              <w:right w:type="dxa" w:w="100"/>
            </w:tcMar>
          </w:tcPr>
          <w:p>
            <w:pPr>
              <w:spacing w:after="0" w:line="240"/>
            </w:pPr>
            <w:r>
              <w:rPr>
                <w:b w:val="false"/>
                <w:bCs w:val="false"/>
                <w:sz w:val="19"/>
                <w:szCs w:val="19"/>
              </w:rPr>
              <w:t xml:space="preserve">902 795 600,0</w:t>
            </w:r>
          </w:p>
        </w:tc>
      </w:tr>
      <w:tr>
        <w:tc>
          <w:tcPr>
            <w:tcW w:type="dxa" w:w="3838"/>
            <w:tcMar>
              <w:top w:type="dxa" w:w="60"/>
              <w:left w:type="dxa" w:w="100"/>
              <w:bottom w:type="dxa" w:w="60"/>
              <w:right w:type="dxa" w:w="100"/>
            </w:tcMar>
          </w:tcPr>
          <w:p>
            <w:pPr>
              <w:spacing w:after="0" w:line="240"/>
            </w:pPr>
            <w:r>
              <w:rPr>
                <w:b w:val="false"/>
                <w:bCs w:val="false"/>
                <w:sz w:val="19"/>
                <w:szCs w:val="19"/>
              </w:rPr>
              <w:t xml:space="preserve">Chiffre d'affaires brut (FCFA)</w:t>
            </w:r>
          </w:p>
        </w:tc>
        <w:tc>
          <w:tcPr>
            <w:tcW w:type="dxa" w:w="2900"/>
            <w:tcMar>
              <w:top w:type="dxa" w:w="60"/>
              <w:left w:type="dxa" w:w="100"/>
              <w:bottom w:type="dxa" w:w="60"/>
              <w:right w:type="dxa" w:w="100"/>
            </w:tcMar>
          </w:tcPr>
          <w:p>
            <w:pPr>
              <w:spacing w:after="0" w:line="240"/>
            </w:pPr>
            <w:r>
              <w:rPr>
                <w:b w:val="false"/>
                <w:bCs w:val="false"/>
                <w:sz w:val="19"/>
                <w:szCs w:val="19"/>
              </w:rPr>
              <w:t xml:space="preserve">3 693 298 450,0</w:t>
            </w:r>
          </w:p>
        </w:tc>
        <w:tc>
          <w:tcPr>
            <w:tcW w:type="dxa" w:w="2900"/>
            <w:tcMar>
              <w:top w:type="dxa" w:w="60"/>
              <w:left w:type="dxa" w:w="100"/>
              <w:bottom w:type="dxa" w:w="60"/>
              <w:right w:type="dxa" w:w="100"/>
            </w:tcMar>
          </w:tcPr>
          <w:p>
            <w:pPr>
              <w:spacing w:after="0" w:line="240"/>
            </w:pPr>
            <w:r>
              <w:rPr>
                <w:b w:val="false"/>
                <w:bCs w:val="false"/>
                <w:sz w:val="19"/>
                <w:szCs w:val="19"/>
              </w:rPr>
              <w:t xml:space="preserve">1 039 648 050,0</w:t>
            </w:r>
          </w:p>
        </w:tc>
      </w:tr>
      <w:tr>
        <w:tc>
          <w:tcPr>
            <w:tcW w:type="dxa" w:w="3838"/>
            <w:tcMar>
              <w:top w:type="dxa" w:w="60"/>
              <w:left w:type="dxa" w:w="100"/>
              <w:bottom w:type="dxa" w:w="60"/>
              <w:right w:type="dxa" w:w="100"/>
            </w:tcMar>
          </w:tcPr>
          <w:p>
            <w:pPr>
              <w:spacing w:after="0" w:line="240"/>
            </w:pPr>
            <w:r>
              <w:rPr>
                <w:b w:val="false"/>
                <w:bCs w:val="false"/>
                <w:sz w:val="19"/>
                <w:szCs w:val="19"/>
              </w:rPr>
              <w:t xml:space="preserve">Coût des remises (FCFA)</w:t>
            </w:r>
          </w:p>
        </w:tc>
        <w:tc>
          <w:tcPr>
            <w:tcW w:type="dxa" w:w="2900"/>
            <w:tcMar>
              <w:top w:type="dxa" w:w="60"/>
              <w:left w:type="dxa" w:w="100"/>
              <w:bottom w:type="dxa" w:w="60"/>
              <w:right w:type="dxa" w:w="100"/>
            </w:tcMar>
          </w:tcPr>
          <w:p>
            <w:pPr>
              <w:spacing w:after="0" w:line="240"/>
            </w:pPr>
            <w:r>
              <w:rPr>
                <w:b w:val="false"/>
                <w:bCs w:val="false"/>
                <w:sz w:val="19"/>
                <w:szCs w:val="19"/>
              </w:rPr>
              <w:t xml:space="preserve">0,0</w:t>
            </w:r>
          </w:p>
        </w:tc>
        <w:tc>
          <w:tcPr>
            <w:tcW w:type="dxa" w:w="2900"/>
            <w:tcMar>
              <w:top w:type="dxa" w:w="60"/>
              <w:left w:type="dxa" w:w="100"/>
              <w:bottom w:type="dxa" w:w="60"/>
              <w:right w:type="dxa" w:w="100"/>
            </w:tcMar>
          </w:tcPr>
          <w:p>
            <w:pPr>
              <w:spacing w:after="0" w:line="240"/>
            </w:pPr>
            <w:r>
              <w:rPr>
                <w:b w:val="false"/>
                <w:bCs w:val="false"/>
                <w:sz w:val="19"/>
                <w:szCs w:val="19"/>
              </w:rPr>
              <w:t xml:space="preserve">136 852 450,0</w:t>
            </w:r>
          </w:p>
        </w:tc>
      </w:tr>
      <w:tr>
        <w:tc>
          <w:tcPr>
            <w:tcW w:type="dxa" w:w="3838"/>
            <w:tcMar>
              <w:top w:type="dxa" w:w="60"/>
              <w:left w:type="dxa" w:w="100"/>
              <w:bottom w:type="dxa" w:w="60"/>
              <w:right w:type="dxa" w:w="100"/>
            </w:tcMar>
          </w:tcPr>
          <w:p>
            <w:pPr>
              <w:spacing w:after="0" w:line="240"/>
            </w:pPr>
            <w:r>
              <w:rPr>
                <w:b w:val="false"/>
                <w:bCs w:val="false"/>
                <w:sz w:val="19"/>
                <w:szCs w:val="19"/>
              </w:rPr>
              <w:t xml:space="preserve">Panier moyen (FCFA)</w:t>
            </w:r>
          </w:p>
        </w:tc>
        <w:tc>
          <w:tcPr>
            <w:tcW w:type="dxa" w:w="2900"/>
            <w:tcMar>
              <w:top w:type="dxa" w:w="60"/>
              <w:left w:type="dxa" w:w="100"/>
              <w:bottom w:type="dxa" w:w="60"/>
              <w:right w:type="dxa" w:w="100"/>
            </w:tcMar>
          </w:tcPr>
          <w:p>
            <w:pPr>
              <w:spacing w:after="0" w:line="240"/>
            </w:pPr>
            <w:r>
              <w:rPr>
                <w:b w:val="false"/>
                <w:bCs w:val="false"/>
                <w:sz w:val="19"/>
                <w:szCs w:val="19"/>
              </w:rPr>
              <w:t xml:space="preserve">9 462,18</w:t>
            </w:r>
          </w:p>
        </w:tc>
        <w:tc>
          <w:tcPr>
            <w:tcW w:type="dxa" w:w="2900"/>
            <w:tcMar>
              <w:top w:type="dxa" w:w="60"/>
              <w:left w:type="dxa" w:w="100"/>
              <w:bottom w:type="dxa" w:w="60"/>
              <w:right w:type="dxa" w:w="100"/>
            </w:tcMar>
          </w:tcPr>
          <w:p>
            <w:pPr>
              <w:spacing w:after="0" w:line="240"/>
            </w:pPr>
            <w:r>
              <w:rPr>
                <w:b w:val="false"/>
                <w:bCs w:val="false"/>
                <w:sz w:val="19"/>
                <w:szCs w:val="19"/>
              </w:rPr>
              <w:t xml:space="preserve">8 231,33</w:t>
            </w:r>
          </w:p>
        </w:tc>
      </w:tr>
      <w:tr>
        <w:tc>
          <w:tcPr>
            <w:tcW w:type="dxa" w:w="3838"/>
            <w:tcMar>
              <w:top w:type="dxa" w:w="60"/>
              <w:left w:type="dxa" w:w="100"/>
              <w:bottom w:type="dxa" w:w="60"/>
              <w:right w:type="dxa" w:w="100"/>
            </w:tcMar>
          </w:tcPr>
          <w:p>
            <w:pPr>
              <w:spacing w:after="0" w:line="240"/>
            </w:pPr>
            <w:r>
              <w:rPr>
                <w:b w:val="false"/>
                <w:bCs w:val="false"/>
                <w:sz w:val="19"/>
                <w:szCs w:val="19"/>
              </w:rPr>
              <w:t xml:space="preserve">Quantité moyenne</w:t>
            </w:r>
          </w:p>
        </w:tc>
        <w:tc>
          <w:tcPr>
            <w:tcW w:type="dxa" w:w="2900"/>
            <w:tcMar>
              <w:top w:type="dxa" w:w="60"/>
              <w:left w:type="dxa" w:w="100"/>
              <w:bottom w:type="dxa" w:w="60"/>
              <w:right w:type="dxa" w:w="100"/>
            </w:tcMar>
          </w:tcPr>
          <w:p>
            <w:pPr>
              <w:spacing w:after="0" w:line="240"/>
            </w:pPr>
            <w:r>
              <w:rPr>
                <w:b w:val="false"/>
                <w:bCs w:val="false"/>
                <w:sz w:val="19"/>
                <w:szCs w:val="19"/>
              </w:rPr>
              <w:t xml:space="preserve">3,201</w:t>
            </w:r>
          </w:p>
        </w:tc>
        <w:tc>
          <w:tcPr>
            <w:tcW w:type="dxa" w:w="2900"/>
            <w:tcMar>
              <w:top w:type="dxa" w:w="60"/>
              <w:left w:type="dxa" w:w="100"/>
              <w:bottom w:type="dxa" w:w="60"/>
              <w:right w:type="dxa" w:w="100"/>
            </w:tcMar>
          </w:tcPr>
          <w:p>
            <w:pPr>
              <w:spacing w:after="0" w:line="240"/>
            </w:pPr>
            <w:r>
              <w:rPr>
                <w:b w:val="false"/>
                <w:bCs w:val="false"/>
                <w:sz w:val="19"/>
                <w:szCs w:val="19"/>
              </w:rPr>
              <w:t xml:space="preserve">3,199</w:t>
            </w:r>
          </w:p>
        </w:tc>
      </w:tr>
      <w:tr>
        <w:tc>
          <w:tcPr>
            <w:tcW w:type="dxa" w:w="3838"/>
            <w:tcMar>
              <w:top w:type="dxa" w:w="60"/>
              <w:left w:type="dxa" w:w="100"/>
              <w:bottom w:type="dxa" w:w="60"/>
              <w:right w:type="dxa" w:w="100"/>
            </w:tcMar>
          </w:tcPr>
          <w:p>
            <w:pPr>
              <w:spacing w:after="0" w:line="240"/>
            </w:pPr>
            <w:r>
              <w:rPr>
                <w:b w:val="false"/>
                <w:bCs w:val="false"/>
                <w:sz w:val="19"/>
                <w:szCs w:val="19"/>
              </w:rPr>
              <w:t xml:space="preserve">Remise moyenne</w:t>
            </w:r>
          </w:p>
        </w:tc>
        <w:tc>
          <w:tcPr>
            <w:tcW w:type="dxa" w:w="2900"/>
            <w:tcMar>
              <w:top w:type="dxa" w:w="60"/>
              <w:left w:type="dxa" w:w="100"/>
              <w:bottom w:type="dxa" w:w="60"/>
              <w:right w:type="dxa" w:w="100"/>
            </w:tcMar>
          </w:tcPr>
          <w:p>
            <w:pPr>
              <w:spacing w:after="0" w:line="240"/>
            </w:pPr>
            <w:r>
              <w:rPr>
                <w:b w:val="false"/>
                <w:bCs w:val="false"/>
                <w:sz w:val="19"/>
                <w:szCs w:val="19"/>
              </w:rPr>
              <w:t xml:space="preserve">0,0 %</w:t>
            </w:r>
          </w:p>
        </w:tc>
        <w:tc>
          <w:tcPr>
            <w:tcW w:type="dxa" w:w="2900"/>
            <w:tcMar>
              <w:top w:type="dxa" w:w="60"/>
              <w:left w:type="dxa" w:w="100"/>
              <w:bottom w:type="dxa" w:w="60"/>
              <w:right w:type="dxa" w:w="100"/>
            </w:tcMar>
          </w:tcPr>
          <w:p>
            <w:pPr>
              <w:spacing w:after="0" w:line="240"/>
            </w:pPr>
            <w:r>
              <w:rPr>
                <w:b w:val="false"/>
                <w:bCs w:val="false"/>
                <w:sz w:val="19"/>
                <w:szCs w:val="19"/>
              </w:rPr>
              <w:t xml:space="preserve">13,17 %</w:t>
            </w:r>
          </w:p>
        </w:tc>
      </w:tr>
    </w:tbl>
    <w:p>
      <w:pPr>
        <w:spacing w:after="0" w:line="120"/>
      </w:pPr>
      <w:r>
        <w:rPr>
          <w:sz w:val="10"/>
          <w:szCs w:val="10"/>
        </w:rPr>
        <w:t xml:space="preserve"/>
      </w:r>
    </w:p>
    <w:p>
      <w:pPr>
        <w:spacing w:after="120" w:line="276"/>
      </w:pPr>
      <w:r>
        <w:rPr>
          <w:sz w:val="22"/>
          <w:szCs w:val="22"/>
        </w:rPr>
        <w:t xml:space="preserve">Les promotions représentent 21,9 % des transactions et coûtent 136,9 millions de FCFA de remises. La quantité moyenne est identique avec et sans promotion, à 0,06 % près — un résultat qui appelle une interprétation prudente, traitée en section 8.</w:t>
      </w:r>
    </w:p>
    <w:p>
      <w:pPr>
        <w:spacing w:after="60" w:before="16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286000"/>
                    </a:xfrm>
                    <a:prstGeom prst="rect">
                      <a:avLst/>
                    </a:prstGeom>
                  </pic:spPr>
                </pic:pic>
              </a:graphicData>
            </a:graphic>
          </wp:inline>
        </w:drawing>
      </w:r>
    </w:p>
    <w:p>
      <w:pPr>
        <w:spacing w:after="200"/>
        <w:jc w:val="center"/>
      </w:pPr>
      <w:r>
        <w:rPr>
          <w:i/>
          <w:iCs/>
          <w:color w:val="52514E"/>
          <w:sz w:val="18"/>
          <w:szCs w:val="18"/>
        </w:rPr>
        <w:t xml:space="preserve">Figure 5 — panier moyen et quantité moyenne selon la présence d'une promotion</w:t>
      </w:r>
    </w:p>
    <w:p>
      <w:pPr>
        <w:pStyle w:val="Heading2"/>
        <w:spacing w:after="140" w:before="280"/>
      </w:pPr>
      <w:r>
        <w:t xml:space="preserve">5.6 Activité par jour de la semaine</w:t>
      </w:r>
    </w:p>
    <w:p>
      <w:pPr>
        <w:spacing w:after="120" w:line="276"/>
      </w:pPr>
      <w:r>
        <w:rPr>
          <w:sz w:val="22"/>
          <w:szCs w:val="22"/>
        </w:rPr>
        <w:t xml:space="preserve">L'amplitude entre le jour le plus actif et le moins actif n'atteint que 1,0 % du nombre moyen de transactions. L'activité est donc uniforme sur la semaine, et le graphique dont l'axe part de zéro rend cette uniformité visible plutôt que de l'exagérer par un axe tronqué.</w:t>
      </w:r>
    </w:p>
    <w:p>
      <w:pPr>
        <w:spacing w:after="60" w:before="160"/>
        <w:jc w:val="center"/>
      </w:pPr>
      <w:r>
        <w:drawing>
          <wp:inline distT="0" distB="0" distL="0" distR="0">
            <wp:extent cx="5143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419350"/>
                    </a:xfrm>
                    <a:prstGeom prst="rect">
                      <a:avLst/>
                    </a:prstGeom>
                  </pic:spPr>
                </pic:pic>
              </a:graphicData>
            </a:graphic>
          </wp:inline>
        </w:drawing>
      </w:r>
    </w:p>
    <w:p>
      <w:pPr>
        <w:spacing w:after="200"/>
        <w:jc w:val="center"/>
      </w:pPr>
      <w:r>
        <w:rPr>
          <w:i/>
          <w:iCs/>
          <w:color w:val="52514E"/>
          <w:sz w:val="18"/>
          <w:szCs w:val="18"/>
        </w:rPr>
        <w:t xml:space="preserve">Figure 6 — nombre de transactions par jour de la semaine, axe partant de zéro</w:t>
      </w:r>
    </w:p>
    <w:p>
      <w:pPr>
        <w:pStyle w:val="Heading1"/>
        <w:spacing w:after="200" w:before="360"/>
      </w:pPr>
      <w:r>
        <w:t xml:space="preserve">6. Validation des résultats</w:t>
      </w:r>
    </w:p>
    <w:p>
      <w:pPr>
        <w:spacing w:after="120" w:line="276"/>
      </w:pPr>
      <w:r>
        <w:rPr>
          <w:sz w:val="22"/>
          <w:szCs w:val="22"/>
        </w:rPr>
        <w:t xml:space="preserve">La consigne 14 de l'énoncé impose que toute valeur obtenue avec une technologie soit contrôlée par rapport aux résultats antérieurs, et que les divergences soient expliquées. Nous avons mis en place trois calculs indépendants des mêmes grandeurs.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38"/>
        <w:gridCol w:w="3000"/>
      </w:tblGrid>
      <w:tr>
        <w:trPr>
          <w:tblHeader/>
        </w:trPr>
        <w:tc>
          <w:tcPr>
            <w:tcW w:type="dxa" w:w="2400"/>
            <w:shd w:fill="EDEDEA" w:val="clear"/>
            <w:tcMar>
              <w:top w:type="dxa" w:w="60"/>
              <w:left w:type="dxa" w:w="100"/>
              <w:bottom w:type="dxa" w:w="60"/>
              <w:right w:type="dxa" w:w="100"/>
            </w:tcMar>
          </w:tcPr>
          <w:p>
            <w:pPr>
              <w:spacing w:after="0" w:line="240"/>
            </w:pPr>
            <w:r>
              <w:rPr>
                <w:b/>
                <w:bCs/>
                <w:sz w:val="19"/>
                <w:szCs w:val="19"/>
              </w:rPr>
              <w:t xml:space="preserve">Calcul</w:t>
            </w:r>
          </w:p>
        </w:tc>
        <w:tc>
          <w:tcPr>
            <w:tcW w:type="dxa" w:w="4238"/>
            <w:shd w:fill="EDEDEA" w:val="clear"/>
            <w:tcMar>
              <w:top w:type="dxa" w:w="60"/>
              <w:left w:type="dxa" w:w="100"/>
              <w:bottom w:type="dxa" w:w="60"/>
              <w:right w:type="dxa" w:w="100"/>
            </w:tcMar>
          </w:tcPr>
          <w:p>
            <w:pPr>
              <w:spacing w:after="0" w:line="240"/>
            </w:pPr>
            <w:r>
              <w:rPr>
                <w:b/>
                <w:bCs/>
                <w:sz w:val="19"/>
                <w:szCs w:val="19"/>
              </w:rPr>
              <w:t xml:space="preserve">Outil</w:t>
            </w:r>
          </w:p>
        </w:tc>
        <w:tc>
          <w:tcPr>
            <w:tcW w:type="dxa" w:w="3000"/>
            <w:shd w:fill="EDEDEA" w:val="clear"/>
            <w:tcMar>
              <w:top w:type="dxa" w:w="60"/>
              <w:left w:type="dxa" w:w="100"/>
              <w:bottom w:type="dxa" w:w="60"/>
              <w:right w:type="dxa" w:w="100"/>
            </w:tcMar>
          </w:tcPr>
          <w:p>
            <w:pPr>
              <w:spacing w:after="0" w:line="240"/>
            </w:pPr>
            <w:r>
              <w:rPr>
                <w:b/>
                <w:bCs/>
                <w:sz w:val="19"/>
                <w:szCs w:val="19"/>
              </w:rPr>
              <w:t xml:space="preserve">Rôle</w:t>
            </w:r>
          </w:p>
        </w:tc>
      </w:tr>
      <w:tr>
        <w:tc>
          <w:tcPr>
            <w:tcW w:type="dxa" w:w="2400"/>
            <w:tcMar>
              <w:top w:type="dxa" w:w="60"/>
              <w:left w:type="dxa" w:w="100"/>
              <w:bottom w:type="dxa" w:w="60"/>
              <w:right w:type="dxa" w:w="100"/>
            </w:tcMar>
          </w:tcPr>
          <w:p>
            <w:pPr>
              <w:spacing w:after="0" w:line="240"/>
            </w:pPr>
            <w:r>
              <w:rPr>
                <w:b w:val="false"/>
                <w:bCs w:val="false"/>
                <w:sz w:val="19"/>
                <w:szCs w:val="19"/>
              </w:rPr>
              <w:t xml:space="preserve">Hive</w:t>
            </w:r>
          </w:p>
        </w:tc>
        <w:tc>
          <w:tcPr>
            <w:tcW w:type="dxa" w:w="4238"/>
            <w:tcMar>
              <w:top w:type="dxa" w:w="60"/>
              <w:left w:type="dxa" w:w="100"/>
              <w:bottom w:type="dxa" w:w="60"/>
              <w:right w:type="dxa" w:w="100"/>
            </w:tcMar>
          </w:tcPr>
          <w:p>
            <w:pPr>
              <w:spacing w:after="0" w:line="240"/>
            </w:pPr>
            <w:r>
              <w:rPr>
                <w:b w:val="false"/>
                <w:bCs w:val="false"/>
                <w:sz w:val="19"/>
                <w:szCs w:val="19"/>
              </w:rPr>
              <w:t xml:space="preserve">HiveQL sur le cluster</w:t>
            </w:r>
          </w:p>
        </w:tc>
        <w:tc>
          <w:tcPr>
            <w:tcW w:type="dxa" w:w="3000"/>
            <w:tcMar>
              <w:top w:type="dxa" w:w="60"/>
              <w:left w:type="dxa" w:w="100"/>
              <w:bottom w:type="dxa" w:w="60"/>
              <w:right w:type="dxa" w:w="100"/>
            </w:tcMar>
          </w:tcPr>
          <w:p>
            <w:pPr>
              <w:spacing w:after="0" w:line="240"/>
            </w:pPr>
            <w:r>
              <w:rPr>
                <w:b w:val="false"/>
                <w:bCs w:val="false"/>
                <w:sz w:val="19"/>
                <w:szCs w:val="19"/>
              </w:rPr>
              <w:t xml:space="preserve">le livrable</w:t>
            </w:r>
          </w:p>
        </w:tc>
      </w:tr>
      <w:tr>
        <w:tc>
          <w:tcPr>
            <w:tcW w:type="dxa" w:w="2400"/>
            <w:tcMar>
              <w:top w:type="dxa" w:w="60"/>
              <w:left w:type="dxa" w:w="100"/>
              <w:bottom w:type="dxa" w:w="60"/>
              <w:right w:type="dxa" w:w="100"/>
            </w:tcMar>
          </w:tcPr>
          <w:p>
            <w:pPr>
              <w:spacing w:after="0" w:line="240"/>
            </w:pPr>
            <w:r>
              <w:rPr>
                <w:b w:val="false"/>
                <w:bCs w:val="false"/>
                <w:sz w:val="19"/>
                <w:szCs w:val="19"/>
              </w:rPr>
              <w:t xml:space="preserve">SQL de contrôle</w:t>
            </w:r>
          </w:p>
        </w:tc>
        <w:tc>
          <w:tcPr>
            <w:tcW w:type="dxa" w:w="4238"/>
            <w:tcMar>
              <w:top w:type="dxa" w:w="60"/>
              <w:left w:type="dxa" w:w="100"/>
              <w:bottom w:type="dxa" w:w="60"/>
              <w:right w:type="dxa" w:w="100"/>
            </w:tcMar>
          </w:tcPr>
          <w:p>
            <w:pPr>
              <w:spacing w:after="0" w:line="240"/>
            </w:pPr>
            <w:r>
              <w:rPr>
                <w:b w:val="false"/>
                <w:bCs w:val="false"/>
                <w:sz w:val="19"/>
                <w:szCs w:val="19"/>
              </w:rPr>
              <w:t xml:space="preserve">DuckDB sur le CSV brut, mêmes requêtes</w:t>
            </w:r>
          </w:p>
        </w:tc>
        <w:tc>
          <w:tcPr>
            <w:tcW w:type="dxa" w:w="3000"/>
            <w:tcMar>
              <w:top w:type="dxa" w:w="60"/>
              <w:left w:type="dxa" w:w="100"/>
              <w:bottom w:type="dxa" w:w="60"/>
              <w:right w:type="dxa" w:w="100"/>
            </w:tcMar>
          </w:tcPr>
          <w:p>
            <w:pPr>
              <w:spacing w:after="0" w:line="240"/>
            </w:pPr>
            <w:r>
              <w:rPr>
                <w:b w:val="false"/>
                <w:bCs w:val="false"/>
                <w:sz w:val="19"/>
                <w:szCs w:val="19"/>
              </w:rPr>
              <w:t xml:space="preserve">les résultats attendus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MapReduce</w:t>
            </w:r>
          </w:p>
        </w:tc>
        <w:tc>
          <w:tcPr>
            <w:tcW w:type="dxa" w:w="4238"/>
            <w:tcMar>
              <w:top w:type="dxa" w:w="60"/>
              <w:left w:type="dxa" w:w="100"/>
              <w:bottom w:type="dxa" w:w="60"/>
              <w:right w:type="dxa" w:w="100"/>
            </w:tcMar>
          </w:tcPr>
          <w:p>
            <w:pPr>
              <w:spacing w:after="0" w:line="240"/>
            </w:pPr>
            <w:r>
              <w:rPr>
                <w:b w:val="false"/>
                <w:bCs w:val="false"/>
                <w:sz w:val="19"/>
                <w:szCs w:val="19"/>
              </w:rPr>
              <w:t xml:space="preserve">mapper.py | sort | reducer.py</w:t>
            </w:r>
          </w:p>
        </w:tc>
        <w:tc>
          <w:tcPr>
            <w:tcW w:type="dxa" w:w="3000"/>
            <w:tcMar>
              <w:top w:type="dxa" w:w="60"/>
              <w:left w:type="dxa" w:w="100"/>
              <w:bottom w:type="dxa" w:w="60"/>
              <w:right w:type="dxa" w:w="100"/>
            </w:tcMar>
          </w:tcPr>
          <w:p>
            <w:pPr>
              <w:spacing w:after="0" w:line="240"/>
            </w:pPr>
            <w:r>
              <w:rPr>
                <w:b w:val="false"/>
                <w:bCs w:val="false"/>
                <w:sz w:val="19"/>
                <w:szCs w:val="19"/>
              </w:rPr>
              <w:t xml:space="preserve">référence du modèle Map/Reduce</w:t>
            </w:r>
          </w:p>
        </w:tc>
      </w:tr>
    </w:tbl>
    <w:p>
      <w:pPr>
        <w:spacing w:after="0" w:line="120"/>
      </w:pPr>
      <w:r>
        <w:rPr>
          <w:sz w:val="10"/>
          <w:szCs w:val="10"/>
        </w:rPr>
        <w:t xml:space="preserve"/>
      </w:r>
    </w:p>
    <w:p>
      <w:pPr>
        <w:spacing w:after="120" w:line="276"/>
      </w:pPr>
      <w:r>
        <w:rPr>
          <w:sz w:val="22"/>
          <w:szCs w:val="22"/>
        </w:rPr>
        <w:t xml:space="preserve">Le troisième mérite une précision. Faute de sorties transmises par le Groupe 4, nous avons réimplémenté les cinq jobs en véritable Hadoop Streaming, exécutés selon le schéma Map → Shuffle/Sort → Reduce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JOB=ca_par_ville python3 mapper.py &lt; transactions_medium.csv \</w:t>
      </w:r>
      <w:r>
        <w:br/>
      </w:r>
      <w:r>
        <w:rPr>
          <w:rFonts w:ascii="Consolas" w:cs="Consolas" w:eastAsia="Consolas" w:hAnsi="Consolas"/>
          <w:sz w:val="18"/>
          <w:szCs w:val="18"/>
        </w:rPr>
        <w:t xml:space="preserve">  | LC_ALL=C sort -k1,1 \</w:t>
      </w:r>
      <w:r>
        <w:br/>
      </w:r>
      <w:r>
        <w:rPr>
          <w:rFonts w:ascii="Consolas" w:cs="Consolas" w:eastAsia="Consolas" w:hAnsi="Consolas"/>
          <w:sz w:val="18"/>
          <w:szCs w:val="18"/>
        </w:rPr>
        <w:t xml:space="preserve">  | JOB=ca_par_ville python3 reducer.py</w:t>
      </w:r>
    </w:p>
    <w:p>
      <w:pPr>
        <w:spacing w:after="120" w:line="276"/>
      </w:pPr>
      <w:r>
        <w:rPr>
          <w:sz w:val="22"/>
          <w:szCs w:val="22"/>
        </w:rPr>
        <w:t xml:space="preserve">Le </w:t>
      </w:r>
      <w:r>
        <w:rPr>
          <w:rFonts w:ascii="Consolas" w:cs="Consolas" w:eastAsia="Consolas" w:hAnsi="Consolas"/>
          <w:sz w:val="19"/>
          <w:szCs w:val="19"/>
        </w:rPr>
        <w:t xml:space="preserve">sort</w:t>
      </w:r>
      <w:r>
        <w:rPr>
          <w:sz w:val="22"/>
          <w:szCs w:val="22"/>
        </w:rPr>
        <w:t xml:space="preserve"> intercalé constitue la phase Shuffle. La variable </w:t>
      </w:r>
      <w:r>
        <w:rPr>
          <w:rFonts w:ascii="Consolas" w:cs="Consolas" w:eastAsia="Consolas" w:hAnsi="Consolas"/>
          <w:sz w:val="19"/>
          <w:szCs w:val="19"/>
        </w:rPr>
        <w:t xml:space="preserve">LC_ALL=C</w:t>
      </w:r>
      <w:r>
        <w:rPr>
          <w:sz w:val="22"/>
          <w:szCs w:val="22"/>
        </w:rPr>
        <w:t xml:space="preserve"> impose un tri par octets, celui qu'opère Hadoop. Une agrégation en pandas aurait été plus simple à écrire mais aurait comparé Hive à pandas ; ces scripts, eux, sont exécutables tels quels sur le cluster avec l'option -mapper.</w:t>
      </w:r>
    </w:p>
    <w:p>
      <w:pPr>
        <w:pStyle w:val="Heading2"/>
        <w:spacing w:after="140" w:before="280"/>
      </w:pPr>
      <w:r>
        <w:t xml:space="preserve">6.1 Contrôles qualité des données</w:t>
      </w:r>
    </w:p>
    <w:p>
      <w:pPr>
        <w:spacing w:after="120" w:line="276"/>
      </w:pPr>
      <w:r>
        <w:rPr>
          <w:sz w:val="22"/>
          <w:szCs w:val="22"/>
        </w:rPr>
        <w:t xml:space="preserve">Avant toute analyse, sept compteurs sont calculés dans Hive. Tous doivent valoir zéro, hormis les comptages de volume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2400"/>
        <w:gridCol w:w="2400"/>
      </w:tblGrid>
      <w:tr>
        <w:trPr>
          <w:tblHeader/>
        </w:trPr>
        <w:tc>
          <w:tcPr>
            <w:tcW w:type="dxa" w:w="4838"/>
            <w:shd w:fill="EDEDEA" w:val="clear"/>
            <w:tcMar>
              <w:top w:type="dxa" w:w="60"/>
              <w:left w:type="dxa" w:w="100"/>
              <w:bottom w:type="dxa" w:w="60"/>
              <w:right w:type="dxa" w:w="100"/>
            </w:tcMar>
          </w:tcPr>
          <w:p>
            <w:pPr>
              <w:spacing w:after="0" w:line="240"/>
            </w:pPr>
            <w:r>
              <w:rPr>
                <w:b/>
                <w:bCs/>
                <w:sz w:val="19"/>
                <w:szCs w:val="19"/>
              </w:rPr>
              <w:t xml:space="preserve">Contrôle</w:t>
            </w:r>
          </w:p>
        </w:tc>
        <w:tc>
          <w:tcPr>
            <w:tcW w:type="dxa" w:w="2400"/>
            <w:shd w:fill="EDEDEA" w:val="clear"/>
            <w:tcMar>
              <w:top w:type="dxa" w:w="60"/>
              <w:left w:type="dxa" w:w="100"/>
              <w:bottom w:type="dxa" w:w="60"/>
              <w:right w:type="dxa" w:w="100"/>
            </w:tcMar>
          </w:tcPr>
          <w:p>
            <w:pPr>
              <w:spacing w:after="0" w:line="240"/>
            </w:pPr>
            <w:r>
              <w:rPr>
                <w:b/>
                <w:bCs/>
                <w:sz w:val="19"/>
                <w:szCs w:val="19"/>
              </w:rPr>
              <w:t xml:space="preserve">Attendu</w:t>
            </w:r>
          </w:p>
        </w:tc>
        <w:tc>
          <w:tcPr>
            <w:tcW w:type="dxa" w:w="2400"/>
            <w:shd w:fill="EDEDEA" w:val="clear"/>
            <w:tcMar>
              <w:top w:type="dxa" w:w="60"/>
              <w:left w:type="dxa" w:w="100"/>
              <w:bottom w:type="dxa" w:w="60"/>
              <w:right w:type="dxa" w:w="100"/>
            </w:tcMar>
          </w:tcPr>
          <w:p>
            <w:pPr>
              <w:spacing w:after="0" w:line="240"/>
            </w:pPr>
            <w:r>
              <w:rPr>
                <w:b/>
                <w:bCs/>
                <w:sz w:val="19"/>
                <w:szCs w:val="19"/>
              </w:rPr>
              <w:t xml:space="preserve">Constaté</w:t>
            </w:r>
          </w:p>
        </w:tc>
      </w:tr>
      <w:tr>
        <w:tc>
          <w:tcPr>
            <w:tcW w:type="dxa" w:w="4838"/>
            <w:tcMar>
              <w:top w:type="dxa" w:w="60"/>
              <w:left w:type="dxa" w:w="100"/>
              <w:bottom w:type="dxa" w:w="60"/>
              <w:right w:type="dxa" w:w="100"/>
            </w:tcMar>
          </w:tcPr>
          <w:p>
            <w:pPr>
              <w:spacing w:after="0" w:line="240"/>
            </w:pPr>
            <w:r>
              <w:rPr>
                <w:b w:val="false"/>
                <w:bCs w:val="false"/>
                <w:sz w:val="19"/>
                <w:szCs w:val="19"/>
              </w:rPr>
              <w:t xml:space="preserve">Nombre de lignes</w:t>
            </w:r>
          </w:p>
        </w:tc>
        <w:tc>
          <w:tcPr>
            <w:tcW w:type="dxa" w:w="2400"/>
            <w:tcMar>
              <w:top w:type="dxa" w:w="60"/>
              <w:left w:type="dxa" w:w="100"/>
              <w:bottom w:type="dxa" w:w="60"/>
              <w:right w:type="dxa" w:w="100"/>
            </w:tcMar>
          </w:tcPr>
          <w:p>
            <w:pPr>
              <w:spacing w:after="0" w:line="240"/>
            </w:pPr>
            <w:r>
              <w:rPr>
                <w:b w:val="false"/>
                <w:bCs w:val="false"/>
                <w:sz w:val="19"/>
                <w:szCs w:val="19"/>
              </w:rPr>
              <w:t xml:space="preserve">500 000</w:t>
            </w:r>
          </w:p>
        </w:tc>
        <w:tc>
          <w:tcPr>
            <w:tcW w:type="dxa" w:w="2400"/>
            <w:tcMar>
              <w:top w:type="dxa" w:w="60"/>
              <w:left w:type="dxa" w:w="100"/>
              <w:bottom w:type="dxa" w:w="60"/>
              <w:right w:type="dxa" w:w="100"/>
            </w:tcMar>
          </w:tcPr>
          <w:p>
            <w:pPr>
              <w:spacing w:after="0" w:line="240"/>
            </w:pPr>
            <w:r>
              <w:rPr>
                <w:b w:val="false"/>
                <w:bCs w:val="false"/>
                <w:sz w:val="19"/>
                <w:szCs w:val="19"/>
              </w:rPr>
              <w:t xml:space="preserve">500 000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Identifiants distincts</w:t>
            </w:r>
          </w:p>
        </w:tc>
        <w:tc>
          <w:tcPr>
            <w:tcW w:type="dxa" w:w="2400"/>
            <w:tcMar>
              <w:top w:type="dxa" w:w="60"/>
              <w:left w:type="dxa" w:w="100"/>
              <w:bottom w:type="dxa" w:w="60"/>
              <w:right w:type="dxa" w:w="100"/>
            </w:tcMar>
          </w:tcPr>
          <w:p>
            <w:pPr>
              <w:spacing w:after="0" w:line="240"/>
            </w:pPr>
            <w:r>
              <w:rPr>
                <w:b w:val="false"/>
                <w:bCs w:val="false"/>
                <w:sz w:val="19"/>
                <w:szCs w:val="19"/>
              </w:rPr>
              <w:t xml:space="preserve">500 000</w:t>
            </w:r>
          </w:p>
        </w:tc>
        <w:tc>
          <w:tcPr>
            <w:tcW w:type="dxa" w:w="2400"/>
            <w:tcMar>
              <w:top w:type="dxa" w:w="60"/>
              <w:left w:type="dxa" w:w="100"/>
              <w:bottom w:type="dxa" w:w="60"/>
              <w:right w:type="dxa" w:w="100"/>
            </w:tcMar>
          </w:tcPr>
          <w:p>
            <w:pPr>
              <w:spacing w:after="0" w:line="240"/>
            </w:pPr>
            <w:r>
              <w:rPr>
                <w:b w:val="false"/>
                <w:bCs w:val="false"/>
                <w:sz w:val="19"/>
                <w:szCs w:val="19"/>
              </w:rPr>
              <w:t xml:space="preserve">500 000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Champs numériques nuls</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Montants incohérents</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Remises hors de l'intervalle [0 ; 0,30]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Promotion nulle avec remise non nulle</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r>
      <w:tr>
        <w:tc>
          <w:tcPr>
            <w:tcW w:type="dxa" w:w="4838"/>
            <w:tcMar>
              <w:top w:type="dxa" w:w="60"/>
              <w:left w:type="dxa" w:w="100"/>
              <w:bottom w:type="dxa" w:w="60"/>
              <w:right w:type="dxa" w:w="100"/>
            </w:tcMar>
          </w:tcPr>
          <w:p>
            <w:pPr>
              <w:spacing w:after="0" w:line="240"/>
            </w:pPr>
            <w:r>
              <w:rPr>
                <w:b w:val="false"/>
                <w:bCs w:val="false"/>
                <w:sz w:val="19"/>
                <w:szCs w:val="19"/>
              </w:rPr>
              <w:t xml:space="preserve">Stocks incohérents</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c>
          <w:tcPr>
            <w:tcW w:type="dxa" w:w="2400"/>
            <w:tcMar>
              <w:top w:type="dxa" w:w="60"/>
              <w:left w:type="dxa" w:w="100"/>
              <w:bottom w:type="dxa" w:w="60"/>
              <w:right w:type="dxa" w:w="100"/>
            </w:tcMar>
          </w:tcPr>
          <w:p>
            <w:pPr>
              <w:spacing w:after="0" w:line="240"/>
            </w:pPr>
            <w:r>
              <w:rPr>
                <w:b w:val="false"/>
                <w:bCs w:val="false"/>
                <w:sz w:val="19"/>
                <w:szCs w:val="19"/>
              </w:rPr>
              <w:t xml:space="preserve">0</w:t>
            </w:r>
          </w:p>
        </w:tc>
      </w:tr>
    </w:tbl>
    <w:p>
      <w:pPr>
        <w:spacing w:after="0" w:line="120"/>
      </w:pPr>
      <w:r>
        <w:rPr>
          <w:sz w:val="10"/>
          <w:szCs w:val="10"/>
        </w:rPr>
        <w:t xml:space="preserve"/>
      </w:r>
    </w:p>
    <w:p>
      <w:pPr>
        <w:spacing w:after="120" w:line="276"/>
      </w:pPr>
      <w:r>
        <w:rPr>
          <w:sz w:val="22"/>
          <w:szCs w:val="22"/>
        </w:rPr>
        <w:t xml:space="preserve">Le recalcul de la relation montant = quantité × prix × (1 − remise) sur les 500 000 lignes donne un écart maximal de 7 × 10⁻¹², soit l'arrondi de la représentation machine des nombres à virgule flottante.</w:t>
      </w:r>
    </w:p>
    <w:p>
      <w:pPr>
        <w:pStyle w:val="Heading2"/>
        <w:spacing w:after="140" w:before="280"/>
      </w:pPr>
      <w:r>
        <w:t xml:space="preserve">6.2 Concordance des trois moteurs</w:t>
      </w:r>
    </w:p>
    <w:p>
      <w:pPr>
        <w:spacing w:after="120" w:line="276"/>
      </w:pPr>
      <w:r>
        <w:rPr>
          <w:sz w:val="22"/>
          <w:szCs w:val="22"/>
        </w:rPr>
        <w:t xml:space="preserve">La comparaison est automatisée par un script qui rapproche deux répertoires de fichiers CSV, avec une tolérance de 0,01 FCFA destinée à absorber les différences d'arrondi entre moteurs.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1800"/>
        <w:gridCol w:w="2000"/>
        <w:gridCol w:w="2000"/>
      </w:tblGrid>
      <w:tr>
        <w:trPr>
          <w:tblHeader/>
        </w:trPr>
        <w:tc>
          <w:tcPr>
            <w:tcW w:type="dxa" w:w="3838"/>
            <w:shd w:fill="EDEDEA" w:val="clear"/>
            <w:tcMar>
              <w:top w:type="dxa" w:w="60"/>
              <w:left w:type="dxa" w:w="100"/>
              <w:bottom w:type="dxa" w:w="60"/>
              <w:right w:type="dxa" w:w="100"/>
            </w:tcMar>
          </w:tcPr>
          <w:p>
            <w:pPr>
              <w:spacing w:after="0" w:line="240"/>
            </w:pPr>
            <w:r>
              <w:rPr>
                <w:b/>
                <w:bCs/>
                <w:sz w:val="19"/>
                <w:szCs w:val="19"/>
              </w:rPr>
              <w:t xml:space="preserve">Comparaison</w:t>
            </w:r>
          </w:p>
        </w:tc>
        <w:tc>
          <w:tcPr>
            <w:tcW w:type="dxa" w:w="1800"/>
            <w:shd w:fill="EDEDEA" w:val="clear"/>
            <w:tcMar>
              <w:top w:type="dxa" w:w="60"/>
              <w:left w:type="dxa" w:w="100"/>
              <w:bottom w:type="dxa" w:w="60"/>
              <w:right w:type="dxa" w:w="100"/>
            </w:tcMar>
          </w:tcPr>
          <w:p>
            <w:pPr>
              <w:spacing w:after="0" w:line="240"/>
            </w:pPr>
            <w:r>
              <w:rPr>
                <w:b/>
                <w:bCs/>
                <w:sz w:val="19"/>
                <w:szCs w:val="19"/>
              </w:rPr>
              <w:t xml:space="preserve">Fichiers</w:t>
            </w:r>
          </w:p>
        </w:tc>
        <w:tc>
          <w:tcPr>
            <w:tcW w:type="dxa" w:w="2000"/>
            <w:shd w:fill="EDEDEA" w:val="clear"/>
            <w:tcMar>
              <w:top w:type="dxa" w:w="60"/>
              <w:left w:type="dxa" w:w="100"/>
              <w:bottom w:type="dxa" w:w="60"/>
              <w:right w:type="dxa" w:w="100"/>
            </w:tcMar>
          </w:tcPr>
          <w:p>
            <w:pPr>
              <w:spacing w:after="0" w:line="240"/>
            </w:pPr>
            <w:r>
              <w:rPr>
                <w:b/>
                <w:bCs/>
                <w:sz w:val="19"/>
                <w:szCs w:val="19"/>
              </w:rPr>
              <w:t xml:space="preserve">Concordants</w:t>
            </w:r>
          </w:p>
        </w:tc>
        <w:tc>
          <w:tcPr>
            <w:tcW w:type="dxa" w:w="2000"/>
            <w:shd w:fill="EDEDEA" w:val="clear"/>
            <w:tcMar>
              <w:top w:type="dxa" w:w="60"/>
              <w:left w:type="dxa" w:w="100"/>
              <w:bottom w:type="dxa" w:w="60"/>
              <w:right w:type="dxa" w:w="100"/>
            </w:tcMar>
          </w:tcPr>
          <w:p>
            <w:pPr>
              <w:spacing w:after="0" w:line="240"/>
            </w:pPr>
            <w:r>
              <w:rPr>
                <w:b/>
                <w:bCs/>
                <w:sz w:val="19"/>
                <w:szCs w:val="19"/>
              </w:rPr>
              <w:t xml:space="preserve">Écart maximal</w:t>
            </w:r>
          </w:p>
        </w:tc>
      </w:tr>
      <w:tr>
        <w:tc>
          <w:tcPr>
            <w:tcW w:type="dxa" w:w="3838"/>
            <w:tcMar>
              <w:top w:type="dxa" w:w="60"/>
              <w:left w:type="dxa" w:w="100"/>
              <w:bottom w:type="dxa" w:w="60"/>
              <w:right w:type="dxa" w:w="100"/>
            </w:tcMar>
          </w:tcPr>
          <w:p>
            <w:pPr>
              <w:spacing w:after="0" w:line="240"/>
            </w:pPr>
            <w:r>
              <w:rPr>
                <w:b w:val="false"/>
                <w:bCs w:val="false"/>
                <w:sz w:val="19"/>
                <w:szCs w:val="19"/>
              </w:rPr>
              <w:t xml:space="preserve">Hive contre SQL de contrôle</w:t>
            </w:r>
          </w:p>
        </w:tc>
        <w:tc>
          <w:tcPr>
            <w:tcW w:type="dxa" w:w="1800"/>
            <w:tcMar>
              <w:top w:type="dxa" w:w="60"/>
              <w:left w:type="dxa" w:w="100"/>
              <w:bottom w:type="dxa" w:w="60"/>
              <w:right w:type="dxa" w:w="100"/>
            </w:tcMar>
          </w:tcPr>
          <w:p>
            <w:pPr>
              <w:spacing w:after="0" w:line="240"/>
            </w:pPr>
            <w:r>
              <w:rPr>
                <w:b w:val="false"/>
                <w:bCs w:val="false"/>
                <w:sz w:val="19"/>
                <w:szCs w:val="19"/>
              </w:rPr>
              <w:t xml:space="preserve">17</w:t>
            </w:r>
          </w:p>
        </w:tc>
        <w:tc>
          <w:tcPr>
            <w:tcW w:type="dxa" w:w="2000"/>
            <w:tcMar>
              <w:top w:type="dxa" w:w="60"/>
              <w:left w:type="dxa" w:w="100"/>
              <w:bottom w:type="dxa" w:w="60"/>
              <w:right w:type="dxa" w:w="100"/>
            </w:tcMar>
          </w:tcPr>
          <w:p>
            <w:pPr>
              <w:spacing w:after="0" w:line="240"/>
            </w:pPr>
            <w:r>
              <w:rPr>
                <w:b w:val="false"/>
                <w:bCs w:val="false"/>
                <w:sz w:val="19"/>
                <w:szCs w:val="19"/>
              </w:rPr>
              <w:t xml:space="preserve">17</w:t>
            </w:r>
          </w:p>
        </w:tc>
        <w:tc>
          <w:tcPr>
            <w:tcW w:type="dxa" w:w="2000"/>
            <w:tcMar>
              <w:top w:type="dxa" w:w="60"/>
              <w:left w:type="dxa" w:w="100"/>
              <w:bottom w:type="dxa" w:w="60"/>
              <w:right w:type="dxa" w:w="100"/>
            </w:tcMar>
          </w:tcPr>
          <w:p>
            <w:pPr>
              <w:spacing w:after="0" w:line="240"/>
            </w:pPr>
            <w:r>
              <w:rPr>
                <w:b w:val="false"/>
                <w:bCs w:val="false"/>
                <w:sz w:val="19"/>
                <w:szCs w:val="19"/>
              </w:rPr>
              <w:t xml:space="preserve">0</w:t>
            </w:r>
          </w:p>
        </w:tc>
      </w:tr>
      <w:tr>
        <w:tc>
          <w:tcPr>
            <w:tcW w:type="dxa" w:w="3838"/>
            <w:tcMar>
              <w:top w:type="dxa" w:w="60"/>
              <w:left w:type="dxa" w:w="100"/>
              <w:bottom w:type="dxa" w:w="60"/>
              <w:right w:type="dxa" w:w="100"/>
            </w:tcMar>
          </w:tcPr>
          <w:p>
            <w:pPr>
              <w:spacing w:after="0" w:line="240"/>
            </w:pPr>
            <w:r>
              <w:rPr>
                <w:b w:val="false"/>
                <w:bCs w:val="false"/>
                <w:sz w:val="19"/>
                <w:szCs w:val="19"/>
              </w:rPr>
              <w:t xml:space="preserve">Hive contre MapReduce</w:t>
            </w:r>
          </w:p>
        </w:tc>
        <w:tc>
          <w:tcPr>
            <w:tcW w:type="dxa" w:w="1800"/>
            <w:tcMar>
              <w:top w:type="dxa" w:w="60"/>
              <w:left w:type="dxa" w:w="100"/>
              <w:bottom w:type="dxa" w:w="60"/>
              <w:right w:type="dxa" w:w="100"/>
            </w:tcMar>
          </w:tcPr>
          <w:p>
            <w:pPr>
              <w:spacing w:after="0" w:line="240"/>
            </w:pPr>
            <w:r>
              <w:rPr>
                <w:b w:val="false"/>
                <w:bCs w:val="false"/>
                <w:sz w:val="19"/>
                <w:szCs w:val="19"/>
              </w:rPr>
              <w:t xml:space="preserve">5</w:t>
            </w:r>
          </w:p>
        </w:tc>
        <w:tc>
          <w:tcPr>
            <w:tcW w:type="dxa" w:w="2000"/>
            <w:tcMar>
              <w:top w:type="dxa" w:w="60"/>
              <w:left w:type="dxa" w:w="100"/>
              <w:bottom w:type="dxa" w:w="60"/>
              <w:right w:type="dxa" w:w="100"/>
            </w:tcMar>
          </w:tcPr>
          <w:p>
            <w:pPr>
              <w:spacing w:after="0" w:line="240"/>
            </w:pPr>
            <w:r>
              <w:rPr>
                <w:b w:val="false"/>
                <w:bCs w:val="false"/>
                <w:sz w:val="19"/>
                <w:szCs w:val="19"/>
              </w:rPr>
              <w:t xml:space="preserve">5</w:t>
            </w:r>
          </w:p>
        </w:tc>
        <w:tc>
          <w:tcPr>
            <w:tcW w:type="dxa" w:w="2000"/>
            <w:tcMar>
              <w:top w:type="dxa" w:w="60"/>
              <w:left w:type="dxa" w:w="100"/>
              <w:bottom w:type="dxa" w:w="60"/>
              <w:right w:type="dxa" w:w="100"/>
            </w:tcMar>
          </w:tcPr>
          <w:p>
            <w:pPr>
              <w:spacing w:after="0" w:line="240"/>
            </w:pPr>
            <w:r>
              <w:rPr>
                <w:b w:val="false"/>
                <w:bCs w:val="false"/>
                <w:sz w:val="19"/>
                <w:szCs w:val="19"/>
              </w:rPr>
              <w:t xml:space="preserve">0</w:t>
            </w:r>
          </w:p>
        </w:tc>
      </w:tr>
      <w:tr>
        <w:tc>
          <w:tcPr>
            <w:tcW w:type="dxa" w:w="3838"/>
            <w:tcMar>
              <w:top w:type="dxa" w:w="60"/>
              <w:left w:type="dxa" w:w="100"/>
              <w:bottom w:type="dxa" w:w="60"/>
              <w:right w:type="dxa" w:w="100"/>
            </w:tcMar>
          </w:tcPr>
          <w:p>
            <w:pPr>
              <w:spacing w:after="0" w:line="240"/>
            </w:pPr>
            <w:r>
              <w:rPr>
                <w:b w:val="false"/>
                <w:bCs w:val="false"/>
                <w:sz w:val="19"/>
                <w:szCs w:val="19"/>
              </w:rPr>
              <w:t xml:space="preserve">MapReduce contre SQL de contrôle</w:t>
            </w:r>
          </w:p>
        </w:tc>
        <w:tc>
          <w:tcPr>
            <w:tcW w:type="dxa" w:w="1800"/>
            <w:tcMar>
              <w:top w:type="dxa" w:w="60"/>
              <w:left w:type="dxa" w:w="100"/>
              <w:bottom w:type="dxa" w:w="60"/>
              <w:right w:type="dxa" w:w="100"/>
            </w:tcMar>
          </w:tcPr>
          <w:p>
            <w:pPr>
              <w:spacing w:after="0" w:line="240"/>
            </w:pPr>
            <w:r>
              <w:rPr>
                <w:b w:val="false"/>
                <w:bCs w:val="false"/>
                <w:sz w:val="19"/>
                <w:szCs w:val="19"/>
              </w:rPr>
              <w:t xml:space="preserve">5</w:t>
            </w:r>
          </w:p>
        </w:tc>
        <w:tc>
          <w:tcPr>
            <w:tcW w:type="dxa" w:w="2000"/>
            <w:tcMar>
              <w:top w:type="dxa" w:w="60"/>
              <w:left w:type="dxa" w:w="100"/>
              <w:bottom w:type="dxa" w:w="60"/>
              <w:right w:type="dxa" w:w="100"/>
            </w:tcMar>
          </w:tcPr>
          <w:p>
            <w:pPr>
              <w:spacing w:after="0" w:line="240"/>
            </w:pPr>
            <w:r>
              <w:rPr>
                <w:b w:val="false"/>
                <w:bCs w:val="false"/>
                <w:sz w:val="19"/>
                <w:szCs w:val="19"/>
              </w:rPr>
              <w:t xml:space="preserve">5</w:t>
            </w:r>
          </w:p>
        </w:tc>
        <w:tc>
          <w:tcPr>
            <w:tcW w:type="dxa" w:w="2000"/>
            <w:tcMar>
              <w:top w:type="dxa" w:w="60"/>
              <w:left w:type="dxa" w:w="100"/>
              <w:bottom w:type="dxa" w:w="60"/>
              <w:right w:type="dxa" w:w="100"/>
            </w:tcMar>
          </w:tcPr>
          <w:p>
            <w:pPr>
              <w:spacing w:after="0" w:line="240"/>
            </w:pPr>
            <w:r>
              <w:rPr>
                <w:b w:val="false"/>
                <w:bCs w:val="false"/>
                <w:sz w:val="19"/>
                <w:szCs w:val="19"/>
              </w:rPr>
              <w:t xml:space="preserve">0</w:t>
            </w:r>
          </w:p>
        </w:tc>
      </w:tr>
    </w:tbl>
    <w:p>
      <w:pPr>
        <w:spacing w:after="0" w:line="120"/>
      </w:pPr>
      <w:r>
        <w:rPr>
          <w:sz w:val="10"/>
          <w:szCs w:val="10"/>
        </w:rPr>
        <w:t xml:space="preserve"/>
      </w:r>
    </w:p>
    <w:p>
      <w:pPr>
        <w:spacing w:after="120" w:line="276"/>
      </w:pPr>
      <w:r>
        <w:rPr>
          <w:sz w:val="22"/>
          <w:szCs w:val="22"/>
        </w:rPr>
        <w:t xml:space="preserve">La concordance est totale et l'écart rigoureusement nul, non pas seulement inférieur à la tolérance. Un quatrième contrôle a par ailleurs confirmé que la conversion au format ORC ne perd ni ligne ni franc : 500 000 lignes et 4 596 094 050 FCFA de part et d'autre.</w:t>
      </w:r>
    </w:p>
    <w:p>
      <w:pPr>
        <w:pStyle w:val="Heading1"/>
        <w:spacing w:after="200" w:before="360"/>
      </w:pPr>
      <w:r>
        <w:t xml:space="preserve">7. Performances mesurées</w:t>
      </w:r>
    </w:p>
    <w:p>
      <w:pPr>
        <w:pStyle w:val="Heading2"/>
        <w:spacing w:after="140" w:before="280"/>
      </w:pPr>
      <w:r>
        <w:t xml:space="preserve">7.1 Coût de stockage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4000"/>
      </w:tblGrid>
      <w:tr>
        <w:trPr>
          <w:tblHeader/>
        </w:trPr>
        <w:tc>
          <w:tcPr>
            <w:tcW w:type="dxa" w:w="5638"/>
            <w:shd w:fill="EDEDEA" w:val="clear"/>
            <w:tcMar>
              <w:top w:type="dxa" w:w="60"/>
              <w:left w:type="dxa" w:w="100"/>
              <w:bottom w:type="dxa" w:w="60"/>
              <w:right w:type="dxa" w:w="100"/>
            </w:tcMar>
          </w:tcPr>
          <w:p>
            <w:pPr>
              <w:spacing w:after="0" w:line="240"/>
            </w:pPr>
            <w:r>
              <w:rPr>
                <w:b/>
                <w:bCs/>
                <w:sz w:val="19"/>
                <w:szCs w:val="19"/>
              </w:rPr>
              <w:t xml:space="preserve">Représentation</w:t>
            </w:r>
          </w:p>
        </w:tc>
        <w:tc>
          <w:tcPr>
            <w:tcW w:type="dxa" w:w="4000"/>
            <w:shd w:fill="EDEDEA" w:val="clear"/>
            <w:tcMar>
              <w:top w:type="dxa" w:w="60"/>
              <w:left w:type="dxa" w:w="100"/>
              <w:bottom w:type="dxa" w:w="60"/>
              <w:right w:type="dxa" w:w="100"/>
            </w:tcMar>
          </w:tcPr>
          <w:p>
            <w:pPr>
              <w:spacing w:after="0" w:line="240"/>
            </w:pPr>
            <w:r>
              <w:rPr>
                <w:b/>
                <w:bCs/>
                <w:sz w:val="19"/>
                <w:szCs w:val="19"/>
              </w:rPr>
              <w:t xml:space="preserve">Taille dans HDFS</w:t>
            </w:r>
          </w:p>
        </w:tc>
      </w:tr>
      <w:tr>
        <w:tc>
          <w:tcPr>
            <w:tcW w:type="dxa" w:w="5638"/>
            <w:tcMar>
              <w:top w:type="dxa" w:w="60"/>
              <w:left w:type="dxa" w:w="100"/>
              <w:bottom w:type="dxa" w:w="60"/>
              <w:right w:type="dxa" w:w="100"/>
            </w:tcMar>
          </w:tcPr>
          <w:p>
            <w:pPr>
              <w:spacing w:after="0" w:line="240"/>
            </w:pPr>
            <w:r>
              <w:rPr>
                <w:b w:val="false"/>
                <w:bCs w:val="false"/>
                <w:sz w:val="19"/>
                <w:szCs w:val="19"/>
              </w:rPr>
              <w:t xml:space="preserve">TEXTFILE, CSV brut</w:t>
            </w:r>
          </w:p>
        </w:tc>
        <w:tc>
          <w:tcPr>
            <w:tcW w:type="dxa" w:w="4000"/>
            <w:tcMar>
              <w:top w:type="dxa" w:w="60"/>
              <w:left w:type="dxa" w:w="100"/>
              <w:bottom w:type="dxa" w:w="60"/>
              <w:right w:type="dxa" w:w="100"/>
            </w:tcMar>
          </w:tcPr>
          <w:p>
            <w:pPr>
              <w:spacing w:after="0" w:line="240"/>
            </w:pPr>
            <w:r>
              <w:rPr>
                <w:b w:val="false"/>
                <w:bCs w:val="false"/>
                <w:sz w:val="19"/>
                <w:szCs w:val="19"/>
              </w:rPr>
              <w:t xml:space="preserve">62,9 Mo</w:t>
            </w:r>
          </w:p>
        </w:tc>
      </w:tr>
      <w:tr>
        <w:tc>
          <w:tcPr>
            <w:tcW w:type="dxa" w:w="5638"/>
            <w:tcMar>
              <w:top w:type="dxa" w:w="60"/>
              <w:left w:type="dxa" w:w="100"/>
              <w:bottom w:type="dxa" w:w="60"/>
              <w:right w:type="dxa" w:w="100"/>
            </w:tcMar>
          </w:tcPr>
          <w:p>
            <w:pPr>
              <w:spacing w:after="0" w:line="240"/>
            </w:pPr>
            <w:r>
              <w:rPr>
                <w:b w:val="false"/>
                <w:bCs w:val="false"/>
                <w:sz w:val="19"/>
                <w:szCs w:val="19"/>
              </w:rPr>
              <w:t xml:space="preserve">ORC partitionné, compression ZLIB</w:t>
            </w:r>
          </w:p>
        </w:tc>
        <w:tc>
          <w:tcPr>
            <w:tcW w:type="dxa" w:w="4000"/>
            <w:tcMar>
              <w:top w:type="dxa" w:w="60"/>
              <w:left w:type="dxa" w:w="100"/>
              <w:bottom w:type="dxa" w:w="60"/>
              <w:right w:type="dxa" w:w="100"/>
            </w:tcMar>
          </w:tcPr>
          <w:p>
            <w:pPr>
              <w:spacing w:after="0" w:line="240"/>
            </w:pPr>
            <w:r>
              <w:rPr>
                <w:b w:val="false"/>
                <w:bCs w:val="false"/>
                <w:sz w:val="19"/>
                <w:szCs w:val="19"/>
              </w:rPr>
              <w:t xml:space="preserve">11,1 Mo</w:t>
            </w:r>
          </w:p>
        </w:tc>
      </w:tr>
    </w:tbl>
    <w:p>
      <w:pPr>
        <w:spacing w:after="0" w:line="120"/>
      </w:pPr>
      <w:r>
        <w:rPr>
          <w:sz w:val="10"/>
          <w:szCs w:val="10"/>
        </w:rPr>
        <w:t xml:space="preserve"/>
      </w:r>
    </w:p>
    <w:p>
      <w:pPr>
        <w:spacing w:after="120" w:line="276"/>
      </w:pPr>
      <w:r>
        <w:rPr>
          <w:sz w:val="22"/>
          <w:szCs w:val="22"/>
        </w:rPr>
        <w:t xml:space="preserve">À contenu identique, le format ORC divise l'occupation par 5,7. C'est le gain le plus sûr de ce format, car il ne dépend d'aucune requête.</w:t>
      </w:r>
    </w:p>
    <w:p>
      <w:pPr>
        <w:pStyle w:val="Heading2"/>
        <w:spacing w:after="140" w:before="280"/>
      </w:pPr>
      <w:r>
        <w:t xml:space="preserve">7.2 Durées d'exécution</w:t>
      </w:r>
    </w:p>
    <w:p>
      <w:pPr>
        <w:spacing w:after="120" w:line="276"/>
      </w:pPr>
      <w:r>
        <w:rPr>
          <w:sz w:val="22"/>
          <w:szCs w:val="22"/>
        </w:rPr>
        <w:t xml:space="preserve">Chaque cas est exécuté deux fois ; la meilleure durée est retenue, la première exécution payant le démarrage du job et le cache froid du système de fichiers.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838"/>
        <w:gridCol w:w="1800"/>
      </w:tblGrid>
      <w:tr>
        <w:trPr>
          <w:tblHeader/>
        </w:trPr>
        <w:tc>
          <w:tcPr>
            <w:tcW w:type="dxa" w:w="2400"/>
            <w:shd w:fill="EDEDEA" w:val="clear"/>
            <w:tcMar>
              <w:top w:type="dxa" w:w="60"/>
              <w:left w:type="dxa" w:w="100"/>
              <w:bottom w:type="dxa" w:w="60"/>
              <w:right w:type="dxa" w:w="100"/>
            </w:tcMar>
          </w:tcPr>
          <w:p>
            <w:pPr>
              <w:spacing w:after="0" w:line="240"/>
            </w:pPr>
            <w:r>
              <w:rPr>
                <w:b/>
                <w:bCs/>
                <w:sz w:val="19"/>
                <w:szCs w:val="19"/>
              </w:rPr>
              <w:t xml:space="preserve">Requête</w:t>
            </w:r>
          </w:p>
        </w:tc>
        <w:tc>
          <w:tcPr>
            <w:tcW w:type="dxa" w:w="2600"/>
            <w:shd w:fill="EDEDEA" w:val="clear"/>
            <w:tcMar>
              <w:top w:type="dxa" w:w="60"/>
              <w:left w:type="dxa" w:w="100"/>
              <w:bottom w:type="dxa" w:w="60"/>
              <w:right w:type="dxa" w:w="100"/>
            </w:tcMar>
          </w:tcPr>
          <w:p>
            <w:pPr>
              <w:spacing w:after="0" w:line="240"/>
            </w:pPr>
            <w:r>
              <w:rPr>
                <w:b/>
                <w:bCs/>
                <w:sz w:val="19"/>
                <w:szCs w:val="19"/>
              </w:rPr>
              <w:t xml:space="preserve">Table interrogée</w:t>
            </w:r>
          </w:p>
        </w:tc>
        <w:tc>
          <w:tcPr>
            <w:tcW w:type="dxa" w:w="2838"/>
            <w:shd w:fill="EDEDEA" w:val="clear"/>
            <w:tcMar>
              <w:top w:type="dxa" w:w="60"/>
              <w:left w:type="dxa" w:w="100"/>
              <w:bottom w:type="dxa" w:w="60"/>
              <w:right w:type="dxa" w:w="100"/>
            </w:tcMar>
          </w:tcPr>
          <w:p>
            <w:pPr>
              <w:spacing w:after="0" w:line="240"/>
            </w:pPr>
            <w:r>
              <w:rPr>
                <w:b/>
                <w:bCs/>
                <w:sz w:val="19"/>
                <w:szCs w:val="19"/>
              </w:rPr>
              <w:t xml:space="preserve">Format</w:t>
            </w:r>
          </w:p>
        </w:tc>
        <w:tc>
          <w:tcPr>
            <w:tcW w:type="dxa" w:w="1800"/>
            <w:shd w:fill="EDEDEA" w:val="clear"/>
            <w:tcMar>
              <w:top w:type="dxa" w:w="60"/>
              <w:left w:type="dxa" w:w="100"/>
              <w:bottom w:type="dxa" w:w="60"/>
              <w:right w:type="dxa" w:w="100"/>
            </w:tcMar>
          </w:tcPr>
          <w:p>
            <w:pPr>
              <w:spacing w:after="0" w:line="240"/>
            </w:pPr>
            <w:r>
              <w:rPr>
                <w:b/>
                <w:bCs/>
                <w:sz w:val="19"/>
                <w:szCs w:val="19"/>
              </w:rPr>
              <w:t xml:space="preserve">Durée</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 par ville</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w:t>
            </w:r>
          </w:p>
        </w:tc>
        <w:tc>
          <w:tcPr>
            <w:tcW w:type="dxa" w:w="2838"/>
            <w:tcMar>
              <w:top w:type="dxa" w:w="60"/>
              <w:left w:type="dxa" w:w="100"/>
              <w:bottom w:type="dxa" w:w="60"/>
              <w:right w:type="dxa" w:w="100"/>
            </w:tcMar>
          </w:tcPr>
          <w:p>
            <w:pPr>
              <w:spacing w:after="0" w:line="240"/>
            </w:pPr>
            <w:r>
              <w:rPr>
                <w:b w:val="false"/>
                <w:bCs w:val="false"/>
                <w:sz w:val="19"/>
                <w:szCs w:val="19"/>
              </w:rPr>
              <w:t xml:space="preserve">TEXTFILE</w:t>
            </w:r>
          </w:p>
        </w:tc>
        <w:tc>
          <w:tcPr>
            <w:tcW w:type="dxa" w:w="1800"/>
            <w:tcMar>
              <w:top w:type="dxa" w:w="60"/>
              <w:left w:type="dxa" w:w="100"/>
              <w:bottom w:type="dxa" w:w="60"/>
              <w:right w:type="dxa" w:w="100"/>
            </w:tcMar>
          </w:tcPr>
          <w:p>
            <w:pPr>
              <w:spacing w:after="0" w:line="240"/>
            </w:pPr>
            <w:r>
              <w:rPr>
                <w:b w:val="false"/>
                <w:bCs w:val="false"/>
                <w:sz w:val="19"/>
                <w:szCs w:val="19"/>
              </w:rPr>
              <w:t xml:space="preserve">2,61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 par ville</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transactions_part</w:t>
            </w:r>
          </w:p>
        </w:tc>
        <w:tc>
          <w:tcPr>
            <w:tcW w:type="dxa" w:w="2838"/>
            <w:tcMar>
              <w:top w:type="dxa" w:w="60"/>
              <w:left w:type="dxa" w:w="100"/>
              <w:bottom w:type="dxa" w:w="60"/>
              <w:right w:type="dxa" w:w="100"/>
            </w:tcMar>
          </w:tcPr>
          <w:p>
            <w:pPr>
              <w:spacing w:after="0" w:line="240"/>
            </w:pPr>
            <w:r>
              <w:rPr>
                <w:b w:val="false"/>
                <w:bCs w:val="false"/>
                <w:sz w:val="19"/>
                <w:szCs w:val="19"/>
              </w:rPr>
              <w:t xml:space="preserve">ORC, 24 partitions lues</w:t>
            </w:r>
          </w:p>
        </w:tc>
        <w:tc>
          <w:tcPr>
            <w:tcW w:type="dxa" w:w="1800"/>
            <w:tcMar>
              <w:top w:type="dxa" w:w="60"/>
              <w:left w:type="dxa" w:w="100"/>
              <w:bottom w:type="dxa" w:w="60"/>
              <w:right w:type="dxa" w:w="100"/>
            </w:tcMar>
          </w:tcPr>
          <w:p>
            <w:pPr>
              <w:spacing w:after="0" w:line="240"/>
            </w:pPr>
            <w:r>
              <w:rPr>
                <w:b w:val="false"/>
                <w:bCs w:val="false"/>
                <w:sz w:val="19"/>
                <w:szCs w:val="19"/>
              </w:rPr>
              <w:t xml:space="preserve">2,79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 par ville</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transactions_big</w:t>
            </w:r>
          </w:p>
        </w:tc>
        <w:tc>
          <w:tcPr>
            <w:tcW w:type="dxa" w:w="2838"/>
            <w:tcMar>
              <w:top w:type="dxa" w:w="60"/>
              <w:left w:type="dxa" w:w="100"/>
              <w:bottom w:type="dxa" w:w="60"/>
              <w:right w:type="dxa" w:w="100"/>
            </w:tcMar>
          </w:tcPr>
          <w:p>
            <w:pPr>
              <w:spacing w:after="0" w:line="240"/>
            </w:pPr>
            <w:r>
              <w:rPr>
                <w:b w:val="false"/>
                <w:bCs w:val="false"/>
                <w:sz w:val="19"/>
                <w:szCs w:val="19"/>
              </w:rPr>
              <w:t xml:space="preserve">TEXTFILE gzip, 5 M lignes</w:t>
            </w:r>
          </w:p>
        </w:tc>
        <w:tc>
          <w:tcPr>
            <w:tcW w:type="dxa" w:w="1800"/>
            <w:tcMar>
              <w:top w:type="dxa" w:w="60"/>
              <w:left w:type="dxa" w:w="100"/>
              <w:bottom w:type="dxa" w:w="60"/>
              <w:right w:type="dxa" w:w="100"/>
            </w:tcMar>
          </w:tcPr>
          <w:p>
            <w:pPr>
              <w:spacing w:after="0" w:line="240"/>
            </w:pPr>
            <w:r>
              <w:rPr>
                <w:b w:val="false"/>
                <w:bCs w:val="false"/>
                <w:sz w:val="19"/>
                <w:szCs w:val="19"/>
              </w:rPr>
              <w:t xml:space="preserve">13,58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 de mars 2025</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w:t>
            </w:r>
          </w:p>
        </w:tc>
        <w:tc>
          <w:tcPr>
            <w:tcW w:type="dxa" w:w="2838"/>
            <w:tcMar>
              <w:top w:type="dxa" w:w="60"/>
              <w:left w:type="dxa" w:w="100"/>
              <w:bottom w:type="dxa" w:w="60"/>
              <w:right w:type="dxa" w:w="100"/>
            </w:tcMar>
          </w:tcPr>
          <w:p>
            <w:pPr>
              <w:spacing w:after="0" w:line="240"/>
            </w:pPr>
            <w:r>
              <w:rPr>
                <w:b w:val="false"/>
                <w:bCs w:val="false"/>
                <w:sz w:val="19"/>
                <w:szCs w:val="19"/>
              </w:rPr>
              <w:t xml:space="preserve">TEXTFILE, balayage complet</w:t>
            </w:r>
          </w:p>
        </w:tc>
        <w:tc>
          <w:tcPr>
            <w:tcW w:type="dxa" w:w="1800"/>
            <w:tcMar>
              <w:top w:type="dxa" w:w="60"/>
              <w:left w:type="dxa" w:w="100"/>
              <w:bottom w:type="dxa" w:w="60"/>
              <w:right w:type="dxa" w:w="100"/>
            </w:tcMar>
          </w:tcPr>
          <w:p>
            <w:pPr>
              <w:spacing w:after="0" w:line="240"/>
            </w:pPr>
            <w:r>
              <w:rPr>
                <w:b w:val="false"/>
                <w:bCs w:val="false"/>
                <w:sz w:val="19"/>
                <w:szCs w:val="19"/>
              </w:rPr>
              <w:t xml:space="preserve">2,57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CA de mars 2025</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transactions_part</w:t>
            </w:r>
          </w:p>
        </w:tc>
        <w:tc>
          <w:tcPr>
            <w:tcW w:type="dxa" w:w="2838"/>
            <w:tcMar>
              <w:top w:type="dxa" w:w="60"/>
              <w:left w:type="dxa" w:w="100"/>
              <w:bottom w:type="dxa" w:w="60"/>
              <w:right w:type="dxa" w:w="100"/>
            </w:tcMar>
          </w:tcPr>
          <w:p>
            <w:pPr>
              <w:spacing w:after="0" w:line="240"/>
            </w:pPr>
            <w:r>
              <w:rPr>
                <w:b w:val="false"/>
                <w:bCs w:val="false"/>
                <w:sz w:val="19"/>
                <w:szCs w:val="19"/>
              </w:rPr>
              <w:t xml:space="preserve">ORC, 1 partition lue</w:t>
            </w:r>
          </w:p>
        </w:tc>
        <w:tc>
          <w:tcPr>
            <w:tcW w:type="dxa" w:w="1800"/>
            <w:tcMar>
              <w:top w:type="dxa" w:w="60"/>
              <w:left w:type="dxa" w:w="100"/>
              <w:bottom w:type="dxa" w:w="60"/>
              <w:right w:type="dxa" w:w="100"/>
            </w:tcMar>
          </w:tcPr>
          <w:p>
            <w:pPr>
              <w:spacing w:after="0" w:line="240"/>
            </w:pPr>
            <w:r>
              <w:rPr>
                <w:b w:val="false"/>
                <w:bCs w:val="false"/>
                <w:sz w:val="19"/>
                <w:szCs w:val="19"/>
              </w:rPr>
              <w:t xml:space="preserve">1,62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Comptage des lignes</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w:t>
            </w:r>
          </w:p>
        </w:tc>
        <w:tc>
          <w:tcPr>
            <w:tcW w:type="dxa" w:w="2838"/>
            <w:tcMar>
              <w:top w:type="dxa" w:w="60"/>
              <w:left w:type="dxa" w:w="100"/>
              <w:bottom w:type="dxa" w:w="60"/>
              <w:right w:type="dxa" w:w="100"/>
            </w:tcMar>
          </w:tcPr>
          <w:p>
            <w:pPr>
              <w:spacing w:after="0" w:line="240"/>
            </w:pPr>
            <w:r>
              <w:rPr>
                <w:b w:val="false"/>
                <w:bCs w:val="false"/>
                <w:sz w:val="19"/>
                <w:szCs w:val="19"/>
              </w:rPr>
              <w:t xml:space="preserve">TEXTFILE</w:t>
            </w:r>
          </w:p>
        </w:tc>
        <w:tc>
          <w:tcPr>
            <w:tcW w:type="dxa" w:w="1800"/>
            <w:tcMar>
              <w:top w:type="dxa" w:w="60"/>
              <w:left w:type="dxa" w:w="100"/>
              <w:bottom w:type="dxa" w:w="60"/>
              <w:right w:type="dxa" w:w="100"/>
            </w:tcMar>
          </w:tcPr>
          <w:p>
            <w:pPr>
              <w:spacing w:after="0" w:line="240"/>
            </w:pPr>
            <w:r>
              <w:rPr>
                <w:b w:val="false"/>
                <w:bCs w:val="false"/>
                <w:sz w:val="19"/>
                <w:szCs w:val="19"/>
              </w:rPr>
              <w:t xml:space="preserve">0,15 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Comptage des lignes</w:t>
            </w:r>
          </w:p>
        </w:tc>
        <w:tc>
          <w:tcPr>
            <w:tcW w:type="dxa" w:w="2600"/>
            <w:tcMar>
              <w:top w:type="dxa" w:w="60"/>
              <w:left w:type="dxa" w:w="100"/>
              <w:bottom w:type="dxa" w:w="60"/>
              <w:right w:type="dxa" w:w="100"/>
            </w:tcMar>
          </w:tcPr>
          <w:p>
            <w:pPr>
              <w:spacing w:after="0" w:line="240"/>
            </w:pPr>
            <w:r>
              <w:rPr>
                <w:b w:val="false"/>
                <w:bCs w:val="false"/>
                <w:sz w:val="19"/>
                <w:szCs w:val="19"/>
              </w:rPr>
              <w:t xml:space="preserve">transactions_big</w:t>
            </w:r>
          </w:p>
        </w:tc>
        <w:tc>
          <w:tcPr>
            <w:tcW w:type="dxa" w:w="2838"/>
            <w:tcMar>
              <w:top w:type="dxa" w:w="60"/>
              <w:left w:type="dxa" w:w="100"/>
              <w:bottom w:type="dxa" w:w="60"/>
              <w:right w:type="dxa" w:w="100"/>
            </w:tcMar>
          </w:tcPr>
          <w:p>
            <w:pPr>
              <w:spacing w:after="0" w:line="240"/>
            </w:pPr>
            <w:r>
              <w:rPr>
                <w:b w:val="false"/>
                <w:bCs w:val="false"/>
                <w:sz w:val="19"/>
                <w:szCs w:val="19"/>
              </w:rPr>
              <w:t xml:space="preserve">TEXTFILE gzip, 5 M lignes</w:t>
            </w:r>
          </w:p>
        </w:tc>
        <w:tc>
          <w:tcPr>
            <w:tcW w:type="dxa" w:w="1800"/>
            <w:tcMar>
              <w:top w:type="dxa" w:w="60"/>
              <w:left w:type="dxa" w:w="100"/>
              <w:bottom w:type="dxa" w:w="60"/>
              <w:right w:type="dxa" w:w="100"/>
            </w:tcMar>
          </w:tcPr>
          <w:p>
            <w:pPr>
              <w:spacing w:after="0" w:line="240"/>
            </w:pPr>
            <w:r>
              <w:rPr>
                <w:b w:val="false"/>
                <w:bCs w:val="false"/>
                <w:sz w:val="19"/>
                <w:szCs w:val="19"/>
              </w:rPr>
              <w:t xml:space="preserve">8,54 s</w:t>
            </w:r>
          </w:p>
        </w:tc>
      </w:tr>
    </w:tbl>
    <w:p>
      <w:pPr>
        <w:spacing w:after="0" w:line="120"/>
      </w:pPr>
      <w:r>
        <w:rPr>
          <w:sz w:val="10"/>
          <w:szCs w:val="10"/>
        </w:rPr>
        <w:t xml:space="preserve"/>
      </w:r>
    </w:p>
    <w:p>
      <w:pPr>
        <w:spacing w:after="60" w:before="160"/>
        <w:jc w:val="center"/>
      </w:pPr>
      <w:r>
        <w:drawing>
          <wp:inline distT="0" distB="0" distL="0" distR="0">
            <wp:extent cx="4953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09875"/>
                    </a:xfrm>
                    <a:prstGeom prst="rect">
                      <a:avLst/>
                    </a:prstGeom>
                  </pic:spPr>
                </pic:pic>
              </a:graphicData>
            </a:graphic>
          </wp:inline>
        </w:drawing>
      </w:r>
    </w:p>
    <w:p>
      <w:pPr>
        <w:spacing w:after="200"/>
        <w:jc w:val="center"/>
      </w:pPr>
      <w:r>
        <w:rPr>
          <w:i/>
          <w:iCs/>
          <w:color w:val="52514E"/>
          <w:sz w:val="18"/>
          <w:szCs w:val="18"/>
        </w:rPr>
        <w:t xml:space="preserve">Figure 7 — durée des requêtes selon la représentation de stockage</w:t>
      </w:r>
    </w:p>
    <w:p>
      <w:pPr>
        <w:pStyle w:val="Heading2"/>
        <w:spacing w:after="140" w:before="280"/>
      </w:pPr>
      <w:r>
        <w:t xml:space="preserve">7.3 Démonstration du partition pruning</w:t>
      </w:r>
    </w:p>
    <w:p>
      <w:pPr>
        <w:spacing w:after="120" w:line="276"/>
      </w:pPr>
      <w:r>
        <w:rPr>
          <w:sz w:val="22"/>
          <w:szCs w:val="22"/>
        </w:rPr>
        <w:t xml:space="preserve">Le partitionnement ne vaut que s'il est effectivement exploité. Nous l'avons vérifié non par le seul chronomètre — qui peut refléter un cache — mais par le plan d'exécution, que Hive produit sur demande au moyen du mot-clé EXPLAIN.</w:t>
      </w:r>
    </w:p>
    <w:p>
      <w:pPr>
        <w:spacing w:after="120" w:line="276"/>
      </w:pPr>
      <w:r>
        <w:rPr>
          <w:sz w:val="22"/>
          <w:szCs w:val="22"/>
        </w:rPr>
        <w:t xml:space="preserve">La même question — le chiffre d'affaires de mars 2025 — est posée de deux manières. Sur la table partitionnée, le filtre porte sur les colonnes de partition ; sur la table TEXTFILE, il porte sur une sous-chaîne de l'horodatage.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3000"/>
        <w:gridCol w:w="1800"/>
      </w:tblGrid>
      <w:tr>
        <w:trPr>
          <w:tblHeader/>
        </w:trPr>
        <w:tc>
          <w:tcPr>
            <w:tcW w:type="dxa" w:w="4838"/>
            <w:shd w:fill="EDEDEA" w:val="clear"/>
            <w:tcMar>
              <w:top w:type="dxa" w:w="60"/>
              <w:left w:type="dxa" w:w="100"/>
              <w:bottom w:type="dxa" w:w="60"/>
              <w:right w:type="dxa" w:w="100"/>
            </w:tcMar>
          </w:tcPr>
          <w:p>
            <w:pPr>
              <w:spacing w:after="0" w:line="240"/>
            </w:pPr>
            <w:r>
              <w:rPr>
                <w:b/>
                <w:bCs/>
                <w:sz w:val="19"/>
                <w:szCs w:val="19"/>
              </w:rPr>
              <w:t xml:space="preserve">Requête</w:t>
            </w:r>
          </w:p>
        </w:tc>
        <w:tc>
          <w:tcPr>
            <w:tcW w:type="dxa" w:w="3000"/>
            <w:shd w:fill="EDEDEA" w:val="clear"/>
            <w:tcMar>
              <w:top w:type="dxa" w:w="60"/>
              <w:left w:type="dxa" w:w="100"/>
              <w:bottom w:type="dxa" w:w="60"/>
              <w:right w:type="dxa" w:w="100"/>
            </w:tcMar>
          </w:tcPr>
          <w:p>
            <w:pPr>
              <w:spacing w:after="0" w:line="240"/>
            </w:pPr>
            <w:r>
              <w:rPr>
                <w:b/>
                <w:bCs/>
                <w:sz w:val="19"/>
                <w:szCs w:val="19"/>
              </w:rPr>
              <w:t xml:space="preserve">Lignes annoncées par le plan</w:t>
            </w:r>
          </w:p>
        </w:tc>
        <w:tc>
          <w:tcPr>
            <w:tcW w:type="dxa" w:w="1800"/>
            <w:shd w:fill="EDEDEA" w:val="clear"/>
            <w:tcMar>
              <w:top w:type="dxa" w:w="60"/>
              <w:left w:type="dxa" w:w="100"/>
              <w:bottom w:type="dxa" w:w="60"/>
              <w:right w:type="dxa" w:w="100"/>
            </w:tcMar>
          </w:tcPr>
          <w:p>
            <w:pPr>
              <w:spacing w:after="0" w:line="240"/>
            </w:pPr>
            <w:r>
              <w:rPr>
                <w:b/>
                <w:bCs/>
                <w:sz w:val="19"/>
                <w:szCs w:val="19"/>
              </w:rPr>
              <w:t xml:space="preserve">Durée</w:t>
            </w:r>
          </w:p>
        </w:tc>
      </w:tr>
      <w:tr>
        <w:tc>
          <w:tcPr>
            <w:tcW w:type="dxa" w:w="4838"/>
            <w:tcMar>
              <w:top w:type="dxa" w:w="60"/>
              <w:left w:type="dxa" w:w="100"/>
              <w:bottom w:type="dxa" w:w="60"/>
              <w:right w:type="dxa" w:w="100"/>
            </w:tcMar>
          </w:tcPr>
          <w:p>
            <w:pPr>
              <w:spacing w:after="0" w:line="240"/>
            </w:pPr>
            <w:r>
              <w:rPr>
                <w:b w:val="false"/>
                <w:bCs w:val="false"/>
                <w:sz w:val="19"/>
                <w:szCs w:val="19"/>
              </w:rPr>
              <w:t xml:space="preserve">ORC partitionné, filtre sur annee et mois</w:t>
            </w:r>
          </w:p>
        </w:tc>
        <w:tc>
          <w:tcPr>
            <w:tcW w:type="dxa" w:w="3000"/>
            <w:tcMar>
              <w:top w:type="dxa" w:w="60"/>
              <w:left w:type="dxa" w:w="100"/>
              <w:bottom w:type="dxa" w:w="60"/>
              <w:right w:type="dxa" w:w="100"/>
            </w:tcMar>
          </w:tcPr>
          <w:p>
            <w:pPr>
              <w:spacing w:after="0" w:line="240"/>
            </w:pPr>
            <w:r>
              <w:rPr>
                <w:b w:val="false"/>
                <w:bCs w:val="false"/>
                <w:sz w:val="19"/>
                <w:szCs w:val="19"/>
              </w:rPr>
              <w:t xml:space="preserve">21 127</w:t>
            </w:r>
          </w:p>
        </w:tc>
        <w:tc>
          <w:tcPr>
            <w:tcW w:type="dxa" w:w="1800"/>
            <w:tcMar>
              <w:top w:type="dxa" w:w="60"/>
              <w:left w:type="dxa" w:w="100"/>
              <w:bottom w:type="dxa" w:w="60"/>
              <w:right w:type="dxa" w:w="100"/>
            </w:tcMar>
          </w:tcPr>
          <w:p>
            <w:pPr>
              <w:spacing w:after="0" w:line="240"/>
            </w:pPr>
            <w:r>
              <w:rPr>
                <w:b w:val="false"/>
                <w:bCs w:val="false"/>
                <w:sz w:val="19"/>
                <w:szCs w:val="19"/>
              </w:rPr>
              <w:t xml:space="preserve">1,62 s</w:t>
            </w:r>
          </w:p>
        </w:tc>
      </w:tr>
      <w:tr>
        <w:tc>
          <w:tcPr>
            <w:tcW w:type="dxa" w:w="4838"/>
            <w:tcMar>
              <w:top w:type="dxa" w:w="60"/>
              <w:left w:type="dxa" w:w="100"/>
              <w:bottom w:type="dxa" w:w="60"/>
              <w:right w:type="dxa" w:w="100"/>
            </w:tcMar>
          </w:tcPr>
          <w:p>
            <w:pPr>
              <w:spacing w:after="0" w:line="240"/>
            </w:pPr>
            <w:r>
              <w:rPr>
                <w:b w:val="false"/>
                <w:bCs w:val="false"/>
                <w:sz w:val="19"/>
                <w:szCs w:val="19"/>
              </w:rPr>
              <w:t xml:space="preserve">TEXTFILE, filtre sur une sous-chaîne</w:t>
            </w:r>
          </w:p>
        </w:tc>
        <w:tc>
          <w:tcPr>
            <w:tcW w:type="dxa" w:w="3000"/>
            <w:tcMar>
              <w:top w:type="dxa" w:w="60"/>
              <w:left w:type="dxa" w:w="100"/>
              <w:bottom w:type="dxa" w:w="60"/>
              <w:right w:type="dxa" w:w="100"/>
            </w:tcMar>
          </w:tcPr>
          <w:p>
            <w:pPr>
              <w:spacing w:after="0" w:line="240"/>
            </w:pPr>
            <w:r>
              <w:rPr>
                <w:b w:val="false"/>
                <w:bCs w:val="false"/>
                <w:sz w:val="19"/>
                <w:szCs w:val="19"/>
              </w:rPr>
              <w:t xml:space="preserve">250 000</w:t>
            </w:r>
          </w:p>
        </w:tc>
        <w:tc>
          <w:tcPr>
            <w:tcW w:type="dxa" w:w="1800"/>
            <w:tcMar>
              <w:top w:type="dxa" w:w="60"/>
              <w:left w:type="dxa" w:w="100"/>
              <w:bottom w:type="dxa" w:w="60"/>
              <w:right w:type="dxa" w:w="100"/>
            </w:tcMar>
          </w:tcPr>
          <w:p>
            <w:pPr>
              <w:spacing w:after="0" w:line="240"/>
            </w:pPr>
            <w:r>
              <w:rPr>
                <w:b w:val="false"/>
                <w:bCs w:val="false"/>
                <w:sz w:val="19"/>
                <w:szCs w:val="19"/>
              </w:rPr>
              <w:t xml:space="preserve">2,57 s</w:t>
            </w:r>
          </w:p>
        </w:tc>
      </w:tr>
    </w:tbl>
    <w:p>
      <w:pPr>
        <w:spacing w:after="0" w:line="120"/>
      </w:pPr>
      <w:r>
        <w:rPr>
          <w:sz w:val="10"/>
          <w:szCs w:val="10"/>
        </w:rPr>
        <w:t xml:space="preserve"/>
      </w:r>
    </w:p>
    <w:p>
      <w:pPr>
        <w:spacing w:after="120" w:line="276"/>
      </w:pPr>
      <w:r>
        <w:rPr>
          <w:sz w:val="22"/>
          <w:szCs w:val="22"/>
        </w:rPr>
        <w:t xml:space="preserve">Le nombre de 21 127 correspond exactement au nombre de transactions de mars 2025 : Hive n'ouvre qu'un seul des vingt-quatre répertoires. Les deux requêtes rendent le même résultat, 194 982 547,5 FCFA.</w:t>
      </w:r>
    </w:p>
    <w:p>
      <w:pPr>
        <w:pStyle w:val="Heading2"/>
        <w:spacing w:after="140" w:before="280"/>
      </w:pPr>
      <w:r>
        <w:t xml:space="preserve">7.4 Lecture critique de ces mesures</w:t>
      </w:r>
    </w:p>
    <w:p>
      <w:pPr>
        <w:spacing w:after="120" w:line="276"/>
      </w:pPr>
      <w:r>
        <w:rPr>
          <w:sz w:val="22"/>
          <w:szCs w:val="22"/>
        </w:rPr>
        <w:t xml:space="preserve">Le tableau de la section 7.2 contient un résultat contre-intuitif qu'il serait malhonnête de passer sous silence : sur une requête qui balaie l'ensemble des données, l'ORC partitionné n'est pas plus rapide que le CSV — il est même légèrement plus lent, 2,79 s contre 2,61 s.</w:t>
      </w:r>
    </w:p>
    <w:p>
      <w:pPr>
        <w:spacing w:after="120" w:line="276"/>
      </w:pPr>
      <w:r>
        <w:rPr>
          <w:sz w:val="22"/>
          <w:szCs w:val="22"/>
        </w:rPr>
        <w:t xml:space="preserve">L'explication tient à la structure même du partitionnement : la requête doit ouvrir vingt-quatre fichiers au lieu d'un seul, et ce surcoût d'ouverture annule le bénéfice de la décompression colonnaire. Le partitionnement ne paie que lorsque la requête filtre sur la clé de partition, auquel cas le gain atteint 37 %.</w:t>
      </w:r>
    </w:p>
    <w:p>
      <w:pPr>
        <w:spacing w:after="120" w:line="276"/>
      </w:pPr>
      <w:r>
        <w:rPr>
          <w:sz w:val="22"/>
          <w:szCs w:val="22"/>
        </w:rPr>
        <w:t xml:space="preserve">Affirmer sans nuance que le format ORC accélère les requêtes serait donc inexact. Ses bénéfices certains sont le stockage et le filtrage ; l'accélération générale n'en fait pas partie.</w:t>
      </w:r>
    </w:p>
    <w:p>
      <w:pPr>
        <w:pStyle w:val="Heading2"/>
        <w:spacing w:after="140" w:before="280"/>
      </w:pPr>
      <w:r>
        <w:t xml:space="preserve">7.5 Le cas du fichier compressé</w:t>
      </w:r>
    </w:p>
    <w:p>
      <w:pPr>
        <w:spacing w:after="120" w:line="276"/>
      </w:pPr>
      <w:r>
        <w:rPr>
          <w:sz w:val="22"/>
          <w:szCs w:val="22"/>
        </w:rPr>
        <w:t xml:space="preserve">Le volume big est fourni au format gzip. Hive le lit sans configuration particulière, mais un fichier gzip n'est pas splittable : il est impossible de commencer la décompression au milieu du fichier. Les 145 Mo occupent bien deux blocs HDFS, mais un seul mapper traite l'intégralité du fichier pendant que le reste du cluster demeure inoccupé.</w:t>
      </w:r>
    </w:p>
    <w:p>
      <w:pPr>
        <w:spacing w:after="120" w:line="276"/>
      </w:pPr>
      <w:r>
        <w:rPr>
          <w:sz w:val="22"/>
          <w:szCs w:val="22"/>
        </w:rPr>
        <w:t xml:space="preserve">C'est ce qui explique les 13,58 secondes mesurées sur le jeu big contre 2,61 sur le medium, pour un volume dix fois supérieur seulement. C'est également l'argument décisif en faveur d'ORC pour la couche processed : non seulement il compresse davantage, mais il demeure découpable.</w:t>
      </w:r>
    </w:p>
    <w:p>
      <w:pPr>
        <w:pStyle w:val="Heading1"/>
        <w:spacing w:after="200" w:before="360"/>
      </w:pPr>
      <w:r>
        <w:t xml:space="preserve">8. Analyse critique des résultats</w:t>
      </w:r>
    </w:p>
    <w:p>
      <w:pPr>
        <w:spacing w:after="120" w:line="276"/>
      </w:pPr>
      <w:r>
        <w:rPr>
          <w:sz w:val="22"/>
          <w:szCs w:val="22"/>
        </w:rPr>
        <w:t xml:space="preserve">Le jeu de données est synthétique : il a été produit par un programme, generateur_donnees.py, que nous avons lu. Trois de ses propriétés invalident des conclusions que l'on serait spontanément tenté de tirer.</w:t>
      </w:r>
    </w:p>
    <w:p>
      <w:pPr>
        <w:pStyle w:val="Heading2"/>
        <w:spacing w:after="140" w:before="280"/>
      </w:pPr>
      <w:r>
        <w:t xml:space="preserve">8.1 Le classement des produits mesure les prix</w:t>
      </w:r>
    </w:p>
    <w:p>
      <w:pPr>
        <w:spacing w:after="120" w:line="276"/>
      </w:pPr>
      <w:r>
        <w:rPr>
          <w:sz w:val="22"/>
          <w:szCs w:val="22"/>
        </w:rPr>
        <w:t xml:space="preserve">Le générateur tire le produit uniformément parmi vingt et une références. Les quantités vendues sont en conséquence quasi identiques — de 75 158 à 76 416, soit 1,7 % d'écart.</w:t>
      </w:r>
    </w:p>
    <w:p>
      <w:pPr>
        <w:spacing w:after="120" w:line="276"/>
      </w:pPr>
      <w:r>
        <w:rPr>
          <w:sz w:val="22"/>
          <w:szCs w:val="22"/>
        </w:rPr>
        <w:t xml:space="preserve">Si l'Électronique domine le chiffre d'affaires, c'est donc uniquement parce qu'un Powerbank coûte 12 000 FCFA et un stylo 250. Conclure à une préférence des clients pour l'électronique serait une erreur d'interprétation ; un classement par quantité vendue relèverait, lui, du pur bruit statistique.</w:t>
      </w:r>
    </w:p>
    <w:p>
      <w:pPr>
        <w:pStyle w:val="Heading2"/>
        <w:spacing w:after="140" w:before="280"/>
      </w:pPr>
      <w:r>
        <w:t xml:space="preserve">8.2 Les promotions ne peuvent pas augmenter les quantités</w:t>
      </w:r>
    </w:p>
    <w:p>
      <w:pPr>
        <w:spacing w:after="120" w:line="276"/>
      </w:pPr>
      <w:r>
        <w:rPr>
          <w:sz w:val="22"/>
          <w:szCs w:val="22"/>
        </w:rPr>
        <w:t xml:space="preserve">Dans le générateur, la quantité suit une loi de Poisson tirée indépendamment de l'indicateur de promotion. La quantité moyenne mesurée est de 3,201 sans promotion contre 3,199 avec, soit 0,06 % d'écart.</w:t>
      </w:r>
    </w:p>
    <w:p>
      <w:pPr>
        <w:spacing w:after="120" w:line="276"/>
      </w:pPr>
      <w:r>
        <w:rPr>
          <w:sz w:val="22"/>
          <w:szCs w:val="22"/>
        </w:rPr>
        <w:t xml:space="preserve">Il ne s'agit pas d'un résultat commercial mais de la vérification que le générateur se comporte comme annoncé. Le jeu ne contient aucune élasticité entre le prix et la demande, et aucune conclusion sur l'efficacité des promotions ne peut en être tirée.</w:t>
      </w:r>
    </w:p>
    <w:p>
      <w:pPr>
        <w:pStyle w:val="Heading2"/>
        <w:spacing w:after="140" w:before="280"/>
      </w:pPr>
      <w:r>
        <w:t xml:space="preserve">8.3 Il n'existe aucune saisonnalité</w:t>
      </w:r>
    </w:p>
    <w:p>
      <w:pPr>
        <w:spacing w:after="120" w:line="276"/>
      </w:pPr>
      <w:r>
        <w:rPr>
          <w:sz w:val="22"/>
          <w:szCs w:val="22"/>
        </w:rPr>
        <w:t xml:space="preserve">Le chiffre d'affaires varie de 12 % entre le meilleur et le pire mois, ce qui évoque fortement un effet de saison. En rapportant les transactions au nombre de jours de chaque mois, cette variation s'effondre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shd w:fill="EDEDEA" w:val="clear"/>
            <w:tcMar>
              <w:top w:type="dxa" w:w="60"/>
              <w:left w:type="dxa" w:w="100"/>
              <w:bottom w:type="dxa" w:w="60"/>
              <w:right w:type="dxa" w:w="100"/>
            </w:tcMar>
          </w:tcPr>
          <w:p>
            <w:pPr>
              <w:spacing w:after="0" w:line="240"/>
            </w:pPr>
            <w:r>
              <w:rPr>
                <w:b/>
                <w:bCs/>
                <w:sz w:val="19"/>
                <w:szCs w:val="19"/>
              </w:rPr>
              <w:t xml:space="preserve">Mesure</w:t>
            </w:r>
          </w:p>
        </w:tc>
        <w:tc>
          <w:tcPr>
            <w:tcW w:type="dxa" w:w="3000"/>
            <w:shd w:fill="EDEDEA" w:val="clear"/>
            <w:tcMar>
              <w:top w:type="dxa" w:w="60"/>
              <w:left w:type="dxa" w:w="100"/>
              <w:bottom w:type="dxa" w:w="60"/>
              <w:right w:type="dxa" w:w="100"/>
            </w:tcMar>
          </w:tcPr>
          <w:p>
            <w:pPr>
              <w:spacing w:after="0" w:line="240"/>
            </w:pPr>
            <w:r>
              <w:rPr>
                <w:b/>
                <w:bCs/>
                <w:sz w:val="19"/>
                <w:szCs w:val="19"/>
              </w:rPr>
              <w:t xml:space="preserve">Amplitude</w:t>
            </w:r>
          </w:p>
        </w:tc>
      </w:tr>
      <w:tr>
        <w:tc>
          <w:tcPr>
            <w:tcW w:type="dxa" w:w="6638"/>
            <w:tcMar>
              <w:top w:type="dxa" w:w="60"/>
              <w:left w:type="dxa" w:w="100"/>
              <w:bottom w:type="dxa" w:w="60"/>
              <w:right w:type="dxa" w:w="100"/>
            </w:tcMar>
          </w:tcPr>
          <w:p>
            <w:pPr>
              <w:spacing w:after="0" w:line="240"/>
            </w:pPr>
            <w:r>
              <w:rPr>
                <w:b w:val="false"/>
                <w:bCs w:val="false"/>
                <w:sz w:val="19"/>
                <w:szCs w:val="19"/>
              </w:rPr>
              <w:t xml:space="preserve">Transactions par mois</w:t>
            </w:r>
          </w:p>
        </w:tc>
        <w:tc>
          <w:tcPr>
            <w:tcW w:type="dxa" w:w="3000"/>
            <w:tcMar>
              <w:top w:type="dxa" w:w="60"/>
              <w:left w:type="dxa" w:w="100"/>
              <w:bottom w:type="dxa" w:w="60"/>
              <w:right w:type="dxa" w:w="100"/>
            </w:tcMar>
          </w:tcPr>
          <w:p>
            <w:pPr>
              <w:spacing w:after="0" w:line="240"/>
            </w:pPr>
            <w:r>
              <w:rPr>
                <w:b w:val="false"/>
                <w:bCs w:val="false"/>
                <w:sz w:val="19"/>
                <w:szCs w:val="19"/>
              </w:rPr>
              <w:t xml:space="preserve">12,0 %</w:t>
            </w:r>
          </w:p>
        </w:tc>
      </w:tr>
      <w:tr>
        <w:tc>
          <w:tcPr>
            <w:tcW w:type="dxa" w:w="6638"/>
            <w:tcMar>
              <w:top w:type="dxa" w:w="60"/>
              <w:left w:type="dxa" w:w="100"/>
              <w:bottom w:type="dxa" w:w="60"/>
              <w:right w:type="dxa" w:w="100"/>
            </w:tcMar>
          </w:tcPr>
          <w:p>
            <w:pPr>
              <w:spacing w:after="0" w:line="240"/>
            </w:pPr>
            <w:r>
              <w:rPr>
                <w:b w:val="false"/>
                <w:bCs w:val="false"/>
                <w:sz w:val="19"/>
                <w:szCs w:val="19"/>
              </w:rPr>
              <w:t xml:space="preserve">Transactions par jour calendaire</w:t>
            </w:r>
          </w:p>
        </w:tc>
        <w:tc>
          <w:tcPr>
            <w:tcW w:type="dxa" w:w="3000"/>
            <w:tcMar>
              <w:top w:type="dxa" w:w="60"/>
              <w:left w:type="dxa" w:w="100"/>
              <w:bottom w:type="dxa" w:w="60"/>
              <w:right w:type="dxa" w:w="100"/>
            </w:tcMar>
          </w:tcPr>
          <w:p>
            <w:pPr>
              <w:spacing w:after="0" w:line="240"/>
            </w:pPr>
            <w:r>
              <w:rPr>
                <w:b w:val="false"/>
                <w:bCs w:val="false"/>
                <w:sz w:val="19"/>
                <w:szCs w:val="19"/>
              </w:rPr>
              <w:t xml:space="preserve">3,9 %</w:t>
            </w:r>
          </w:p>
        </w:tc>
      </w:tr>
      <w:tr>
        <w:tc>
          <w:tcPr>
            <w:tcW w:type="dxa" w:w="6638"/>
            <w:tcMar>
              <w:top w:type="dxa" w:w="60"/>
              <w:left w:type="dxa" w:w="100"/>
              <w:bottom w:type="dxa" w:w="60"/>
              <w:right w:type="dxa" w:w="100"/>
            </w:tcMar>
          </w:tcPr>
          <w:p>
            <w:pPr>
              <w:spacing w:after="0" w:line="240"/>
            </w:pPr>
            <w:r>
              <w:rPr>
                <w:b w:val="false"/>
                <w:bCs w:val="false"/>
                <w:sz w:val="19"/>
                <w:szCs w:val="19"/>
              </w:rPr>
              <w:t xml:space="preserve">Écart-type relatif par jour</w:t>
            </w:r>
          </w:p>
        </w:tc>
        <w:tc>
          <w:tcPr>
            <w:tcW w:type="dxa" w:w="3000"/>
            <w:tcMar>
              <w:top w:type="dxa" w:w="60"/>
              <w:left w:type="dxa" w:w="100"/>
              <w:bottom w:type="dxa" w:w="60"/>
              <w:right w:type="dxa" w:w="100"/>
            </w:tcMar>
          </w:tcPr>
          <w:p>
            <w:pPr>
              <w:spacing w:after="0" w:line="240"/>
            </w:pPr>
            <w:r>
              <w:rPr>
                <w:b w:val="false"/>
                <w:bCs w:val="false"/>
                <w:sz w:val="19"/>
                <w:szCs w:val="19"/>
              </w:rPr>
              <w:t xml:space="preserve">0,79 %</w:t>
            </w:r>
          </w:p>
        </w:tc>
      </w:tr>
      <w:tr>
        <w:tc>
          <w:tcPr>
            <w:tcW w:type="dxa" w:w="6638"/>
            <w:tcMar>
              <w:top w:type="dxa" w:w="60"/>
              <w:left w:type="dxa" w:w="100"/>
              <w:bottom w:type="dxa" w:w="60"/>
              <w:right w:type="dxa" w:w="100"/>
            </w:tcMar>
          </w:tcPr>
          <w:p>
            <w:pPr>
              <w:spacing w:after="0" w:line="240"/>
            </w:pPr>
            <w:r>
              <w:rPr>
                <w:b w:val="false"/>
                <w:bCs w:val="false"/>
                <w:sz w:val="19"/>
                <w:szCs w:val="19"/>
              </w:rPr>
              <w:t xml:space="preserve">Bruit statistique attendu (1/√n)</w:t>
            </w:r>
          </w:p>
        </w:tc>
        <w:tc>
          <w:tcPr>
            <w:tcW w:type="dxa" w:w="3000"/>
            <w:tcMar>
              <w:top w:type="dxa" w:w="60"/>
              <w:left w:type="dxa" w:w="100"/>
              <w:bottom w:type="dxa" w:w="60"/>
              <w:right w:type="dxa" w:w="100"/>
            </w:tcMar>
          </w:tcPr>
          <w:p>
            <w:pPr>
              <w:spacing w:after="0" w:line="240"/>
            </w:pPr>
            <w:r>
              <w:rPr>
                <w:b w:val="false"/>
                <w:bCs w:val="false"/>
                <w:sz w:val="19"/>
                <w:szCs w:val="19"/>
              </w:rPr>
              <w:t xml:space="preserve">0,69 %</w:t>
            </w:r>
          </w:p>
        </w:tc>
      </w:tr>
    </w:tbl>
    <w:p>
      <w:pPr>
        <w:spacing w:after="0" w:line="120"/>
      </w:pPr>
      <w:r>
        <w:rPr>
          <w:sz w:val="10"/>
          <w:szCs w:val="10"/>
        </w:rPr>
        <w:t xml:space="preserve"/>
      </w:r>
    </w:p>
    <w:p>
      <w:pPr>
        <w:spacing w:after="120" w:line="276"/>
      </w:pPr>
      <w:r>
        <w:rPr>
          <w:sz w:val="22"/>
          <w:szCs w:val="22"/>
        </w:rPr>
        <w:t xml:space="preserve">La dispersion résiduelle se situe au niveau du hasard pur. Les dates étant tirées uniformément sur 730 jours, il ne peut exister ni saison, ni effet de fin de mois, ni tendance. Les creux de février sont un artefact du calendrier : 28 ou 29 jours au lieu de 31.</w:t>
      </w:r>
    </w:p>
    <w:p>
      <w:pPr>
        <w:spacing w:after="120" w:line="276"/>
      </w:pPr>
      <w:r>
        <w:rPr>
          <w:sz w:val="22"/>
          <w:szCs w:val="22"/>
        </w:rPr>
        <w:t xml:space="preserve">Une précision de rigueur complète ce point : la dernière transaction du jeu est datée du 30 décembre 2025, le générateur tirant sur 730 jours à partir du 1er janvier 2024. Décembre 2025 ne compte donc que trente jours de données.</w:t>
      </w:r>
    </w:p>
    <w:p>
      <w:pPr>
        <w:pStyle w:val="Heading1"/>
        <w:spacing w:after="200" w:before="360"/>
      </w:pPr>
      <w:r>
        <w:t xml:space="preserve">9. Anomalies et divergences</w:t>
      </w:r>
    </w:p>
    <w:p>
      <w:pPr>
        <w:spacing w:after="120" w:line="276"/>
      </w:pPr>
      <w:r>
        <w:rPr>
          <w:sz w:val="22"/>
          <w:szCs w:val="22"/>
        </w:rPr>
        <w:t xml:space="preserve">Cette section répond à deux obligations explicites de l'énoncé : la règle de transmission, qui interdit de reconstruire silencieusement une sortie manquante, et la consigne 14, qui impose d'expliquer les divergences.</w:t>
      </w:r>
    </w:p>
    <w:p>
      <w:pPr>
        <w:pStyle w:val="Heading2"/>
        <w:spacing w:after="140" w:before="280"/>
      </w:pPr>
      <w:r>
        <w:t xml:space="preserve">9.1 Absence de livrables amont</w:t>
      </w:r>
    </w:p>
    <w:p>
      <w:pPr>
        <w:spacing w:after="120" w:line="276"/>
      </w:pPr>
      <w:r>
        <w:rPr>
          <w:sz w:val="22"/>
          <w:szCs w:val="22"/>
        </w:rPr>
        <w:t xml:space="preserve">Aucun des Groupes 1 à 5 n'avait transmis de livrable à la date de ce travail. Nous avons reconstruit ce qui était indispensable, en le signalant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38"/>
        <w:gridCol w:w="5600"/>
      </w:tblGrid>
      <w:tr>
        <w:trPr>
          <w:tblHeader/>
        </w:trPr>
        <w:tc>
          <w:tcPr>
            <w:tcW w:type="dxa" w:w="4038"/>
            <w:shd w:fill="EDEDEA" w:val="clear"/>
            <w:tcMar>
              <w:top w:type="dxa" w:w="60"/>
              <w:left w:type="dxa" w:w="100"/>
              <w:bottom w:type="dxa" w:w="60"/>
              <w:right w:type="dxa" w:w="100"/>
            </w:tcMar>
          </w:tcPr>
          <w:p>
            <w:pPr>
              <w:spacing w:after="0" w:line="240"/>
            </w:pPr>
            <w:r>
              <w:rPr>
                <w:b/>
                <w:bCs/>
                <w:sz w:val="19"/>
                <w:szCs w:val="19"/>
              </w:rPr>
              <w:t xml:space="preserve">Élément manquant</w:t>
            </w:r>
          </w:p>
        </w:tc>
        <w:tc>
          <w:tcPr>
            <w:tcW w:type="dxa" w:w="5600"/>
            <w:shd w:fill="EDEDEA" w:val="clear"/>
            <w:tcMar>
              <w:top w:type="dxa" w:w="60"/>
              <w:left w:type="dxa" w:w="100"/>
              <w:bottom w:type="dxa" w:w="60"/>
              <w:right w:type="dxa" w:w="100"/>
            </w:tcMar>
          </w:tcPr>
          <w:p>
            <w:pPr>
              <w:spacing w:after="0" w:line="240"/>
            </w:pPr>
            <w:r>
              <w:rPr>
                <w:b/>
                <w:bCs/>
                <w:sz w:val="19"/>
                <w:szCs w:val="19"/>
              </w:rPr>
              <w:t xml:space="preserve">Ce que le Groupe 6 a fait</w:t>
            </w:r>
          </w:p>
        </w:tc>
      </w:tr>
      <w:tr>
        <w:tc>
          <w:tcPr>
            <w:tcW w:type="dxa" w:w="4038"/>
            <w:tcMar>
              <w:top w:type="dxa" w:w="60"/>
              <w:left w:type="dxa" w:w="100"/>
              <w:bottom w:type="dxa" w:w="60"/>
              <w:right w:type="dxa" w:w="100"/>
            </w:tcMar>
          </w:tcPr>
          <w:p>
            <w:pPr>
              <w:spacing w:after="0" w:line="240"/>
            </w:pPr>
            <w:r>
              <w:rPr>
                <w:b w:val="false"/>
                <w:bCs w:val="false"/>
                <w:sz w:val="19"/>
                <w:szCs w:val="19"/>
              </w:rPr>
              <w:t xml:space="preserve">Arborescence /datalake (Groupe 2)</w:t>
            </w:r>
          </w:p>
        </w:tc>
        <w:tc>
          <w:tcPr>
            <w:tcW w:type="dxa" w:w="5600"/>
            <w:tcMar>
              <w:top w:type="dxa" w:w="60"/>
              <w:left w:type="dxa" w:w="100"/>
              <w:bottom w:type="dxa" w:w="60"/>
              <w:right w:type="dxa" w:w="100"/>
            </w:tcMar>
          </w:tcPr>
          <w:p>
            <w:pPr>
              <w:spacing w:after="0" w:line="240"/>
            </w:pPr>
            <w:r>
              <w:rPr>
                <w:b w:val="false"/>
                <w:bCs w:val="false"/>
                <w:sz w:val="19"/>
                <w:szCs w:val="19"/>
              </w:rPr>
              <w:t xml:space="preserve">recréée à l'identique de la structure imposée dans l'énoncé</w:t>
            </w:r>
          </w:p>
        </w:tc>
      </w:tr>
      <w:tr>
        <w:tc>
          <w:tcPr>
            <w:tcW w:type="dxa" w:w="4038"/>
            <w:tcMar>
              <w:top w:type="dxa" w:w="60"/>
              <w:left w:type="dxa" w:w="100"/>
              <w:bottom w:type="dxa" w:w="60"/>
              <w:right w:type="dxa" w:w="100"/>
            </w:tcMar>
          </w:tcPr>
          <w:p>
            <w:pPr>
              <w:spacing w:after="0" w:line="240"/>
            </w:pPr>
            <w:r>
              <w:rPr>
                <w:b w:val="false"/>
                <w:bCs w:val="false"/>
                <w:sz w:val="19"/>
                <w:szCs w:val="19"/>
              </w:rPr>
              <w:t xml:space="preserve">Résultats de référence (Groupes 3 et 4)</w:t>
            </w:r>
          </w:p>
        </w:tc>
        <w:tc>
          <w:tcPr>
            <w:tcW w:type="dxa" w:w="5600"/>
            <w:tcMar>
              <w:top w:type="dxa" w:w="60"/>
              <w:left w:type="dxa" w:w="100"/>
              <w:bottom w:type="dxa" w:w="60"/>
              <w:right w:type="dxa" w:w="100"/>
            </w:tcMar>
          </w:tcPr>
          <w:p>
            <w:pPr>
              <w:spacing w:after="0" w:line="240"/>
            </w:pPr>
            <w:r>
              <w:rPr>
                <w:b w:val="false"/>
                <w:bCs w:val="false"/>
                <w:sz w:val="19"/>
                <w:szCs w:val="19"/>
              </w:rPr>
              <w:t xml:space="preserve">réimplémentés en Hadoop Streaming réel</w:t>
            </w:r>
          </w:p>
        </w:tc>
      </w:tr>
      <w:tr>
        <w:tc>
          <w:tcPr>
            <w:tcW w:type="dxa" w:w="4038"/>
            <w:tcMar>
              <w:top w:type="dxa" w:w="60"/>
              <w:left w:type="dxa" w:w="100"/>
              <w:bottom w:type="dxa" w:w="60"/>
              <w:right w:type="dxa" w:w="100"/>
            </w:tcMar>
          </w:tcPr>
          <w:p>
            <w:pPr>
              <w:spacing w:after="0" w:line="240"/>
            </w:pPr>
            <w:r>
              <w:rPr>
                <w:b w:val="false"/>
                <w:bCs w:val="false"/>
                <w:sz w:val="19"/>
                <w:szCs w:val="19"/>
              </w:rPr>
              <w:t xml:space="preserve">Jeu transactions_big</w:t>
            </w:r>
          </w:p>
        </w:tc>
        <w:tc>
          <w:tcPr>
            <w:tcW w:type="dxa" w:w="5600"/>
            <w:tcMar>
              <w:top w:type="dxa" w:w="60"/>
              <w:left w:type="dxa" w:w="100"/>
              <w:bottom w:type="dxa" w:w="60"/>
              <w:right w:type="dxa" w:w="100"/>
            </w:tcMar>
          </w:tcPr>
          <w:p>
            <w:pPr>
              <w:spacing w:after="0" w:line="240"/>
            </w:pPr>
            <w:r>
              <w:rPr>
                <w:b w:val="false"/>
                <w:bCs w:val="false"/>
                <w:sz w:val="19"/>
                <w:szCs w:val="19"/>
              </w:rPr>
              <w:t xml:space="preserve">généré avec le générateur de l'enseignant, graine 303</w:t>
            </w:r>
          </w:p>
        </w:tc>
      </w:tr>
    </w:tbl>
    <w:p>
      <w:pPr>
        <w:spacing w:after="0" w:line="120"/>
      </w:pPr>
      <w:r>
        <w:rPr>
          <w:sz w:val="10"/>
          <w:szCs w:val="10"/>
        </w:rPr>
        <w:t xml:space="preserve"/>
      </w:r>
    </w:p>
    <w:p>
      <w:pPr>
        <w:spacing w:after="120" w:line="276"/>
      </w:pPr>
      <w:r>
        <w:rPr>
          <w:sz w:val="22"/>
          <w:szCs w:val="22"/>
        </w:rPr>
        <w:t xml:space="preserve">La limite de cette reconstruction doit être énoncée en soutenance : nos références MapReduce sont les nôtres. Elles valident la logique analytique de Hive, non la chaîne Hadoop du Groupe 4. Lorsque celui-ci livrera ses sorties, il suffira de les déposer dans le répertoire prévu : le script de comparaison les utilisera sans modification de code.</w:t>
      </w:r>
    </w:p>
    <w:p>
      <w:pPr>
        <w:pStyle w:val="Heading2"/>
        <w:spacing w:after="140" w:before="280"/>
      </w:pPr>
      <w:r>
        <w:t xml:space="preserve">9.2 Divergences avec le dictionnaire des variables</w:t>
      </w:r>
    </w:p>
    <w:p>
      <w:pPr>
        <w:spacing w:after="120" w:line="276"/>
      </w:pPr>
      <w:r>
        <w:rPr>
          <w:sz w:val="22"/>
          <w:szCs w:val="22"/>
        </w:rPr>
        <w:t xml:space="preserve">Le dictionnaire annonce quatre modes de paiement, dont « Mobile Money ». Les données en contiennent cinq : le Mobile Money y est éclaté en TMoney et Flooz, qui pèsent ensemble 45 % des transactions.</w:t>
      </w:r>
    </w:p>
    <w:p>
      <w:pPr>
        <w:spacing w:after="120" w:line="276"/>
      </w:pPr>
      <w:r>
        <w:rPr>
          <w:sz w:val="22"/>
          <w:szCs w:val="22"/>
        </w:rPr>
        <w:t xml:space="preserve">Par ailleurs, les villes sont écrites sans accents dans les données — Lome, Sokode, Kpalime — alors que l'énoncé les accentue. Tout filtre portant sur un libellé accentué renverrait zéro ligne, ce qui doit être signalé au Groupe 7, qui effectuera des jointures sur ces libellés.</w:t>
      </w:r>
    </w:p>
    <w:p>
      <w:pPr>
        <w:spacing w:after="120" w:line="276"/>
      </w:pPr>
      <w:r>
        <w:rPr>
          <w:sz w:val="22"/>
          <w:szCs w:val="22"/>
        </w:rPr>
        <w:t xml:space="preserve">Dans les deux cas, nous avons signalé la divergence sans corriger les données : une correction modifierait le jeu commun aux huit groupes et romprait la comparabilité des résultats.</w:t>
      </w:r>
    </w:p>
    <w:p>
      <w:pPr>
        <w:pStyle w:val="Heading2"/>
        <w:spacing w:after="140" w:before="280"/>
      </w:pPr>
      <w:r>
        <w:t xml:space="preserve">9.3 Non-reproductibilité des volumes fournis</w:t>
      </w:r>
    </w:p>
    <w:p>
      <w:pPr>
        <w:spacing w:after="120" w:line="276"/>
      </w:pPr>
      <w:r>
        <w:rPr>
          <w:sz w:val="22"/>
          <w:szCs w:val="22"/>
        </w:rPr>
        <w:t xml:space="preserve">Les jeux small et medium fournis par l'enseignant ne sont pas reproductibles avec le générateur et sa graine par défaut. Nous l'avons vérifié sur douze graines usuelles : aucune ne reproduit la première ligne du fichier fourni.</w:t>
      </w:r>
    </w:p>
    <w:p>
      <w:pPr>
        <w:spacing w:after="120" w:line="276"/>
      </w:pPr>
      <w:r>
        <w:rPr>
          <w:sz w:val="22"/>
          <w:szCs w:val="22"/>
        </w:rPr>
        <w:t xml:space="preserve">Les trois volumes sont donc des tirages indépendants de la même loi, et non des sous-ensembles les uns des autres. Leurs totaux ne sont pas proportionnels au nombre de lignes, mais statistiquement comparables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438"/>
        <w:gridCol w:w="2200"/>
      </w:tblGrid>
      <w:tr>
        <w:trPr>
          <w:tblHeader/>
        </w:trPr>
        <w:tc>
          <w:tcPr>
            <w:tcW w:type="dxa" w:w="1800"/>
            <w:shd w:fill="EDEDEA" w:val="clear"/>
            <w:tcMar>
              <w:top w:type="dxa" w:w="60"/>
              <w:left w:type="dxa" w:w="100"/>
              <w:bottom w:type="dxa" w:w="60"/>
              <w:right w:type="dxa" w:w="100"/>
            </w:tcMar>
          </w:tcPr>
          <w:p>
            <w:pPr>
              <w:spacing w:after="0" w:line="240"/>
            </w:pPr>
            <w:r>
              <w:rPr>
                <w:b/>
                <w:bCs/>
                <w:sz w:val="19"/>
                <w:szCs w:val="19"/>
              </w:rPr>
              <w:t xml:space="preserve">Volume</w:t>
            </w:r>
          </w:p>
        </w:tc>
        <w:tc>
          <w:tcPr>
            <w:tcW w:type="dxa" w:w="2200"/>
            <w:shd w:fill="EDEDEA" w:val="clear"/>
            <w:tcMar>
              <w:top w:type="dxa" w:w="60"/>
              <w:left w:type="dxa" w:w="100"/>
              <w:bottom w:type="dxa" w:w="60"/>
              <w:right w:type="dxa" w:w="100"/>
            </w:tcMar>
          </w:tcPr>
          <w:p>
            <w:pPr>
              <w:spacing w:after="0" w:line="240"/>
            </w:pPr>
            <w:r>
              <w:rPr>
                <w:b/>
                <w:bCs/>
                <w:sz w:val="19"/>
                <w:szCs w:val="19"/>
              </w:rPr>
              <w:t xml:space="preserve">Transactions</w:t>
            </w:r>
          </w:p>
        </w:tc>
        <w:tc>
          <w:tcPr>
            <w:tcW w:type="dxa" w:w="3438"/>
            <w:shd w:fill="EDEDEA" w:val="clear"/>
            <w:tcMar>
              <w:top w:type="dxa" w:w="60"/>
              <w:left w:type="dxa" w:w="100"/>
              <w:bottom w:type="dxa" w:w="60"/>
              <w:right w:type="dxa" w:w="100"/>
            </w:tcMar>
          </w:tcPr>
          <w:p>
            <w:pPr>
              <w:spacing w:after="0" w:line="240"/>
            </w:pPr>
            <w:r>
              <w:rPr>
                <w:b/>
                <w:bCs/>
                <w:sz w:val="19"/>
                <w:szCs w:val="19"/>
              </w:rPr>
              <w:t xml:space="preserve">Chiffre d'affaires (FCFA)</w:t>
            </w:r>
          </w:p>
        </w:tc>
        <w:tc>
          <w:tcPr>
            <w:tcW w:type="dxa" w:w="2200"/>
            <w:shd w:fill="EDEDEA" w:val="clear"/>
            <w:tcMar>
              <w:top w:type="dxa" w:w="60"/>
              <w:left w:type="dxa" w:w="100"/>
              <w:bottom w:type="dxa" w:w="60"/>
              <w:right w:type="dxa" w:w="100"/>
            </w:tcMar>
          </w:tcPr>
          <w:p>
            <w:pPr>
              <w:spacing w:after="0" w:line="240"/>
            </w:pPr>
            <w:r>
              <w:rPr>
                <w:b/>
                <w:bCs/>
                <w:sz w:val="19"/>
                <w:szCs w:val="19"/>
              </w:rPr>
              <w:t xml:space="preserve">Moyenne par transaction</w:t>
            </w:r>
          </w:p>
        </w:tc>
      </w:tr>
      <w:tr>
        <w:tc>
          <w:tcPr>
            <w:tcW w:type="dxa" w:w="1800"/>
            <w:tcMar>
              <w:top w:type="dxa" w:w="60"/>
              <w:left w:type="dxa" w:w="100"/>
              <w:bottom w:type="dxa" w:w="60"/>
              <w:right w:type="dxa" w:w="100"/>
            </w:tcMar>
          </w:tcPr>
          <w:p>
            <w:pPr>
              <w:spacing w:after="0" w:line="240"/>
            </w:pPr>
            <w:r>
              <w:rPr>
                <w:b w:val="false"/>
                <w:bCs w:val="false"/>
                <w:sz w:val="19"/>
                <w:szCs w:val="19"/>
              </w:rPr>
              <w:t xml:space="preserve">small</w:t>
            </w:r>
          </w:p>
        </w:tc>
        <w:tc>
          <w:tcPr>
            <w:tcW w:type="dxa" w:w="2200"/>
            <w:tcMar>
              <w:top w:type="dxa" w:w="60"/>
              <w:left w:type="dxa" w:w="100"/>
              <w:bottom w:type="dxa" w:w="60"/>
              <w:right w:type="dxa" w:w="100"/>
            </w:tcMar>
          </w:tcPr>
          <w:p>
            <w:pPr>
              <w:spacing w:after="0" w:line="240"/>
            </w:pPr>
            <w:r>
              <w:rPr>
                <w:b w:val="false"/>
                <w:bCs w:val="false"/>
                <w:sz w:val="19"/>
                <w:szCs w:val="19"/>
              </w:rPr>
              <w:t xml:space="preserve">10 000</w:t>
            </w:r>
          </w:p>
        </w:tc>
        <w:tc>
          <w:tcPr>
            <w:tcW w:type="dxa" w:w="3438"/>
            <w:tcMar>
              <w:top w:type="dxa" w:w="60"/>
              <w:left w:type="dxa" w:w="100"/>
              <w:bottom w:type="dxa" w:w="60"/>
              <w:right w:type="dxa" w:w="100"/>
            </w:tcMar>
          </w:tcPr>
          <w:p>
            <w:pPr>
              <w:spacing w:after="0" w:line="240"/>
            </w:pPr>
            <w:r>
              <w:rPr>
                <w:b w:val="false"/>
                <w:bCs w:val="false"/>
                <w:sz w:val="19"/>
                <w:szCs w:val="19"/>
              </w:rPr>
              <w:t xml:space="preserve">91 926 192,5</w:t>
            </w:r>
          </w:p>
        </w:tc>
        <w:tc>
          <w:tcPr>
            <w:tcW w:type="dxa" w:w="2200"/>
            <w:tcMar>
              <w:top w:type="dxa" w:w="60"/>
              <w:left w:type="dxa" w:w="100"/>
              <w:bottom w:type="dxa" w:w="60"/>
              <w:right w:type="dxa" w:w="100"/>
            </w:tcMar>
          </w:tcPr>
          <w:p>
            <w:pPr>
              <w:spacing w:after="0" w:line="240"/>
            </w:pPr>
            <w:r>
              <w:rPr>
                <w:b w:val="false"/>
                <w:bCs w:val="false"/>
                <w:sz w:val="19"/>
                <w:szCs w:val="19"/>
              </w:rPr>
              <w:t xml:space="preserve">9 192,6</w:t>
            </w:r>
          </w:p>
        </w:tc>
      </w:tr>
      <w:tr>
        <w:tc>
          <w:tcPr>
            <w:tcW w:type="dxa" w:w="1800"/>
            <w:tcMar>
              <w:top w:type="dxa" w:w="60"/>
              <w:left w:type="dxa" w:w="100"/>
              <w:bottom w:type="dxa" w:w="60"/>
              <w:right w:type="dxa" w:w="100"/>
            </w:tcMar>
          </w:tcPr>
          <w:p>
            <w:pPr>
              <w:spacing w:after="0" w:line="240"/>
            </w:pPr>
            <w:r>
              <w:rPr>
                <w:b w:val="false"/>
                <w:bCs w:val="false"/>
                <w:sz w:val="19"/>
                <w:szCs w:val="19"/>
              </w:rPr>
              <w:t xml:space="preserve">medium</w:t>
            </w:r>
          </w:p>
        </w:tc>
        <w:tc>
          <w:tcPr>
            <w:tcW w:type="dxa" w:w="2200"/>
            <w:tcMar>
              <w:top w:type="dxa" w:w="60"/>
              <w:left w:type="dxa" w:w="100"/>
              <w:bottom w:type="dxa" w:w="60"/>
              <w:right w:type="dxa" w:w="100"/>
            </w:tcMar>
          </w:tcPr>
          <w:p>
            <w:pPr>
              <w:spacing w:after="0" w:line="240"/>
            </w:pPr>
            <w:r>
              <w:rPr>
                <w:b w:val="false"/>
                <w:bCs w:val="false"/>
                <w:sz w:val="19"/>
                <w:szCs w:val="19"/>
              </w:rPr>
              <w:t xml:space="preserve">500 000</w:t>
            </w:r>
          </w:p>
        </w:tc>
        <w:tc>
          <w:tcPr>
            <w:tcW w:type="dxa" w:w="3438"/>
            <w:tcMar>
              <w:top w:type="dxa" w:w="60"/>
              <w:left w:type="dxa" w:w="100"/>
              <w:bottom w:type="dxa" w:w="60"/>
              <w:right w:type="dxa" w:w="100"/>
            </w:tcMar>
          </w:tcPr>
          <w:p>
            <w:pPr>
              <w:spacing w:after="0" w:line="240"/>
            </w:pPr>
            <w:r>
              <w:rPr>
                <w:b w:val="false"/>
                <w:bCs w:val="false"/>
                <w:sz w:val="19"/>
                <w:szCs w:val="19"/>
              </w:rPr>
              <w:t xml:space="preserve">4 596 094 050,0</w:t>
            </w:r>
          </w:p>
        </w:tc>
        <w:tc>
          <w:tcPr>
            <w:tcW w:type="dxa" w:w="2200"/>
            <w:tcMar>
              <w:top w:type="dxa" w:w="60"/>
              <w:left w:type="dxa" w:w="100"/>
              <w:bottom w:type="dxa" w:w="60"/>
              <w:right w:type="dxa" w:w="100"/>
            </w:tcMar>
          </w:tcPr>
          <w:p>
            <w:pPr>
              <w:spacing w:after="0" w:line="240"/>
            </w:pPr>
            <w:r>
              <w:rPr>
                <w:b w:val="false"/>
                <w:bCs w:val="false"/>
                <w:sz w:val="19"/>
                <w:szCs w:val="19"/>
              </w:rPr>
              <w:t xml:space="preserve">9 192,2</w:t>
            </w:r>
          </w:p>
        </w:tc>
      </w:tr>
      <w:tr>
        <w:tc>
          <w:tcPr>
            <w:tcW w:type="dxa" w:w="1800"/>
            <w:tcMar>
              <w:top w:type="dxa" w:w="60"/>
              <w:left w:type="dxa" w:w="100"/>
              <w:bottom w:type="dxa" w:w="60"/>
              <w:right w:type="dxa" w:w="100"/>
            </w:tcMar>
          </w:tcPr>
          <w:p>
            <w:pPr>
              <w:spacing w:after="0" w:line="240"/>
            </w:pPr>
            <w:r>
              <w:rPr>
                <w:b w:val="false"/>
                <w:bCs w:val="false"/>
                <w:sz w:val="19"/>
                <w:szCs w:val="19"/>
              </w:rPr>
              <w:t xml:space="preserve">big</w:t>
            </w:r>
          </w:p>
        </w:tc>
        <w:tc>
          <w:tcPr>
            <w:tcW w:type="dxa" w:w="2200"/>
            <w:tcMar>
              <w:top w:type="dxa" w:w="60"/>
              <w:left w:type="dxa" w:w="100"/>
              <w:bottom w:type="dxa" w:w="60"/>
              <w:right w:type="dxa" w:w="100"/>
            </w:tcMar>
          </w:tcPr>
          <w:p>
            <w:pPr>
              <w:spacing w:after="0" w:line="240"/>
            </w:pPr>
            <w:r>
              <w:rPr>
                <w:b w:val="false"/>
                <w:bCs w:val="false"/>
                <w:sz w:val="19"/>
                <w:szCs w:val="19"/>
              </w:rPr>
              <w:t xml:space="preserve">5 000 000</w:t>
            </w:r>
          </w:p>
        </w:tc>
        <w:tc>
          <w:tcPr>
            <w:tcW w:type="dxa" w:w="3438"/>
            <w:tcMar>
              <w:top w:type="dxa" w:w="60"/>
              <w:left w:type="dxa" w:w="100"/>
              <w:bottom w:type="dxa" w:w="60"/>
              <w:right w:type="dxa" w:w="100"/>
            </w:tcMar>
          </w:tcPr>
          <w:p>
            <w:pPr>
              <w:spacing w:after="0" w:line="240"/>
            </w:pPr>
            <w:r>
              <w:rPr>
                <w:b w:val="false"/>
                <w:bCs w:val="false"/>
                <w:sz w:val="19"/>
                <w:szCs w:val="19"/>
              </w:rPr>
              <w:t xml:space="preserve">45 979 512 357,5</w:t>
            </w:r>
          </w:p>
        </w:tc>
        <w:tc>
          <w:tcPr>
            <w:tcW w:type="dxa" w:w="2200"/>
            <w:tcMar>
              <w:top w:type="dxa" w:w="60"/>
              <w:left w:type="dxa" w:w="100"/>
              <w:bottom w:type="dxa" w:w="60"/>
              <w:right w:type="dxa" w:w="100"/>
            </w:tcMar>
          </w:tcPr>
          <w:p>
            <w:pPr>
              <w:spacing w:after="0" w:line="240"/>
            </w:pPr>
            <w:r>
              <w:rPr>
                <w:b w:val="false"/>
                <w:bCs w:val="false"/>
                <w:sz w:val="19"/>
                <w:szCs w:val="19"/>
              </w:rPr>
              <w:t xml:space="preserve">9 196,0</w:t>
            </w:r>
          </w:p>
        </w:tc>
      </w:tr>
    </w:tbl>
    <w:p>
      <w:pPr>
        <w:spacing w:after="0" w:line="120"/>
      </w:pPr>
      <w:r>
        <w:rPr>
          <w:sz w:val="10"/>
          <w:szCs w:val="10"/>
        </w:rPr>
        <w:t xml:space="preserve"/>
      </w:r>
    </w:p>
    <w:p>
      <w:pPr>
        <w:spacing w:after="120" w:line="276"/>
      </w:pPr>
      <w:r>
        <w:rPr>
          <w:sz w:val="22"/>
          <w:szCs w:val="22"/>
        </w:rPr>
        <w:t xml:space="preserve">Notre jeu big a été produit avec la graine documentée 303 : tout groupe relançant la même commande obtiendra un fichier identique au nôtre.</w:t>
      </w:r>
    </w:p>
    <w:p>
      <w:pPr>
        <w:pStyle w:val="Heading2"/>
        <w:spacing w:after="140" w:before="280"/>
      </w:pPr>
      <w:r>
        <w:t xml:space="preserve">9.4 Une particularité de Hive à connaître</w:t>
      </w:r>
    </w:p>
    <w:p>
      <w:pPr>
        <w:spacing w:after="120" w:line="276"/>
      </w:pPr>
      <w:r>
        <w:rPr>
          <w:sz w:val="22"/>
          <w:szCs w:val="22"/>
        </w:rPr>
        <w:t xml:space="preserve">Un incident rencontré lors de la première exécution mérite d'être transmis. Hive CLI retire les lignes de commentaire au moyen d'un test sur le début de ligne, sans supprimer au préalable les espaces d'indentation. Un commentaire indenté parvient donc à l'analyseur syntaxique.</w:t>
      </w:r>
    </w:p>
    <w:p>
      <w:pPr>
        <w:spacing w:after="120" w:line="276"/>
      </w:pPr>
      <w:r>
        <w:rPr>
          <w:sz w:val="22"/>
          <w:szCs w:val="22"/>
        </w:rPr>
        <w:t xml:space="preserve">Or Hive suit l'état des apostrophes pour découper les instructions sur le point-virgule. Une seule apostrophe isolée dans un commentaire indenté ouvre une chaîne de caractères fictive, le point-virgule suivant est ignoré, deux instructions fusionnent, et l'erreur signalée désigne une ligne parfaitement correcte située bien plus loin dans le fichier. Aucun commentaire de notre script ne porte donc d'apostrophe.</w:t>
      </w:r>
    </w:p>
    <w:p>
      <w:pPr>
        <w:pStyle w:val="Heading1"/>
        <w:spacing w:after="200" w:before="360"/>
      </w:pPr>
      <w:r>
        <w:t xml:space="preserve">10. Transmission au Groupe 7</w:t>
      </w:r>
    </w:p>
    <w:p>
      <w:pPr>
        <w:spacing w:after="120" w:line="276"/>
      </w:pPr>
      <w:r>
        <w:rPr>
          <w:sz w:val="22"/>
          <w:szCs w:val="22"/>
        </w:rPr>
        <w:t xml:space="preserve">Le Groupe 7 reçoit quatre tables de données et douze tables de résultats dans la base datawarehouse, ainsi que les fichiers correspondants dans HDFS.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4038"/>
      </w:tblGrid>
      <w:tr>
        <w:trPr>
          <w:tblHeader/>
        </w:trPr>
        <w:tc>
          <w:tcPr>
            <w:tcW w:type="dxa" w:w="2400"/>
            <w:shd w:fill="EDEDEA" w:val="clear"/>
            <w:tcMar>
              <w:top w:type="dxa" w:w="60"/>
              <w:left w:type="dxa" w:w="100"/>
              <w:bottom w:type="dxa" w:w="60"/>
              <w:right w:type="dxa" w:w="100"/>
            </w:tcMar>
          </w:tcPr>
          <w:p>
            <w:pPr>
              <w:spacing w:after="0" w:line="240"/>
            </w:pPr>
            <w:r>
              <w:rPr>
                <w:b/>
                <w:bCs/>
                <w:sz w:val="19"/>
                <w:szCs w:val="19"/>
              </w:rPr>
              <w:t xml:space="preserve">Table</w:t>
            </w:r>
          </w:p>
        </w:tc>
        <w:tc>
          <w:tcPr>
            <w:tcW w:type="dxa" w:w="1800"/>
            <w:shd w:fill="EDEDEA" w:val="clear"/>
            <w:tcMar>
              <w:top w:type="dxa" w:w="60"/>
              <w:left w:type="dxa" w:w="100"/>
              <w:bottom w:type="dxa" w:w="60"/>
              <w:right w:type="dxa" w:w="100"/>
            </w:tcMar>
          </w:tcPr>
          <w:p>
            <w:pPr>
              <w:spacing w:after="0" w:line="240"/>
            </w:pPr>
            <w:r>
              <w:rPr>
                <w:b/>
                <w:bCs/>
                <w:sz w:val="19"/>
                <w:szCs w:val="19"/>
              </w:rPr>
              <w:t xml:space="preserve">Format</w:t>
            </w:r>
          </w:p>
        </w:tc>
        <w:tc>
          <w:tcPr>
            <w:tcW w:type="dxa" w:w="1400"/>
            <w:shd w:fill="EDEDEA" w:val="clear"/>
            <w:tcMar>
              <w:top w:type="dxa" w:w="60"/>
              <w:left w:type="dxa" w:w="100"/>
              <w:bottom w:type="dxa" w:w="60"/>
              <w:right w:type="dxa" w:w="100"/>
            </w:tcMar>
          </w:tcPr>
          <w:p>
            <w:pPr>
              <w:spacing w:after="0" w:line="240"/>
            </w:pPr>
            <w:r>
              <w:rPr>
                <w:b/>
                <w:bCs/>
                <w:sz w:val="19"/>
                <w:szCs w:val="19"/>
              </w:rPr>
              <w:t xml:space="preserve">Partitions</w:t>
            </w:r>
          </w:p>
        </w:tc>
        <w:tc>
          <w:tcPr>
            <w:tcW w:type="dxa" w:w="4038"/>
            <w:shd w:fill="EDEDEA" w:val="clear"/>
            <w:tcMar>
              <w:top w:type="dxa" w:w="60"/>
              <w:left w:type="dxa" w:w="100"/>
              <w:bottom w:type="dxa" w:w="60"/>
              <w:right w:type="dxa" w:w="100"/>
            </w:tcMar>
          </w:tcPr>
          <w:p>
            <w:pPr>
              <w:spacing w:after="0" w:line="240"/>
            </w:pPr>
            <w:r>
              <w:rPr>
                <w:b/>
                <w:bCs/>
                <w:sz w:val="19"/>
                <w:szCs w:val="19"/>
              </w:rPr>
              <w:t xml:space="preserve">Emplacement HDFS</w:t>
            </w:r>
          </w:p>
        </w:tc>
      </w:tr>
      <w:tr>
        <w:tc>
          <w:tcPr>
            <w:tcW w:type="dxa" w:w="2400"/>
            <w:tcMar>
              <w:top w:type="dxa" w:w="60"/>
              <w:left w:type="dxa" w:w="100"/>
              <w:bottom w:type="dxa" w:w="60"/>
              <w:right w:type="dxa" w:w="100"/>
            </w:tcMar>
          </w:tcPr>
          <w:p>
            <w:pPr>
              <w:spacing w:after="0" w:line="240"/>
            </w:pPr>
            <w:r>
              <w:rPr>
                <w:b w:val="false"/>
                <w:bCs w:val="false"/>
                <w:sz w:val="19"/>
                <w:szCs w:val="19"/>
              </w:rPr>
              <w:t xml:space="preserve">transactions</w:t>
            </w:r>
          </w:p>
        </w:tc>
        <w:tc>
          <w:tcPr>
            <w:tcW w:type="dxa" w:w="1800"/>
            <w:tcMar>
              <w:top w:type="dxa" w:w="60"/>
              <w:left w:type="dxa" w:w="100"/>
              <w:bottom w:type="dxa" w:w="60"/>
              <w:right w:type="dxa" w:w="100"/>
            </w:tcMar>
          </w:tcPr>
          <w:p>
            <w:pPr>
              <w:spacing w:after="0" w:line="240"/>
            </w:pPr>
            <w:r>
              <w:rPr>
                <w:b w:val="false"/>
                <w:bCs w:val="false"/>
                <w:sz w:val="19"/>
                <w:szCs w:val="19"/>
              </w:rPr>
              <w:t xml:space="preserve">TEXTFILE</w:t>
            </w:r>
          </w:p>
        </w:tc>
        <w:tc>
          <w:tcPr>
            <w:tcW w:type="dxa" w:w="1400"/>
            <w:tcMar>
              <w:top w:type="dxa" w:w="60"/>
              <w:left w:type="dxa" w:w="100"/>
              <w:bottom w:type="dxa" w:w="60"/>
              <w:right w:type="dxa" w:w="100"/>
            </w:tcMar>
          </w:tcPr>
          <w:p>
            <w:pPr>
              <w:spacing w:after="0" w:line="240"/>
            </w:pPr>
            <w:r>
              <w:rPr>
                <w:b w:val="false"/>
                <w:bCs w:val="false"/>
                <w:sz w:val="19"/>
                <w:szCs w:val="19"/>
              </w:rPr>
              <w:t xml:space="preserve">aucune</w:t>
            </w:r>
          </w:p>
        </w:tc>
        <w:tc>
          <w:tcPr>
            <w:tcW w:type="dxa" w:w="4038"/>
            <w:tcMar>
              <w:top w:type="dxa" w:w="60"/>
              <w:left w:type="dxa" w:w="100"/>
              <w:bottom w:type="dxa" w:w="60"/>
              <w:right w:type="dxa" w:w="100"/>
            </w:tcMar>
          </w:tcPr>
          <w:p>
            <w:pPr>
              <w:spacing w:after="0" w:line="240"/>
            </w:pPr>
            <w:r>
              <w:rPr>
                <w:b w:val="false"/>
                <w:bCs w:val="false"/>
                <w:sz w:val="19"/>
                <w:szCs w:val="19"/>
              </w:rPr>
              <w:t xml:space="preserve">/datalake/raw/transactions/medium</w:t>
            </w:r>
          </w:p>
        </w:tc>
      </w:tr>
      <w:tr>
        <w:tc>
          <w:tcPr>
            <w:tcW w:type="dxa" w:w="2400"/>
            <w:tcMar>
              <w:top w:type="dxa" w:w="60"/>
              <w:left w:type="dxa" w:w="100"/>
              <w:bottom w:type="dxa" w:w="60"/>
              <w:right w:type="dxa" w:w="100"/>
            </w:tcMar>
          </w:tcPr>
          <w:p>
            <w:pPr>
              <w:spacing w:after="0" w:line="240"/>
            </w:pPr>
            <w:r>
              <w:rPr>
                <w:b w:val="false"/>
                <w:bCs w:val="false"/>
                <w:sz w:val="19"/>
                <w:szCs w:val="19"/>
              </w:rPr>
              <w:t xml:space="preserve">transactions_small</w:t>
            </w:r>
          </w:p>
        </w:tc>
        <w:tc>
          <w:tcPr>
            <w:tcW w:type="dxa" w:w="1800"/>
            <w:tcMar>
              <w:top w:type="dxa" w:w="60"/>
              <w:left w:type="dxa" w:w="100"/>
              <w:bottom w:type="dxa" w:w="60"/>
              <w:right w:type="dxa" w:w="100"/>
            </w:tcMar>
          </w:tcPr>
          <w:p>
            <w:pPr>
              <w:spacing w:after="0" w:line="240"/>
            </w:pPr>
            <w:r>
              <w:rPr>
                <w:b w:val="false"/>
                <w:bCs w:val="false"/>
                <w:sz w:val="19"/>
                <w:szCs w:val="19"/>
              </w:rPr>
              <w:t xml:space="preserve">TEXTFILE</w:t>
            </w:r>
          </w:p>
        </w:tc>
        <w:tc>
          <w:tcPr>
            <w:tcW w:type="dxa" w:w="1400"/>
            <w:tcMar>
              <w:top w:type="dxa" w:w="60"/>
              <w:left w:type="dxa" w:w="100"/>
              <w:bottom w:type="dxa" w:w="60"/>
              <w:right w:type="dxa" w:w="100"/>
            </w:tcMar>
          </w:tcPr>
          <w:p>
            <w:pPr>
              <w:spacing w:after="0" w:line="240"/>
            </w:pPr>
            <w:r>
              <w:rPr>
                <w:b w:val="false"/>
                <w:bCs w:val="false"/>
                <w:sz w:val="19"/>
                <w:szCs w:val="19"/>
              </w:rPr>
              <w:t xml:space="preserve">aucune</w:t>
            </w:r>
          </w:p>
        </w:tc>
        <w:tc>
          <w:tcPr>
            <w:tcW w:type="dxa" w:w="4038"/>
            <w:tcMar>
              <w:top w:type="dxa" w:w="60"/>
              <w:left w:type="dxa" w:w="100"/>
              <w:bottom w:type="dxa" w:w="60"/>
              <w:right w:type="dxa" w:w="100"/>
            </w:tcMar>
          </w:tcPr>
          <w:p>
            <w:pPr>
              <w:spacing w:after="0" w:line="240"/>
            </w:pPr>
            <w:r>
              <w:rPr>
                <w:b w:val="false"/>
                <w:bCs w:val="false"/>
                <w:sz w:val="19"/>
                <w:szCs w:val="19"/>
              </w:rPr>
              <w:t xml:space="preserve">/datalake/raw/transactions/small</w:t>
            </w:r>
          </w:p>
        </w:tc>
      </w:tr>
      <w:tr>
        <w:tc>
          <w:tcPr>
            <w:tcW w:type="dxa" w:w="2400"/>
            <w:tcMar>
              <w:top w:type="dxa" w:w="60"/>
              <w:left w:type="dxa" w:w="100"/>
              <w:bottom w:type="dxa" w:w="60"/>
              <w:right w:type="dxa" w:w="100"/>
            </w:tcMar>
          </w:tcPr>
          <w:p>
            <w:pPr>
              <w:spacing w:after="0" w:line="240"/>
            </w:pPr>
            <w:r>
              <w:rPr>
                <w:b w:val="false"/>
                <w:bCs w:val="false"/>
                <w:sz w:val="19"/>
                <w:szCs w:val="19"/>
              </w:rPr>
              <w:t xml:space="preserve">transactions_big</w:t>
            </w:r>
          </w:p>
        </w:tc>
        <w:tc>
          <w:tcPr>
            <w:tcW w:type="dxa" w:w="1800"/>
            <w:tcMar>
              <w:top w:type="dxa" w:w="60"/>
              <w:left w:type="dxa" w:w="100"/>
              <w:bottom w:type="dxa" w:w="60"/>
              <w:right w:type="dxa" w:w="100"/>
            </w:tcMar>
          </w:tcPr>
          <w:p>
            <w:pPr>
              <w:spacing w:after="0" w:line="240"/>
            </w:pPr>
            <w:r>
              <w:rPr>
                <w:b w:val="false"/>
                <w:bCs w:val="false"/>
                <w:sz w:val="19"/>
                <w:szCs w:val="19"/>
              </w:rPr>
              <w:t xml:space="preserve">TEXTFILE gzip</w:t>
            </w:r>
          </w:p>
        </w:tc>
        <w:tc>
          <w:tcPr>
            <w:tcW w:type="dxa" w:w="1400"/>
            <w:tcMar>
              <w:top w:type="dxa" w:w="60"/>
              <w:left w:type="dxa" w:w="100"/>
              <w:bottom w:type="dxa" w:w="60"/>
              <w:right w:type="dxa" w:w="100"/>
            </w:tcMar>
          </w:tcPr>
          <w:p>
            <w:pPr>
              <w:spacing w:after="0" w:line="240"/>
            </w:pPr>
            <w:r>
              <w:rPr>
                <w:b w:val="false"/>
                <w:bCs w:val="false"/>
                <w:sz w:val="19"/>
                <w:szCs w:val="19"/>
              </w:rPr>
              <w:t xml:space="preserve">aucune</w:t>
            </w:r>
          </w:p>
        </w:tc>
        <w:tc>
          <w:tcPr>
            <w:tcW w:type="dxa" w:w="4038"/>
            <w:tcMar>
              <w:top w:type="dxa" w:w="60"/>
              <w:left w:type="dxa" w:w="100"/>
              <w:bottom w:type="dxa" w:w="60"/>
              <w:right w:type="dxa" w:w="100"/>
            </w:tcMar>
          </w:tcPr>
          <w:p>
            <w:pPr>
              <w:spacing w:after="0" w:line="240"/>
            </w:pPr>
            <w:r>
              <w:rPr>
                <w:b w:val="false"/>
                <w:bCs w:val="false"/>
                <w:sz w:val="19"/>
                <w:szCs w:val="19"/>
              </w:rPr>
              <w:t xml:space="preserve">/datalake/raw/transactions/big</w:t>
            </w:r>
          </w:p>
        </w:tc>
      </w:tr>
      <w:tr>
        <w:tc>
          <w:tcPr>
            <w:tcW w:type="dxa" w:w="2400"/>
            <w:tcMar>
              <w:top w:type="dxa" w:w="60"/>
              <w:left w:type="dxa" w:w="100"/>
              <w:bottom w:type="dxa" w:w="60"/>
              <w:right w:type="dxa" w:w="100"/>
            </w:tcMar>
          </w:tcPr>
          <w:p>
            <w:pPr>
              <w:spacing w:after="0" w:line="240"/>
            </w:pPr>
            <w:r>
              <w:rPr>
                <w:b w:val="false"/>
                <w:bCs w:val="false"/>
                <w:sz w:val="19"/>
                <w:szCs w:val="19"/>
              </w:rPr>
              <w:t xml:space="preserve">transactions_part</w:t>
            </w:r>
          </w:p>
        </w:tc>
        <w:tc>
          <w:tcPr>
            <w:tcW w:type="dxa" w:w="1800"/>
            <w:tcMar>
              <w:top w:type="dxa" w:w="60"/>
              <w:left w:type="dxa" w:w="100"/>
              <w:bottom w:type="dxa" w:w="60"/>
              <w:right w:type="dxa" w:w="100"/>
            </w:tcMar>
          </w:tcPr>
          <w:p>
            <w:pPr>
              <w:spacing w:after="0" w:line="240"/>
            </w:pPr>
            <w:r>
              <w:rPr>
                <w:b w:val="false"/>
                <w:bCs w:val="false"/>
                <w:sz w:val="19"/>
                <w:szCs w:val="19"/>
              </w:rPr>
              <w:t xml:space="preserve">ORC, ZLIB</w:t>
            </w:r>
          </w:p>
        </w:tc>
        <w:tc>
          <w:tcPr>
            <w:tcW w:type="dxa" w:w="1400"/>
            <w:tcMar>
              <w:top w:type="dxa" w:w="60"/>
              <w:left w:type="dxa" w:w="100"/>
              <w:bottom w:type="dxa" w:w="60"/>
              <w:right w:type="dxa" w:w="100"/>
            </w:tcMar>
          </w:tcPr>
          <w:p>
            <w:pPr>
              <w:spacing w:after="0" w:line="240"/>
            </w:pPr>
            <w:r>
              <w:rPr>
                <w:b w:val="false"/>
                <w:bCs w:val="false"/>
                <w:sz w:val="19"/>
                <w:szCs w:val="19"/>
              </w:rPr>
              <w:t xml:space="preserve">24</w:t>
            </w:r>
          </w:p>
        </w:tc>
        <w:tc>
          <w:tcPr>
            <w:tcW w:type="dxa" w:w="4038"/>
            <w:tcMar>
              <w:top w:type="dxa" w:w="60"/>
              <w:left w:type="dxa" w:w="100"/>
              <w:bottom w:type="dxa" w:w="60"/>
              <w:right w:type="dxa" w:w="100"/>
            </w:tcMar>
          </w:tcPr>
          <w:p>
            <w:pPr>
              <w:spacing w:after="0" w:line="240"/>
            </w:pPr>
            <w:r>
              <w:rPr>
                <w:b w:val="false"/>
                <w:bCs w:val="false"/>
                <w:sz w:val="19"/>
                <w:szCs w:val="19"/>
              </w:rPr>
              <w:t xml:space="preserve">/datalake/processed/transactions_part</w:t>
            </w:r>
          </w:p>
        </w:tc>
      </w:tr>
    </w:tbl>
    <w:p>
      <w:pPr>
        <w:spacing w:after="0" w:line="120"/>
      </w:pPr>
      <w:r>
        <w:rPr>
          <w:sz w:val="10"/>
          <w:szCs w:val="10"/>
        </w:rPr>
        <w:t xml:space="preserve"/>
      </w:r>
    </w:p>
    <w:p>
      <w:pPr>
        <w:spacing w:after="120" w:line="276"/>
      </w:pPr>
      <w:r>
        <w:rPr>
          <w:sz w:val="22"/>
          <w:szCs w:val="22"/>
        </w:rPr>
        <w:t xml:space="preserve">La source recommandée pour PySpark est transactions_part, qui permet la lecture par partition :</w:t>
      </w:r>
    </w:p>
    <w:p>
      <w:pPr>
        <w:pBdr>
          <w:top w:val="single" w:color="DDDDD8" w:sz="2" w:space="4"/>
          <w:bottom w:val="single" w:color="DDDDD8" w:sz="2" w:space="4"/>
          <w:left w:val="single" w:color="2A78D6" w:sz="12" w:space="8"/>
          <w:right w:val="single" w:color="DDDDD8" w:sz="2" w:space="4"/>
        </w:pBdr>
        <w:shd w:fill="F5F5F2" w:val="clear"/>
        <w:spacing w:after="160" w:before="120"/>
        <w:jc w:val="left"/>
      </w:pPr>
      <w:r>
        <w:rPr>
          <w:rFonts w:ascii="Consolas" w:cs="Consolas" w:eastAsia="Consolas" w:hAnsi="Consolas"/>
          <w:sz w:val="18"/>
          <w:szCs w:val="18"/>
        </w:rPr>
        <w:t xml:space="preserve">df = spark.table("datawarehouse.transactions_part")</w:t>
      </w:r>
      <w:r>
        <w:br/>
      </w:r>
      <w:r>
        <w:rPr>
          <w:rFonts w:ascii="Consolas" w:cs="Consolas" w:eastAsia="Consolas" w:hAnsi="Consolas"/>
          <w:sz w:val="18"/>
          <w:szCs w:val="18"/>
        </w:rPr>
        <w:t xml:space="preserve">mars = df.filter((df.annee == 2025) &amp; (df.mois == 3))   # une seule partition lue</w:t>
      </w:r>
    </w:p>
    <w:p>
      <w:pPr>
        <w:spacing w:after="120" w:line="276"/>
      </w:pPr>
      <w:r>
        <w:rPr>
          <w:sz w:val="22"/>
          <w:szCs w:val="22"/>
        </w:rPr>
        <w:t xml:space="preserve">Les douze résultats sont déposés dans /datalake/results/hive/, un répertoire par requête. Les fichiers déposés dans HDFS ne portent pas de ligne d'en-tête, Hive n'en écrivant pas ; les noms et types de colonnes figurent dans le document dictionnaire_resultats.md livré avec le code, de même que les conventions de calcul retenues — notamment le fait que le panier moyen est la moyenne des montants, une ligne correspondant à une transaction donc à un panier.</w:t>
      </w:r>
    </w:p>
    <w:p>
      <w:pPr>
        <w:pStyle w:val="Heading1"/>
        <w:spacing w:after="200" w:before="360"/>
      </w:pPr>
      <w:r>
        <w:t xml:space="preserve">11. Limites et conclusion</w:t>
      </w:r>
    </w:p>
    <w:p>
      <w:pPr>
        <w:pStyle w:val="Heading2"/>
        <w:spacing w:after="140" w:before="280"/>
      </w:pPr>
      <w:r>
        <w:t xml:space="preserve">11.1 Limites du travail</w:t>
      </w:r>
    </w:p>
    <w:p>
      <w:pPr>
        <w:spacing w:after="120" w:line="276"/>
      </w:pPr>
      <w:r>
        <w:rPr>
          <w:sz w:val="22"/>
          <w:szCs w:val="22"/>
        </w:rPr>
        <w:t xml:space="preserve">Le cluster ne comporte qu'un seul DataNode. Le facteur de réplication vaut par conséquent 1, aucune tolérance aux pannes n'est démontrée, et les durées mesurées ne reflètent pas le comportement d'un cluster réellement distribué, où le temps de transfert réseau pèserait davantage.</w:t>
      </w:r>
    </w:p>
    <w:p>
      <w:pPr>
        <w:spacing w:after="120" w:line="276"/>
      </w:pPr>
      <w:r>
        <w:rPr>
          <w:sz w:val="22"/>
          <w:szCs w:val="22"/>
        </w:rPr>
        <w:t xml:space="preserve">Le jeu de données est synthétique. Les trois propriétés exposées en section 8 limitent la portée de toute conclusion commerciale : ce sont les choix du générateur que l'on observe, non des comportements d'achat.</w:t>
      </w:r>
    </w:p>
    <w:p>
      <w:pPr>
        <w:spacing w:after="120" w:line="276"/>
      </w:pPr>
      <w:r>
        <w:rPr>
          <w:sz w:val="22"/>
          <w:szCs w:val="22"/>
        </w:rPr>
        <w:t xml:space="preserve">Enfin, la comparaison avec MapReduce s'appuie sur nos propres références, faute de livrables transmis par le Groupe 4. Elle valide la logique analytique, non la chaîne Hadoop de ce groupe.</w:t>
      </w:r>
    </w:p>
    <w:p>
      <w:pPr>
        <w:pStyle w:val="Heading2"/>
        <w:spacing w:after="140" w:before="280"/>
      </w:pPr>
      <w:r>
        <w:t xml:space="preserve">11.2 Conclusion</w:t>
      </w:r>
    </w:p>
    <w:p>
      <w:pPr>
        <w:spacing w:after="120" w:line="276"/>
      </w:pPr>
      <w:r>
        <w:rPr>
          <w:sz w:val="22"/>
          <w:szCs w:val="22"/>
        </w:rPr>
        <w:t xml:space="preserve">L'objectif était de construire une couche analytique SQL au-dessus de données stockées dans HDFS, et de la valider. Il est atteint : les trois volumes sont décrits par des tables externes, une table ORC partitionnée par année et par mois constitue la couche de travail, douze requêtes répondent aux sept blocs demandés, et leurs résultats sont déposés à l'emplacement prévu pour le groupe suivant.</w:t>
      </w:r>
    </w:p>
    <w:p>
      <w:pPr>
        <w:spacing w:after="120" w:line="276"/>
      </w:pPr>
      <w:r>
        <w:rPr>
          <w:sz w:val="22"/>
          <w:szCs w:val="22"/>
        </w:rPr>
        <w:t xml:space="preserve">La validation est le point sur lequel nous avons porté le plus d'attention. Trois moteurs de calcul indépendants produisent les mêmes nombres, avec un écart rigoureusement nul sur vingt-deux comparaisons de fichiers. Les contrôles qualité ne relèvent aucune anomalie sur les 500 000 transactions, et la conversion au format ORC se fait sans perte.</w:t>
      </w:r>
    </w:p>
    <w:p>
      <w:pPr>
        <w:spacing w:after="120" w:line="276"/>
      </w:pPr>
      <w:r>
        <w:rPr>
          <w:sz w:val="22"/>
          <w:szCs w:val="22"/>
        </w:rPr>
        <w:t xml:space="preserve">Deux enseignements techniques se dégagent. Le premier est que le partitionnement ne produit d'effet que si les requêtes filtrent sur sa clé : nous l'avons mesuré, et notre benchmark montre qu'une requête balayant l'ensemble des données n'en tire aucun bénéfice. Le second est qu'un fichier compressé en gzip, bien que lisible par Hive, bride le parallélisme à un seul mapper — ce qui justifie à soi seul la conversion vers un format découpable.</w:t>
      </w:r>
    </w:p>
    <w:p>
      <w:pPr>
        <w:spacing w:after="120" w:line="276"/>
      </w:pPr>
      <w:r>
        <w:rPr>
          <w:sz w:val="22"/>
          <w:szCs w:val="22"/>
        </w:rPr>
        <w:t xml:space="preserve">Avec davantage de temps, trois prolongements s'imposeraient : l'ajout de DataNodes afin de mesurer l'effet réel de la distribution et de la réplication, l'essai du bucketing en complément du partitionnement, et la reprise de la comparaison avec les sorties véritables du Groupe 4 dès leur disponibilité.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8" w:sz="4" w:space="4"/>
      </w:pBdr>
      <w:jc w:val="right"/>
    </w:pPr>
    <w:r>
      <w:rPr>
        <w:color w:val="52514E"/>
        <w:sz w:val="16"/>
        <w:szCs w:val="16"/>
      </w:rPr>
      <w:t xml:space="preserve">TP6 — Hive et Data Warehouse distribué · Groupe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jc w:val="left"/>
    </w:pPr>
    <w:rPr>
      <w:rFonts w:ascii="Calibri" w:cs="Calibri" w:eastAsia="Calibri" w:hAnsi="Calibri"/>
      <w:b/>
      <w:bCs/>
      <w:color w:val="1A4E8A"/>
      <w:sz w:val="32"/>
      <w:szCs w:val="32"/>
    </w:rPr>
  </w:style>
  <w:style w:type="paragraph" w:styleId="Heading2">
    <w:name w:val="Heading 2"/>
    <w:basedOn w:val="Normal"/>
    <w:next w:val="Normal"/>
    <w:qFormat/>
    <w:pPr>
      <w:spacing w:after="140" w:before="280"/>
      <w:jc w:val="left"/>
    </w:pPr>
    <w:rPr>
      <w:rFonts w:ascii="Calibri" w:cs="Calibri" w:eastAsia="Calibri" w:hAnsi="Calibri"/>
      <w:b/>
      <w:bCs/>
      <w:color w:val="2A78D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ace5db2713c40186613096317aaa996af1c356.png"/><Relationship Id="rId10" Type="http://schemas.openxmlformats.org/officeDocument/2006/relationships/image" Target="media/83eb045919f5e18111a7c6fcca7d4bbcb6178e80.png"/><Relationship Id="rId11" Type="http://schemas.openxmlformats.org/officeDocument/2006/relationships/image" Target="media/651a2c0c1e69af33efc8d28b86848855f58e8503.png"/><Relationship Id="rId12" Type="http://schemas.openxmlformats.org/officeDocument/2006/relationships/image" Target="media/04af841d1fedddf72e94c721c2e9647832d99184.png"/><Relationship Id="rId13" Type="http://schemas.openxmlformats.org/officeDocument/2006/relationships/image" Target="media/356864ce8f642ec29720c074e0e9d8eeeaf36c9a.png"/><Relationship Id="rId14" Type="http://schemas.openxmlformats.org/officeDocument/2006/relationships/image" Target="media/b77103bf78edf2046ecd92ca5ec17befc01e5a1f.png"/><Relationship Id="rId15" Type="http://schemas.openxmlformats.org/officeDocument/2006/relationships/image" Target="media/fabd8ad6d7ee9440a8f3aa1d00f66c3ae53ce21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TP6 — Hive et Data Warehouse distribué</dc:title>
  <dc:creator>AMAH-TCHOUTCHOUI Ékué Donald</dc:creator>
  <dc:description>Rapport de l'exposé 6, M1 Big Data, UCAO-UUT</dc:description>
  <cp:lastModifiedBy>Un-named</cp:lastModifiedBy>
  <cp:revision>1</cp:revision>
  <dcterms:created xsi:type="dcterms:W3CDTF">2026-10-17T19:08:50.216Z</dcterms:created>
  <dcterms:modified xsi:type="dcterms:W3CDTF">2026-10-17T19:08:50.217Z</dcterms:modified>
</cp:coreProperties>
</file>

<file path=docProps/custom.xml><?xml version="1.0" encoding="utf-8"?>
<Properties xmlns="http://schemas.openxmlformats.org/officeDocument/2006/custom-properties" xmlns:vt="http://schemas.openxmlformats.org/officeDocument/2006/docPropsVTypes"/>
</file>