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C2FB4">
      <w:bookmarkStart w:id="0" w:name="_GoBack"/>
      <w:bookmarkEnd w:id="0"/>
      <w:r>
        <w:rPr>
          <w:rFonts w:ascii="黑体" w:hAnsi="黑体" w:eastAsia="黑体"/>
          <w:b/>
          <w:color w:val="000080"/>
          <w:sz w:val="32"/>
        </w:rPr>
        <w:t>第一章  项目概述</w:t>
      </w:r>
    </w:p>
    <w:p w14:paraId="36C7A410">
      <w:r>
        <w:rPr>
          <w:rFonts w:ascii="黑体" w:hAnsi="黑体" w:eastAsia="黑体"/>
          <w:b/>
          <w:sz w:val="28"/>
        </w:rPr>
        <w:t>1.1  项目背景</w:t>
      </w:r>
    </w:p>
    <w:p w14:paraId="2B22A00D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广东信力科技股份有限公司（以下简称"信力科技"）是一家专注于新材料研发与制造的高新技术企业，主营业务涵盖吸音降噪阻尼产品、减震阻燃密封产品、导热绝缘防护材料三大核心领域。随着市场竞争加剧与客户需求多样化，企业生产管理的精细化程度要求持续提升。</w:t>
      </w:r>
    </w:p>
    <w:p w14:paraId="3F2110EE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目前，信力科技已部署金蝶云星空（本地部署版）8.0作为企业核心ERP系统，在生产管理方面已初步实现信息化。然而，在生产排产环节，仍高度依赖人工经验与Excel工具进行排程决策，面临以下突出问题：</w:t>
      </w:r>
    </w:p>
    <w:p w14:paraId="1B89F5BF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排产效率低下：每周生产排产会议后，专职文员需将排产计划逐条手工录入ERP系统，日均耗时2-4小时，且易出错；</w:t>
      </w:r>
    </w:p>
    <w:p w14:paraId="60F81685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插单响应滞后：临时性加单或偶发性需求频繁，人工重排耗时长，无法快速评估插单对现有计划的影响；</w:t>
      </w:r>
    </w:p>
    <w:p w14:paraId="0B40ACD1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约束条件未量化：机台换模/清机时间、产品-机台适配关系、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员工</w:t>
      </w:r>
      <w:r>
        <w:rPr>
          <w:rFonts w:ascii="宋体" w:hAnsi="宋体" w:eastAsia="宋体"/>
          <w:b w:val="0"/>
          <w:sz w:val="24"/>
        </w:rPr>
        <w:t>工价均衡等关键约束未纳入系统化管理，计划可执行性受限；</w:t>
      </w:r>
    </w:p>
    <w:p w14:paraId="10B57B54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多车间管理割裂：减振、复配、阻尼三个车间的排产逻辑差异大，复配与阻尼车间仍依赖纸质工单，计件工资手工核算效率低；</w:t>
      </w:r>
    </w:p>
    <w:p w14:paraId="7C69DA4D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数据孤岛：排产所需数据分散于ERP、Excel、钉钉考勤等多个系统，缺乏统一的数据整合与智能分析平台。</w:t>
      </w:r>
    </w:p>
    <w:p w14:paraId="50B7936E">
      <w:r>
        <w:rPr>
          <w:rFonts w:ascii="黑体" w:hAnsi="黑体" w:eastAsia="黑体"/>
          <w:b/>
          <w:sz w:val="28"/>
        </w:rPr>
        <w:t>1.2  项目目标</w:t>
      </w:r>
    </w:p>
    <w:p w14:paraId="2270B849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本项目旨在为信力科技构建一套AI智能生产排产系统（Advanced Planning and Scheduling，APS），实现从"人排"到"智排"的数字化转型。具体目标如下：</w:t>
      </w:r>
    </w:p>
    <w:p w14:paraId="2C476674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排产自动化：覆盖减振、复配、阻尼三个车间的生产计划自动编排，排产耗时从数小时级缩短至分钟级；</w:t>
      </w:r>
    </w:p>
    <w:p w14:paraId="41B2F3ED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ERP深度集成：与金蝶云星空实现双向数据交互，消除手工录入，实现排产数据自动写入与下游单据自动触发；</w:t>
      </w:r>
    </w:p>
    <w:p w14:paraId="717EEF95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AI智能辅助：引入大语言模型技术，支持自然语言/语音指令的插单、调剂、查询等操作，降低系统使用门槛；</w:t>
      </w:r>
    </w:p>
    <w:p w14:paraId="5E63EDAD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工价均衡优化：将班组/员工计件工资均衡纳入排产优化目标，实现事前模拟、事后调整的可视化管控；</w:t>
      </w:r>
    </w:p>
    <w:p w14:paraId="29A40414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工资核算自动化：对接钉钉考勤数据，实现复配、阻尼车间计件工资的自动核算，替代纸质流程。</w:t>
      </w:r>
    </w:p>
    <w:p w14:paraId="0957DC27">
      <w:r>
        <w:rPr>
          <w:rFonts w:ascii="黑体" w:hAnsi="黑体" w:eastAsia="黑体"/>
          <w:b/>
          <w:color w:val="000080"/>
          <w:sz w:val="32"/>
        </w:rPr>
        <w:t>第</w:t>
      </w:r>
      <w:r>
        <w:rPr>
          <w:rFonts w:hint="eastAsia" w:ascii="黑体" w:hAnsi="黑体" w:eastAsia="黑体"/>
          <w:b/>
          <w:color w:val="000080"/>
          <w:sz w:val="32"/>
          <w:lang w:val="en-US" w:eastAsia="zh-CN"/>
        </w:rPr>
        <w:t>二</w:t>
      </w:r>
      <w:r>
        <w:rPr>
          <w:rFonts w:ascii="黑体" w:hAnsi="黑体" w:eastAsia="黑体"/>
          <w:b/>
          <w:color w:val="000080"/>
          <w:sz w:val="32"/>
        </w:rPr>
        <w:t>章  详细需求分析</w:t>
      </w:r>
    </w:p>
    <w:p w14:paraId="005F1486">
      <w:r>
        <w:rPr>
          <w:rFonts w:ascii="黑体" w:hAnsi="黑体" w:eastAsia="黑体"/>
          <w:b/>
          <w:sz w:val="28"/>
        </w:rPr>
        <w:t>3.1  功能需求总览</w:t>
      </w:r>
    </w:p>
    <w:p w14:paraId="48031158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根据业务现状与痛点分析，AI智能生产排产系统的功能需求划分为六大模块：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51"/>
        <w:gridCol w:w="2836"/>
      </w:tblGrid>
      <w:tr w14:paraId="56637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9832F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模块名称</w:t>
            </w:r>
          </w:p>
        </w:tc>
        <w:tc>
          <w:tcPr>
            <w:tcW w:w="2880" w:type="dxa"/>
          </w:tcPr>
          <w:p w14:paraId="63BD640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功能描述</w:t>
            </w:r>
          </w:p>
        </w:tc>
        <w:tc>
          <w:tcPr>
            <w:tcW w:w="2880" w:type="dxa"/>
          </w:tcPr>
          <w:p w14:paraId="23052F47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覆盖阶段</w:t>
            </w:r>
          </w:p>
        </w:tc>
      </w:tr>
      <w:tr w14:paraId="0B162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EFA82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智能排产引擎</w:t>
            </w:r>
          </w:p>
        </w:tc>
        <w:tc>
          <w:tcPr>
            <w:tcW w:w="2880" w:type="dxa"/>
          </w:tcPr>
          <w:p w14:paraId="3B5F37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基于约束规则自动生成排产方案，支持正向排程、插单重排、工价均衡优化</w:t>
            </w:r>
          </w:p>
        </w:tc>
        <w:tc>
          <w:tcPr>
            <w:tcW w:w="2880" w:type="dxa"/>
          </w:tcPr>
          <w:p w14:paraId="6C2520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第一步~第三步</w:t>
            </w:r>
          </w:p>
        </w:tc>
      </w:tr>
      <w:tr w14:paraId="00C2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0811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甘特图可视化</w:t>
            </w:r>
          </w:p>
        </w:tc>
        <w:tc>
          <w:tcPr>
            <w:tcW w:w="2880" w:type="dxa"/>
          </w:tcPr>
          <w:p w14:paraId="5AD52A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机台×时间维度的交互式甘特图，支持拖拽调整、颜色区分、换模标注</w:t>
            </w:r>
          </w:p>
        </w:tc>
        <w:tc>
          <w:tcPr>
            <w:tcW w:w="2880" w:type="dxa"/>
          </w:tcPr>
          <w:p w14:paraId="49CFA0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第一步</w:t>
            </w:r>
          </w:p>
        </w:tc>
      </w:tr>
      <w:tr w14:paraId="0E670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63C06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金蝶集成模块</w:t>
            </w:r>
          </w:p>
        </w:tc>
        <w:tc>
          <w:tcPr>
            <w:tcW w:w="2880" w:type="dxa"/>
          </w:tcPr>
          <w:p w14:paraId="39BB588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数据读取（WebAPI）与数据写入（BOS中间件），实现ERP双向打通</w:t>
            </w:r>
          </w:p>
        </w:tc>
        <w:tc>
          <w:tcPr>
            <w:tcW w:w="2880" w:type="dxa"/>
          </w:tcPr>
          <w:p w14:paraId="38C9172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第二步</w:t>
            </w:r>
          </w:p>
        </w:tc>
      </w:tr>
      <w:tr w14:paraId="67C27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2898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AI智能助手</w:t>
            </w:r>
          </w:p>
        </w:tc>
        <w:tc>
          <w:tcPr>
            <w:tcW w:w="2880" w:type="dxa"/>
          </w:tcPr>
          <w:p w14:paraId="21A8F85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自然语言/语音指令解析，支持插队、查询、调剂等智能交互</w:t>
            </w:r>
          </w:p>
        </w:tc>
        <w:tc>
          <w:tcPr>
            <w:tcW w:w="2880" w:type="dxa"/>
          </w:tcPr>
          <w:p w14:paraId="6EAE5F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第三步</w:t>
            </w:r>
          </w:p>
        </w:tc>
      </w:tr>
      <w:tr w14:paraId="1815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7C7D8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工资核算模块</w:t>
            </w:r>
          </w:p>
        </w:tc>
        <w:tc>
          <w:tcPr>
            <w:tcW w:w="2880" w:type="dxa"/>
          </w:tcPr>
          <w:p w14:paraId="689830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对接钉钉考勤，自动核算减振/复配/阻尼车间计件工资</w:t>
            </w:r>
          </w:p>
        </w:tc>
        <w:tc>
          <w:tcPr>
            <w:tcW w:w="2880" w:type="dxa"/>
          </w:tcPr>
          <w:p w14:paraId="6885EC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第四步</w:t>
            </w:r>
          </w:p>
        </w:tc>
      </w:tr>
      <w:tr w14:paraId="64EA0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6748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系统管理</w:t>
            </w:r>
          </w:p>
        </w:tc>
        <w:tc>
          <w:tcPr>
            <w:tcW w:w="2880" w:type="dxa"/>
          </w:tcPr>
          <w:p w14:paraId="573E6E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用户权限、机台台账、工价表、换模矩阵等基础数据维护</w:t>
            </w:r>
          </w:p>
        </w:tc>
        <w:tc>
          <w:tcPr>
            <w:tcW w:w="2880" w:type="dxa"/>
          </w:tcPr>
          <w:p w14:paraId="3EAA8D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贯穿全程</w:t>
            </w:r>
          </w:p>
        </w:tc>
      </w:tr>
    </w:tbl>
    <w:p w14:paraId="4F95EF8D">
      <w:r>
        <w:rPr>
          <w:rFonts w:ascii="黑体" w:hAnsi="黑体" w:eastAsia="黑体"/>
          <w:b/>
          <w:sz w:val="28"/>
        </w:rPr>
        <w:t>3.2  减振车间排产需求</w:t>
      </w:r>
    </w:p>
    <w:p w14:paraId="3DE125BE">
      <w:r>
        <w:rPr>
          <w:rFonts w:ascii="黑体" w:hAnsi="黑体" w:eastAsia="黑体"/>
          <w:b/>
          <w:sz w:val="24"/>
        </w:rPr>
        <w:t>3.2.1  排产基本单元</w:t>
      </w:r>
    </w:p>
    <w:p w14:paraId="2035378E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排产的最小单元定义为：1机台 × 1型号产品 × 1班次 × 1班组。其中：</w:t>
      </w:r>
    </w:p>
    <w:p w14:paraId="6C5EEDCF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机台：减振车间的生产设备，部分产品型号具有机台专用性；</w:t>
      </w:r>
    </w:p>
    <w:p w14:paraId="35523100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产品型号：需排产的具体产品规格；</w:t>
      </w:r>
    </w:p>
    <w:p w14:paraId="7A264B70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班次：12小时制（白夜班，2班）或8小时制（早中晚班，3班），根据周目标产量自动计算所需班次数；</w:t>
      </w:r>
    </w:p>
    <w:p w14:paraId="3C1C874C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班组：减振车间为1人1班组，复配/阻尼车间为2-3人组成1班组。</w:t>
      </w:r>
    </w:p>
    <w:p w14:paraId="7B6DAC15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一个机台根据产品和班次不同，可能产生2-3个排产任务。例如：某机台8小时标准产能为2600片，周目标产量为5000片，则需安排2个班次（早班、中班），每个班次排产5000片，生成2个流程卡。</w:t>
      </w:r>
    </w:p>
    <w:p w14:paraId="67BDFB28">
      <w:r>
        <w:rPr>
          <w:rFonts w:ascii="黑体" w:hAnsi="黑体" w:eastAsia="黑体"/>
          <w:b/>
          <w:sz w:val="24"/>
        </w:rPr>
        <w:t>3.2.2  数据来源</w:t>
      </w:r>
    </w:p>
    <w:p w14:paraId="28B42809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排产需求数据来源于以下渠道：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133"/>
        <w:gridCol w:w="2135"/>
        <w:gridCol w:w="2127"/>
      </w:tblGrid>
      <w:tr w14:paraId="2B79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D5A86B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数据类型</w:t>
            </w:r>
          </w:p>
        </w:tc>
        <w:tc>
          <w:tcPr>
            <w:tcW w:w="2160" w:type="dxa"/>
          </w:tcPr>
          <w:p w14:paraId="72EAC35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来源系统</w:t>
            </w:r>
          </w:p>
        </w:tc>
        <w:tc>
          <w:tcPr>
            <w:tcW w:w="2160" w:type="dxa"/>
          </w:tcPr>
          <w:p w14:paraId="727F1A5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获取方式</w:t>
            </w:r>
          </w:p>
        </w:tc>
        <w:tc>
          <w:tcPr>
            <w:tcW w:w="2160" w:type="dxa"/>
          </w:tcPr>
          <w:p w14:paraId="2043C67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频率</w:t>
            </w:r>
          </w:p>
        </w:tc>
      </w:tr>
      <w:tr w14:paraId="27787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F386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合同订单</w:t>
            </w:r>
          </w:p>
        </w:tc>
        <w:tc>
          <w:tcPr>
            <w:tcW w:w="2160" w:type="dxa"/>
          </w:tcPr>
          <w:p w14:paraId="0948CC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金蝶云星空</w:t>
            </w:r>
          </w:p>
        </w:tc>
        <w:tc>
          <w:tcPr>
            <w:tcW w:w="2160" w:type="dxa"/>
          </w:tcPr>
          <w:p w14:paraId="7F78C5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WebAPI实时查询</w:t>
            </w:r>
          </w:p>
        </w:tc>
        <w:tc>
          <w:tcPr>
            <w:tcW w:w="2160" w:type="dxa"/>
          </w:tcPr>
          <w:p w14:paraId="5F9825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按需</w:t>
            </w:r>
          </w:p>
        </w:tc>
      </w:tr>
      <w:tr w14:paraId="766E9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2974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客户滚动要货预测</w:t>
            </w:r>
          </w:p>
        </w:tc>
        <w:tc>
          <w:tcPr>
            <w:tcW w:w="2160" w:type="dxa"/>
          </w:tcPr>
          <w:p w14:paraId="05EB09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手工Excel</w:t>
            </w:r>
          </w:p>
        </w:tc>
        <w:tc>
          <w:tcPr>
            <w:tcW w:w="2160" w:type="dxa"/>
          </w:tcPr>
          <w:p w14:paraId="6F3CAC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系统导入</w:t>
            </w:r>
          </w:p>
        </w:tc>
        <w:tc>
          <w:tcPr>
            <w:tcW w:w="2160" w:type="dxa"/>
          </w:tcPr>
          <w:p w14:paraId="097452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每周</w:t>
            </w:r>
          </w:p>
        </w:tc>
      </w:tr>
      <w:tr w14:paraId="1A4E0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358E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委外采购单</w:t>
            </w:r>
          </w:p>
        </w:tc>
        <w:tc>
          <w:tcPr>
            <w:tcW w:w="2160" w:type="dxa"/>
          </w:tcPr>
          <w:p w14:paraId="03BAB5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金蝶云星空</w:t>
            </w:r>
          </w:p>
        </w:tc>
        <w:tc>
          <w:tcPr>
            <w:tcW w:w="2160" w:type="dxa"/>
          </w:tcPr>
          <w:p w14:paraId="562544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WebAPI实时查询</w:t>
            </w:r>
          </w:p>
        </w:tc>
        <w:tc>
          <w:tcPr>
            <w:tcW w:w="2160" w:type="dxa"/>
          </w:tcPr>
          <w:p w14:paraId="320761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按需</w:t>
            </w:r>
          </w:p>
        </w:tc>
      </w:tr>
      <w:tr w14:paraId="64EA1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9BA2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返工调拨单</w:t>
            </w:r>
          </w:p>
        </w:tc>
        <w:tc>
          <w:tcPr>
            <w:tcW w:w="2160" w:type="dxa"/>
          </w:tcPr>
          <w:p w14:paraId="62E303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金蝶云星空</w:t>
            </w:r>
          </w:p>
        </w:tc>
        <w:tc>
          <w:tcPr>
            <w:tcW w:w="2160" w:type="dxa"/>
          </w:tcPr>
          <w:p w14:paraId="281094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WebAPI实时查询</w:t>
            </w:r>
          </w:p>
        </w:tc>
        <w:tc>
          <w:tcPr>
            <w:tcW w:w="2160" w:type="dxa"/>
          </w:tcPr>
          <w:p w14:paraId="75CE71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按需</w:t>
            </w:r>
          </w:p>
        </w:tc>
      </w:tr>
    </w:tbl>
    <w:p w14:paraId="7FACAF2B">
      <w:r>
        <w:rPr>
          <w:rFonts w:ascii="黑体" w:hAnsi="黑体" w:eastAsia="黑体"/>
          <w:b/>
          <w:sz w:val="24"/>
        </w:rPr>
        <w:t>3.2.3  硬约束（不可违反）</w:t>
      </w:r>
    </w:p>
    <w:p w14:paraId="3B2214B8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硬约束是排产过程中必须严格遵守的条件，违反硬约束的排产方案视为不可行：</w:t>
      </w:r>
    </w:p>
    <w:p w14:paraId="4B06C944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产品-机台适配约束：部分产品型号只能在特定机台生产，需参考机台台账的硬约束清单；</w:t>
      </w:r>
    </w:p>
    <w:p w14:paraId="2D36C12D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机台单日单班唯一约束：一个机台在一个班次内只能安排一个产品型号；</w:t>
      </w:r>
    </w:p>
    <w:p w14:paraId="2BD70050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产能上限约束：排产量不得超过该机台该产品该班次的标准产能（12小时标准产能由技术中心评估，8小时为换算值）；</w:t>
      </w:r>
    </w:p>
    <w:p w14:paraId="57DB04B7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返工专线约束：返工任务只能排到指定的返工机台或产线；</w:t>
      </w:r>
    </w:p>
    <w:p w14:paraId="3E5DB118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换模时间约束：同机台同日更换产品型号时，必须预留换模/清机时间，具体时长参考机台台账的换模矩阵。</w:t>
      </w:r>
    </w:p>
    <w:p w14:paraId="68990CAF">
      <w:r>
        <w:rPr>
          <w:rFonts w:ascii="黑体" w:hAnsi="黑体" w:eastAsia="黑体"/>
          <w:b/>
          <w:sz w:val="24"/>
        </w:rPr>
        <w:t>3.2.4  软约束（优化目标）</w:t>
      </w:r>
    </w:p>
    <w:p w14:paraId="278254B3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软约束是排产过程中尽量满足的条件，用于在多可行方案中选择最优解：</w:t>
      </w:r>
    </w:p>
    <w:p w14:paraId="7E7DDB0E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优先级优先：按业务员指定的优先级排序排产，插队订单优先级最高；</w:t>
      </w:r>
    </w:p>
    <w:p w14:paraId="686D2329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工价均衡：在满足交期前提下，尽量平衡各班组/员工的当月累计计件收入，偏差控制在±20%以内；</w:t>
      </w:r>
    </w:p>
    <w:p w14:paraId="318EE195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换模最小化：同一机台尽量连续安排同型号或同系列产品，减少换模次数和换模时间；</w:t>
      </w:r>
    </w:p>
    <w:p w14:paraId="234C0C0D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产能利用率最大化：在满足订单需求的前提下，尽量减少机台空闲时间。</w:t>
      </w:r>
    </w:p>
    <w:p w14:paraId="53297593">
      <w:r>
        <w:rPr>
          <w:rFonts w:ascii="黑体" w:hAnsi="黑体" w:eastAsia="黑体"/>
          <w:b/>
          <w:sz w:val="24"/>
        </w:rPr>
        <w:t>3.2.5  三种排产类型</w:t>
      </w:r>
    </w:p>
    <w:p w14:paraId="53F95BCF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排产系统需支持以下三种排产类型，写入金蝶时对应不同的来源单据：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4"/>
        <w:gridCol w:w="1707"/>
        <w:gridCol w:w="1704"/>
        <w:gridCol w:w="1704"/>
      </w:tblGrid>
      <w:tr w14:paraId="3182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19B40E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排产类型</w:t>
            </w:r>
          </w:p>
        </w:tc>
        <w:tc>
          <w:tcPr>
            <w:tcW w:w="1728" w:type="dxa"/>
          </w:tcPr>
          <w:p w14:paraId="7834AF1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来源单据</w:t>
            </w:r>
          </w:p>
        </w:tc>
        <w:tc>
          <w:tcPr>
            <w:tcW w:w="1728" w:type="dxa"/>
          </w:tcPr>
          <w:p w14:paraId="4359916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金蝶单据类型</w:t>
            </w:r>
          </w:p>
        </w:tc>
        <w:tc>
          <w:tcPr>
            <w:tcW w:w="1728" w:type="dxa"/>
          </w:tcPr>
          <w:p w14:paraId="52AA96A6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计件规则</w:t>
            </w:r>
          </w:p>
        </w:tc>
        <w:tc>
          <w:tcPr>
            <w:tcW w:w="1728" w:type="dxa"/>
          </w:tcPr>
          <w:p w14:paraId="79125FC2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优先级</w:t>
            </w:r>
          </w:p>
        </w:tc>
      </w:tr>
      <w:tr w14:paraId="2E56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F807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正常生产排产</w:t>
            </w:r>
          </w:p>
        </w:tc>
        <w:tc>
          <w:tcPr>
            <w:tcW w:w="1728" w:type="dxa"/>
          </w:tcPr>
          <w:p w14:paraId="0E87A6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合同订单+预测</w:t>
            </w:r>
          </w:p>
        </w:tc>
        <w:tc>
          <w:tcPr>
            <w:tcW w:w="1728" w:type="dxa"/>
          </w:tcPr>
          <w:p w14:paraId="27955D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产线日排产（正常）</w:t>
            </w:r>
          </w:p>
        </w:tc>
        <w:tc>
          <w:tcPr>
            <w:tcW w:w="1728" w:type="dxa"/>
          </w:tcPr>
          <w:p w14:paraId="3AF8FA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标准计件单价</w:t>
            </w:r>
          </w:p>
        </w:tc>
        <w:tc>
          <w:tcPr>
            <w:tcW w:w="1728" w:type="dxa"/>
          </w:tcPr>
          <w:p w14:paraId="689659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按业务员指定</w:t>
            </w:r>
          </w:p>
        </w:tc>
      </w:tr>
      <w:tr w14:paraId="6A9C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4055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委外返回排产</w:t>
            </w:r>
          </w:p>
        </w:tc>
        <w:tc>
          <w:tcPr>
            <w:tcW w:w="1728" w:type="dxa"/>
          </w:tcPr>
          <w:p w14:paraId="64FD58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委外采购单</w:t>
            </w:r>
          </w:p>
        </w:tc>
        <w:tc>
          <w:tcPr>
            <w:tcW w:w="1728" w:type="dxa"/>
          </w:tcPr>
          <w:p w14:paraId="1B6F75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产线日排产（委外）</w:t>
            </w:r>
          </w:p>
        </w:tc>
        <w:tc>
          <w:tcPr>
            <w:tcW w:w="1728" w:type="dxa"/>
          </w:tcPr>
          <w:p w14:paraId="78BCC0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委外计件单价</w:t>
            </w:r>
          </w:p>
        </w:tc>
        <w:tc>
          <w:tcPr>
            <w:tcW w:w="1728" w:type="dxa"/>
          </w:tcPr>
          <w:p w14:paraId="349030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按业务员指定</w:t>
            </w:r>
          </w:p>
        </w:tc>
      </w:tr>
      <w:tr w14:paraId="79C57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43217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返工排产</w:t>
            </w:r>
          </w:p>
        </w:tc>
        <w:tc>
          <w:tcPr>
            <w:tcW w:w="1728" w:type="dxa"/>
          </w:tcPr>
          <w:p w14:paraId="78C6E4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返工调拨单</w:t>
            </w:r>
          </w:p>
        </w:tc>
        <w:tc>
          <w:tcPr>
            <w:tcW w:w="1728" w:type="dxa"/>
          </w:tcPr>
          <w:p w14:paraId="1FAFE2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产线日排产（返工）</w:t>
            </w:r>
          </w:p>
        </w:tc>
        <w:tc>
          <w:tcPr>
            <w:tcW w:w="1728" w:type="dxa"/>
          </w:tcPr>
          <w:p w14:paraId="2A1A53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返工计件单价</w:t>
            </w:r>
          </w:p>
        </w:tc>
        <w:tc>
          <w:tcPr>
            <w:tcW w:w="1728" w:type="dxa"/>
          </w:tcPr>
          <w:p w14:paraId="7BFB99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按业务员指定</w:t>
            </w:r>
          </w:p>
        </w:tc>
      </w:tr>
    </w:tbl>
    <w:p w14:paraId="48761F36">
      <w:r>
        <w:rPr>
          <w:rFonts w:ascii="黑体" w:hAnsi="黑体" w:eastAsia="黑体"/>
          <w:b/>
          <w:sz w:val="24"/>
        </w:rPr>
        <w:t>3.2.6  插单与重排规则</w:t>
      </w:r>
    </w:p>
    <w:p w14:paraId="2DB30747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插单是减振车间排产的高频场景，需满足以下业务规则：</w:t>
      </w:r>
    </w:p>
    <w:p w14:paraId="40BB61CA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插队申请：业务员提交插队需求，指定"某订单必须在某天完成"，无需指定具体机台和班次；</w:t>
      </w:r>
    </w:p>
    <w:p w14:paraId="0D5B3433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系统寻优：排产系统在满足硬约束的前提下，自动寻找最优机台和班次安排插队订单；</w:t>
      </w:r>
    </w:p>
    <w:p w14:paraId="61B5001C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被挤任务调剂：插队导致原有任务被挤出时，系统按以下优先级推荐调剂方案：</w:t>
      </w:r>
    </w:p>
    <w:p w14:paraId="6C9A6AD3">
      <w:pPr>
        <w:pStyle w:val="2"/>
        <w:spacing w:line="360" w:lineRule="auto"/>
        <w:ind w:left="850"/>
      </w:pPr>
      <w:r>
        <w:rPr>
          <w:rFonts w:ascii="宋体" w:hAnsi="宋体" w:eastAsia="宋体"/>
          <w:b w:val="0"/>
          <w:sz w:val="24"/>
        </w:rPr>
        <w:t>优先级1：同产品其他可用机台（产能允许，换模时间最短）；</w:t>
      </w:r>
    </w:p>
    <w:p w14:paraId="5145AE72">
      <w:pPr>
        <w:pStyle w:val="2"/>
        <w:spacing w:line="360" w:lineRule="auto"/>
        <w:ind w:left="850"/>
      </w:pPr>
      <w:r>
        <w:rPr>
          <w:rFonts w:ascii="宋体" w:hAnsi="宋体" w:eastAsia="宋体"/>
          <w:b w:val="0"/>
          <w:sz w:val="24"/>
        </w:rPr>
        <w:t>优先级2：原机台日期顺延（检查后续日期产能是否允许）；</w:t>
      </w:r>
    </w:p>
    <w:p w14:paraId="06E4152F">
      <w:pPr>
        <w:pStyle w:val="2"/>
        <w:spacing w:line="360" w:lineRule="auto"/>
        <w:ind w:left="850"/>
      </w:pPr>
      <w:r>
        <w:rPr>
          <w:rFonts w:ascii="宋体" w:hAnsi="宋体" w:eastAsia="宋体"/>
          <w:b w:val="0"/>
          <w:sz w:val="24"/>
        </w:rPr>
        <w:t>优先级3：跨机台+跨日期组合调整（需人工确认）。</w:t>
      </w:r>
    </w:p>
    <w:p w14:paraId="2E7EF54F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同日同机台换产品：允许插队导致同机台同日更换产品，系统自动计算换模时间并插入空闲时段，若换模后超出班次可用时间，系统提示不可行并推荐替代方案。</w:t>
      </w:r>
    </w:p>
    <w:p w14:paraId="46B82EF1">
      <w:r>
        <w:rPr>
          <w:rFonts w:ascii="黑体" w:hAnsi="黑体" w:eastAsia="黑体"/>
          <w:b/>
          <w:sz w:val="24"/>
        </w:rPr>
        <w:t>3.2.7  工价均衡调剂</w:t>
      </w:r>
    </w:p>
    <w:p w14:paraId="0BE068C2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工价均衡是减振车间排产的重要优化目标，支持三种调剂时机：</w:t>
      </w:r>
    </w:p>
    <w:p w14:paraId="7FACEF90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事前优化（模拟排产时）：在生成初始排产方案时，系统将工价均衡作为软约束纳入优化目标，优先将高单价产品分配给收入偏低的班组；</w:t>
      </w:r>
    </w:p>
    <w:p w14:paraId="776DA30F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事后调整（排产后）：排产完成后，车间主管可在甘特图上拖拽更换产品型号，系统实时计算工资变化并给出均衡建议；</w:t>
      </w:r>
    </w:p>
    <w:p w14:paraId="6BEE6EAF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再次调整：支持多次微调，直至工价均衡达到可接受范围。</w:t>
      </w:r>
    </w:p>
    <w:p w14:paraId="0CF1C725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调剂手段主要为更换产品型号（换单价高的或换单价低的），系统提供可视化仪表盘展示各班组/员工的当月累计计件工资与平均线的偏差。</w:t>
      </w:r>
    </w:p>
    <w:p w14:paraId="259A2698">
      <w:r>
        <w:rPr>
          <w:rFonts w:ascii="黑体" w:hAnsi="黑体" w:eastAsia="黑体"/>
          <w:b/>
          <w:sz w:val="28"/>
        </w:rPr>
        <w:t>3.3  复配车间排产需求</w:t>
      </w:r>
    </w:p>
    <w:p w14:paraId="2AD534C3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复配车间设有预成型和B炼2条产线，均为专用机台，不涉及机台选择问题。排产逻辑如下：</w:t>
      </w:r>
    </w:p>
    <w:p w14:paraId="32BCC68F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周排产计划：专职文员根据排产会议结论（正常订单+囤货计划+返工件）制定周排产计划Excel；</w:t>
      </w:r>
    </w:p>
    <w:p w14:paraId="2C8209EA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日生产指令：管生产专员根据周计划，按成品BOM分解为半成品BOM的日生产指令，每个指令包含6-7种计件汇总，每种计件工价不同；</w:t>
      </w:r>
    </w:p>
    <w:p w14:paraId="3891FFEE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班组安排：工段长根据员工早晚班考勤计划安排班组，但需处理请假、调班等临时变动；</w:t>
      </w:r>
    </w:p>
    <w:p w14:paraId="58590A7D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工资核算：班组当班计件工价总和均摊至当天实际出勤人员，需与钉钉考勤核对。</w:t>
      </w:r>
    </w:p>
    <w:p w14:paraId="4216430C">
      <w:r>
        <w:rPr>
          <w:rFonts w:ascii="黑体" w:hAnsi="黑体" w:eastAsia="黑体"/>
          <w:b/>
          <w:sz w:val="28"/>
        </w:rPr>
        <w:t>3.4  阻尼车间排产需求</w:t>
      </w:r>
    </w:p>
    <w:p w14:paraId="6BCD1095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阻尼车间设有胶条、隔音胶、阻尼块3条产线，班次为1班或2班。与复配车间的主要差异在于计件方式：</w:t>
      </w:r>
    </w:p>
    <w:p w14:paraId="0E986847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大机（2.0）：每天前5车按重量计算工价，5车以后按车数计算；</w:t>
      </w:r>
    </w:p>
    <w:p w14:paraId="2712F840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中机（1.6）：每天前7车按重量计算工价，7车以后按车数计算；</w:t>
      </w:r>
    </w:p>
    <w:p w14:paraId="206C22BD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小机（1.4）：每天前13车按重量计算工价，13车以后按车数计算。</w:t>
      </w:r>
    </w:p>
    <w:p w14:paraId="7D42EF1F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排产系统需内置上述阶梯计价规则，根据日产量自动判断适用哪种计价方式，并生成对应的工资核算数据。</w:t>
      </w:r>
    </w:p>
    <w:p w14:paraId="435D3380">
      <w:r>
        <w:rPr>
          <w:rFonts w:ascii="黑体" w:hAnsi="黑体" w:eastAsia="黑体"/>
          <w:b/>
          <w:sz w:val="28"/>
        </w:rPr>
        <w:t>3.5  工资核算需求</w:t>
      </w:r>
    </w:p>
    <w:p w14:paraId="42B4E6EE">
      <w:r>
        <w:rPr>
          <w:rFonts w:ascii="黑体" w:hAnsi="黑体" w:eastAsia="黑体"/>
          <w:b/>
          <w:sz w:val="24"/>
        </w:rPr>
        <w:t>3.5.1  减振车间工资核算</w:t>
      </w:r>
    </w:p>
    <w:p w14:paraId="7A6E06CE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减振车间员工计件工资数据来源于金蝶ERP系统。员工扫码报工后，ERP记录入库数量，但工资核算以仓库审核的最终入库数量为准。例如：生产日排产单扫码900片，仓库审核入库850片，则工资按850片核算。系统需从金蝶取流程卡数据，与入库数量二次比对后生成工资报表。</w:t>
      </w:r>
    </w:p>
    <w:p w14:paraId="1D4384DA">
      <w:r>
        <w:rPr>
          <w:rFonts w:ascii="黑体" w:hAnsi="黑体" w:eastAsia="黑体"/>
          <w:b/>
          <w:sz w:val="24"/>
        </w:rPr>
        <w:t>3.5.2  复配/阻尼车间工资核算</w:t>
      </w:r>
    </w:p>
    <w:p w14:paraId="203A6A53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复配和阻尼车间的工资核算需对接钉钉考勤API，获取每日班组出勤人员信息。结合排产系统生成的日工单（班组计件总价），均摊至当天实际出勤人员。系统需处理以下异常情况：</w:t>
      </w:r>
    </w:p>
    <w:p w14:paraId="24FF602D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顶班：某员工临时顶替其他岗位，需按实际出勤岗位核算工资；</w:t>
      </w:r>
    </w:p>
    <w:p w14:paraId="4EBCFC08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请假/调班：员工请假或调班时，需从钉钉获取实际出勤记录，调整工资分摊基数；</w:t>
      </w:r>
    </w:p>
    <w:p w14:paraId="6A094F82">
      <w:pPr>
        <w:pStyle w:val="2"/>
        <w:spacing w:line="360" w:lineRule="auto"/>
        <w:ind w:left="567"/>
      </w:pPr>
      <w:r>
        <w:rPr>
          <w:rFonts w:ascii="宋体" w:hAnsi="宋体" w:eastAsia="宋体"/>
          <w:b w:val="0"/>
          <w:sz w:val="24"/>
        </w:rPr>
        <w:t>薪酬体系差异：有底薪员工与无底薪员工的计件标准工价不同，系统根据员工档案自动匹配。</w:t>
      </w:r>
    </w:p>
    <w:p w14:paraId="65E39BB7">
      <w:r>
        <w:rPr>
          <w:rFonts w:ascii="黑体" w:hAnsi="黑体" w:eastAsia="黑体"/>
          <w:b/>
          <w:sz w:val="24"/>
        </w:rPr>
        <w:t>3.5.3  仓库员工工资核算</w:t>
      </w:r>
    </w:p>
    <w:p w14:paraId="3BF04B3A"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仓库员工工资按当月出货重量（吨数）核算。仓库主管从系统获取当月出库重量数据，提交给核算员。排产系统需从金蝶取当月出库数据，自动生成仓库员工工资核算报表。</w:t>
      </w:r>
    </w:p>
    <w:p w14:paraId="01DDF4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3DBDEA"/>
    <w:multiLevelType w:val="singleLevel"/>
    <w:tmpl w:val="713DBDEA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006C7"/>
    <w:rsid w:val="3682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3360</Words>
  <Characters>3540</Characters>
  <Lines>0</Lines>
  <Paragraphs>0</Paragraphs>
  <TotalTime>0</TotalTime>
  <ScaleCrop>false</ScaleCrop>
  <LinksUpToDate>false</LinksUpToDate>
  <CharactersWithSpaces>3587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2026-08-17T00:27:00Z</dcterms:created>
  <dc:creator>Administrator</dc:creator>
  <cp:lastModifiedBy>WPS_1644718354</cp:lastModifiedBy>
  <dcterms:modified xsi:type="dcterms:W3CDTF">2026-08-25T03:05:19Z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eyJoZGlkIjoiM2E2NDcwM2YwMzU2NTFhYzQ0Y2FlOWNlNTU2NTdkMDUiLCJ1c2VySWQiOiIzNDY3Mjk2NDgifQ==</vt:lpwstr>
  </property>
  <property fmtid="{D5CDD505-2E9C-101B-9397-08002B2CF9AE}" pid="4" name="ICV">
    <vt:lpwstr>64E23F91B1224294805274162E5A267D_13</vt:lpwstr>
  </property>
</Properties>
</file>