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45A32"/>
          <w:sz w:val="48"/>
          <w:szCs w:val="48"/>
        </w:rPr>
        <w:t xml:space="preserve">PROCEDURE DE COORDINATION MEP</w:t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Gestion des interfaces fluides - electricite - structure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BTP Construct SAS - PRO-MEP-003 - Version 1.4 - Mars 2025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5A32"/>
          <w:sz w:val="32"/>
          <w:szCs w:val="32"/>
        </w:rPr>
        <w:t xml:space="preserve">1. Objet de la procedure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Cette procedure definit les regles de coordination entre les corps d'etat techniques (MEP : Mechanical, Electrical, Plumbing) et les disciplines de genie civil (Architecture, Structure) sur les projets de l'entreprise BTP Construct SAS.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Elle s'applique a partir de la phase PRO et s'impose a toutes les equipes de conception et aux sous-traitants MEP.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5A32"/>
          <w:sz w:val="32"/>
          <w:szCs w:val="32"/>
        </w:rPr>
        <w:t xml:space="preserve">2. Zones de reserves et passages de gaines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2.1 Principes de hierarchie MEP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cas de conflit de passage entre corps d'etat, la hierarchie suivante s'applique (priorite decroissante)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Reseaux gravitaires sans possibilite de deviation (evacuation EU, EP)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Gaines de ventilation (contraintes dimensionnelles fortes)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Reseaux de sprinkler (parcours impose par calcul hydraulique)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Gaines electriques courants forts (chemins de cables)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Tuyauteries CVC sous pression (modulables)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Tuyauteries plomberie sous pression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Courants faibles et reseaux informatiques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corps d'etat de priorite superieure ne modifie pas son trace. C'est au corps d'etat de priorite inferieure de s'adapter.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2.2 Gardes a vue minimales obligatoires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Garde a vue min.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Recommandee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Entre deux gaines ventilation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Hors isolation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Gaine ventilation / tuyauterie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75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Isolation comprise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Tuyauterie / chemin de cables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DEEE inclus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Entre deux tuyauteries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Hors isolation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Reseau / dalle beton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Gorge + fixation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Reseau / poutre beton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 maintenance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Reseau / structure metallique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Dilatation thermique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2.3 Hauteur libre de passage minimale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hauteurs libres minimales sous les reseaux techniques sont les suivantes 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Zones accessibles au public : 2,20 m minimum sous le point le plus bas du reseau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Locaux techniques : 1,80 m minimum sous le point le plus bas du reseau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Gaines verticales : 0,60 m minimum de garde devant les organes de coupure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Faux-plafonds : Reserve minimale de 400 mm entre dalle et faux-plafond en zone courante, 600 mm en zone de coordination dense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5A32"/>
          <w:sz w:val="32"/>
          <w:szCs w:val="32"/>
        </w:rPr>
        <w:t xml:space="preserve">3. Dimensionnement des reservations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3.1 Reservations dans dalles beton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reservations dans les dalles sont dimensionnees en appliquant les majorations suivantes sur le diametre ou les dimensions exterieures du reseau (isolation comprise)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reseau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Majoration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Tuyauterie plomberie (D &lt; 50 mm)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+30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Jeu de mise en oeuvre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Tuyauterie plomberie (D &gt;= 50 mm)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+50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Jeu + fourreau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Gaine ventilation rectangulaire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+60 mm chaque cote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Passage + isolation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Gaine ventilation circulaire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+40 mm diametre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Passage + isolation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Goulotte electrique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+40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Jeu de mise en oeuvre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Fourreaux electriques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+20 mm par fourreau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Jeu de tirage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reservation minimale dans une dalle est de 150 x 150 mm. En dessous de cette dimension, il n'est pas pose de reservation : le percage est realise en travaux.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3.2 Reservations dans voiles beton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reservations dans les voiles beton porteurs sont soumises a validation du bureau d'etudes structure avant integration dans la maquette. La procedure est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coordinateur MEP identifie le besoin de reservation dans le voile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emet une demande de reservation via BCF sur BIM Collab Zoom, assignee au BE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BE Structure valide ou propose une position alternative sous 5 jours ouvrables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reservation validee est integree dans la maquette Structure et la maquette MEP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numero unique est attribue a chaque reservation (format : RES-VOI-XXXX)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5A32"/>
          <w:sz w:val="32"/>
          <w:szCs w:val="32"/>
        </w:rPr>
        <w:t xml:space="preserve">4. Gestion des traversees coupe-feu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Toute traversee d'une paroi classee coupe-feu (EI30, EI60, EI120) par un reseau technique doit faire l'objet d'un traitement coupe-feu specifique. Les regles sont les suivantes 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Tuyauterie metallique : manchon intumescent a compenser dimensionne selon le DTU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Tuyauterie PVC / plastique : manchon intumescent obligatoire, dimensions selon produit retenu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Gaine de ventilation : registre coupe-feu motorise avec fusible thermique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Cables electriques : masticage et cale-feu selon la charge de cables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coordinateur MEP est responsable de la mise a jour de la liste des traversees coupe-feu (document PRO-MEP-003-ANN01) apres chaque session de coordination.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5A32"/>
          <w:sz w:val="32"/>
          <w:szCs w:val="32"/>
        </w:rPr>
        <w:t xml:space="preserve">5. Procedure de synthese des reseaux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5.1 Frequence et livrables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synthese des reseaux est realisee selon le calendrier suivant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Mise a jour maquettes individuelles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Hebdomadaire (vendredi 12h)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Fichiers IFC livres sur CDE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Federation des maquettes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Hebdomadaire (vendredi 14h)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Modele federe Navisworks (.nwf)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Rapport de clashs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Hebdomadaire (vendredi 17h)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Rapport PDF + export BCF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Reunion de coordination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Lundi 9h00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Compte-rendu sous 24h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Synthese complete par 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Mensuelle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Rapport de synthese valide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5.2 Zones de synthese prioritaires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zones suivantes font l'objet d'une synthese renforcee (hebdomadaire) en raison de leur complexite 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Locaux techniques (chaufferie, TGBT, groupe froid) : coordination intensive avant demarrage gros oeuvre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Faux-plafonds de couloirs de circulation (forte densite de reseaux)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Traversees de dalles en zone de gaines verticales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Interfaces facades (passages de reseaux en tableau de facade)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Locaux humides (salles de bains, cuisines) : synthese plomberie / electricite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5A32"/>
          <w:sz w:val="32"/>
          <w:szCs w:val="32"/>
        </w:rPr>
        <w:t xml:space="preserve">6. Documents de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DTU 60.11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Plomberie sanitaire - Regles de calcul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Conception reseaux EU/EF/EC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 C 15-100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Installations electriques basse tension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Electricite courants forts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 EN 12599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Ventilation des batiments - Essais de reception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CVC ventilation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ISO 19650-2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Organisation de l'information sur les ouvrages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BIM process global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 246 / MS58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Instructions securite incendie ERP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Compartimentage coupe-feu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Charte BIM BTPConstruct v3.0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Standards de modelisation entreprise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Tous corps d'etat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BTP Construct SAS - PRO-MEP-003 v1.4 - Document confidentiel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45A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E844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2026-06-08T04:34:03.069Z</dcterms:created>
  <dcterms:modified xsi:type="dcterms:W3CDTF">2026-06-08T04:34:03.070Z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