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Global Air Quality Dynamics and Industrial Policy:</w:t>
        <w:br/>
        <w:t>A Big Data Analytics Approach Using Distributed Processing</w:t>
      </w:r>
    </w:p>
    <w:p/>
    <w:p>
      <w:pPr>
        <w:jc w:val="center"/>
      </w:pPr>
      <w:r>
        <w:rPr>
          <w:sz w:val="24"/>
        </w:rPr>
        <w:t>Module: H9DISS1 - Data Intensive Scalable Systems</w:t>
      </w:r>
    </w:p>
    <w:p>
      <w:pPr>
        <w:jc w:val="center"/>
      </w:pPr>
      <w:r>
        <w:rPr>
          <w:sz w:val="24"/>
        </w:rPr>
        <w:t>Academic Year: 2024/2025 Semester 2</w:t>
      </w:r>
    </w:p>
    <w:p>
      <w:pPr>
        <w:jc w:val="center"/>
      </w:pPr>
      <w:r>
        <w:rPr>
          <w:sz w:val="24"/>
        </w:rPr>
        <w:t>Word Count: ~3,000 (excluding references)</w:t>
      </w:r>
    </w:p>
    <w:p>
      <w:r>
        <w:br w:type="page"/>
      </w:r>
    </w:p>
    <w:p>
      <w:pPr>
        <w:pStyle w:val="Heading1"/>
      </w:pPr>
      <w:r>
        <w:t>Abstract</w:t>
      </w:r>
    </w:p>
    <w:p>
      <w:r>
        <w:t>This project investigates the relationship between industrial activity, environmental regulation, and air quality across 15 countries using a large-scale synthetic dataset of over 169,000 records (50+ MB). The study employs a fully automated big data pipeline comprising synthetic data generation in Python, cloud storage on Amazon Web Services (AWS) S3, distributed processing with Apache Spark (PySpark), and structured storage in an SQLite database. A follow-up analysis using scikit-learn and XGBoost evaluates three machine learning models for Air Quality Index (AQI) prediction through hyperparameter tuning with RandomizedSearchCV. The Gradient Boosting Regressor achieved the highest predictive accuracy with an R-squared score of 1.0 and RMSE of 0.028. Key findings reveal that countries with carbon tax policies exhibit 17.1% lower AQI values, a negative correlation (r = -0.158) exists between regulation stringency and pollution levels, and Nigeria consistently ranks as the most polluted nation while Germany emerges as the cleanest. The entire pipeline is automated within a single process control flow, demonstrating end-to-end scalable data processing from ingestion through analysis and visualisation.</w:t>
      </w:r>
    </w:p>
    <w:p>
      <w:r>
        <w:br w:type="page"/>
      </w:r>
    </w:p>
    <w:p>
      <w:pPr>
        <w:pStyle w:val="Heading1"/>
      </w:pPr>
      <w:r>
        <w:t>1. Introduction</w:t>
      </w:r>
    </w:p>
    <w:p>
      <w:r>
        <w:t>Air pollution is one of the most pressing global public health challenges, responsible for an estimated 9 million premature deaths annually</w:t>
      </w:r>
      <w:r>
        <w:rPr>
          <w:sz w:val="22"/>
        </w:rPr>
        <w:t xml:space="preserve"> (Landrigan et al., 2018)</w:t>
      </w:r>
      <w:r>
        <w:t>. The complex interplay between industrial activity, governmental policy, and environmental outcomes demands sophisticated data-driven approaches to understand patterns and inform effective interventions. As datasets capturing air quality measurements grow in both volume and dimensionality, traditional analytical methods become insufficient, necessitating distributed computing frameworks capable of processing data at scale.</w:t>
      </w:r>
    </w:p>
    <w:p>
      <w:r>
        <w:t>The World Health Organization (WHO) has established global air quality guidelines that set target concentrations for key pollutants including PM2.5, PM10, NO2, SO2, and O3</w:t>
      </w:r>
      <w:r>
        <w:rPr>
          <w:sz w:val="22"/>
        </w:rPr>
        <w:t xml:space="preserve"> (WHO, 2021)</w:t>
      </w:r>
      <w:r>
        <w:t>. However, the effectiveness of national policies in achieving these targets varies significantly across jurisdictions, creating an opportunity for comparative analysis using big data techniques. The sheer volume and complexity of multi-dimensional environmental data, spanning temporal, spatial, and industrial dimensions, necessitates distributed computing paradigms such as Apache Spark to perform meaningful aggregations and derive actionable insights within reasonable timeframes.</w:t>
      </w:r>
    </w:p>
    <w:p>
      <w:r>
        <w:t>This project contributes to the growing body of literature on environmental big data analytics by implementing a complete, reproducible pipeline that addresses the full data lifecycle: from generation and cloud-based storage through distributed processing, relational database storage, statistical analysis, and predictive modelling. By examining data across 15 countries with diverse regulatory environments and industrial profiles, the study provides a comparative framework for evaluating the efficacy of different policy approaches to air quality management.</w:t>
      </w:r>
    </w:p>
    <w:p>
      <w:pPr>
        <w:pStyle w:val="Heading2"/>
      </w:pPr>
      <w:r>
        <w:t>1.1 Research Questions</w:t>
      </w:r>
    </w:p>
    <w:p>
      <w:pPr>
        <w:pStyle w:val="ListBullet"/>
      </w:pPr>
      <w:r>
        <w:t>This project addresses three novel research questions:</w:t>
      </w:r>
    </w:p>
    <w:p>
      <w:pPr>
        <w:pStyle w:val="ListBullet"/>
      </w:pPr>
      <w:r>
        <w:t>RQ1: How does industrial output intensity correlate with air quality metrics across countries with varying regulatory frameworks?</w:t>
      </w:r>
    </w:p>
    <w:p>
      <w:pPr>
        <w:pStyle w:val="ListBullet"/>
      </w:pPr>
      <w:r>
        <w:t>RQ2: What is the measurable impact of carbon tax policies on AQI reduction when controlling for industrial activity?</w:t>
      </w:r>
    </w:p>
    <w:p>
      <w:pPr>
        <w:pStyle w:val="ListBullet"/>
      </w:pPr>
      <w:r>
        <w:t>RQ3: Can machine learning models accurately predict AQI from environmental, industrial, and policy features, and which algorithm performs best after hyperparameter tuning?</w:t>
      </w:r>
    </w:p>
    <w:p>
      <w:pPr>
        <w:pStyle w:val="Heading2"/>
      </w:pPr>
      <w:r>
        <w:t>1.2 Project Objectives</w:t>
      </w:r>
    </w:p>
    <w:p>
      <w:r>
        <w:t>The primary objective is to design, implement, and evaluate a fully automated big data pipeline that: (a) generates a realistic 50+ MB air quality dataset spanning 15 countries and 38 cities over a 10-year period; (b) stores the dataset in AWS S3 blob storage; (c) processes the data using Apache Spark distributed MapReduce operations; (d) stores aggregated results in an SQLite database; (e) performs comprehensive statistical and visual analysis; and (f) trains and tunes machine learning models for AQI prediction. The MapReduce paradigm, originally proposed by Dean and Ghemawat</w:t>
      </w:r>
      <w:r>
        <w:rPr>
          <w:sz w:val="22"/>
        </w:rPr>
        <w:t xml:space="preserve"> (Dean and Ghemawat, 2008)</w:t>
      </w:r>
      <w:r>
        <w:t>, underpins the distributed processing stage of this pipeline.</w:t>
      </w:r>
    </w:p>
    <w:p>
      <w:pPr>
        <w:pStyle w:val="Heading1"/>
      </w:pPr>
      <w:r>
        <w:t>2. Related Work</w:t>
      </w:r>
    </w:p>
    <w:p>
      <w:r>
        <w:t>The application of distributed computing to environmental data analysis has gained significant traction. Zaharia et al. introduced Apache Spark as an in-memory cluster computing framework that addresses the limitations of Hadoop MapReduce for iterative algorithms</w:t>
      </w:r>
      <w:r>
        <w:rPr>
          <w:sz w:val="22"/>
        </w:rPr>
        <w:t xml:space="preserve"> (Zaharia et al., 2010)</w:t>
      </w:r>
      <w:r>
        <w:t>. Spark's Resilient Distributed Datasets (RDDs) and DataFrame API enable efficient parallel processing of large-scale datasets, making it particularly suitable for environmental monitoring data that requires complex aggregations across temporal and spatial dimensions.</w:t>
      </w:r>
    </w:p>
    <w:p>
      <w:r>
        <w:t>In the domain of air quality prediction, machine learning approaches have demonstrated considerable promise. Chen and Guestrin developed XGBoost, a scalable tree boosting system that has achieved state-of-the-art results across numerous prediction tasks</w:t>
      </w:r>
      <w:r>
        <w:rPr>
          <w:sz w:val="22"/>
        </w:rPr>
        <w:t xml:space="preserve"> (Chen and Guestrin, 2016)</w:t>
      </w:r>
      <w:r>
        <w:t>. The gradient boosting framework builds upon the foundational work of Friedman, who formalised the gradient boosting machine as a greedy function approximation method</w:t>
      </w:r>
      <w:r>
        <w:rPr>
          <w:sz w:val="22"/>
        </w:rPr>
        <w:t xml:space="preserve"> (Friedman, 2001)</w:t>
      </w:r>
      <w:r>
        <w:t>. These ensemble methods complement the Random Forest approach proposed by Breiman, which constructs multiple decision trees and aggregates their predictions to reduce variance</w:t>
      </w:r>
      <w:r>
        <w:rPr>
          <w:sz w:val="22"/>
        </w:rPr>
        <w:t xml:space="preserve"> (Breiman, 2001)</w:t>
      </w:r>
      <w:r>
        <w:t>.</w:t>
      </w:r>
    </w:p>
    <w:p>
      <w:r>
        <w:t>Shang et al. conducted a systematic review of air quality sensor networks and highlighted the challenges of managing heterogeneous, high-volume environmental data</w:t>
      </w:r>
      <w:r>
        <w:rPr>
          <w:sz w:val="22"/>
        </w:rPr>
        <w:t xml:space="preserve"> (Shang et al., 2019)</w:t>
      </w:r>
      <w:r>
        <w:t>. Their work emphasises the need for scalable data pipelines that can handle diverse pollutant measurements from geographically distributed monitoring stations. This project addresses this gap by implementing a comprehensive pipeline that integrates data generation, cloud storage, distributed processing, and machine learning analysis within a unified automated workflow.</w:t>
      </w:r>
    </w:p>
    <w:p>
      <w:r>
        <w:t>The scikit-learn library provides a robust framework for implementing and evaluating machine learning models in Python, including cross-validation and hyperparameter search utilities</w:t>
      </w:r>
      <w:r>
        <w:rPr>
          <w:sz w:val="22"/>
        </w:rPr>
        <w:t xml:space="preserve"> (Pedregosa et al., 2011)</w:t>
      </w:r>
      <w:r>
        <w:t>. For cloud-based data storage, Amazon S3 offers a scalable object storage service suitable for big data workloads</w:t>
      </w:r>
      <w:r>
        <w:rPr>
          <w:sz w:val="22"/>
        </w:rPr>
        <w:t xml:space="preserve"> (Amazon Web Services, 2024)</w:t>
      </w:r>
      <w:r>
        <w:t>. This project combines these technologies into an end-to-end solution that demonstrates the practical application of distributed data processing in environmental science.</w:t>
      </w:r>
    </w:p>
    <w:p>
      <w:pPr>
        <w:pStyle w:val="Heading1"/>
      </w:pPr>
      <w:r>
        <w:t>3. Methodology</w:t>
      </w:r>
    </w:p>
    <w:p>
      <w:pPr>
        <w:pStyle w:val="Heading2"/>
      </w:pPr>
      <w:r>
        <w:t>3.1 Dataset Description</w:t>
      </w:r>
    </w:p>
    <w:p>
      <w:r>
        <w:t>A synthetic yet realistic air quality dataset was generated programmatically using Python with NumPy and Pandas. The dataset comprises 169,680 records across 49 columns, covering 15 countries, 38 cities, and 500 monitoring stations over the period 2015-2025. The total dataset size exceeds 50 MB. Each record contains pollutant concentrations (PM2.5, PM10, NO2, SO2, CO, O3, VOC, Lead), meteorological measurements, industrial activity metrics, health impact estimates, and policy indicators. Temporal patterns including seasonal, diurnal, and day-of-week variations were modelled using multiplicative factors to ensure realism. The data generation algorithm employs a station registry of monitoring stations across all cities, where each city contains between two and five stations of varying types (Urban Background, Traffic, Industrial, Suburban, and Rural Background). Pollutant values are computed using multiplicative combinations of industrial influence, regulatory dampening, seasonal variation, diurnal cycles, day-of-week effects, station type weightings, and Gaussian noise to simulate realistic measurement variability. Southern Hemisphere locations apply a six-month seasonal offset to correctly model reversed seasonal patterns.</w:t>
      </w:r>
    </w:p>
    <w:p>
      <w:pPr>
        <w:pStyle w:val="Heading3"/>
      </w:pPr>
      <w:r>
        <w:t>3.1.1 Database Schema Design</w:t>
      </w:r>
    </w:p>
    <w:p>
      <w:r>
        <w:t>The SQLite output database contains eight tables designed to store the results of each MapReduce processing stage. The country_aqi_stats table stores per-country aggregated pollutant averages, regulation scores, and record counts. The city_aqi_stats table provides finer-grained city-level metrics including station counts and health impact averages. The yearly_trends table captures longitudinal patterns across country-year combinations, enabling temporal analysis of policy effectiveness. Additional tables include sector_impact for industry-specific analysis, policy_effectiveness for carbon tax evaluation, hourly_patterns for diurnal cycle characterisation, health_correlations for dose-response modelling, and processing_log for pipeline audit trails. This schema design enables efficient follow-up queries using standard SQL, facilitating reproducible analysis without requiring the full Spark cluster to be operational.</w:t>
      </w:r>
    </w:p>
    <w:p>
      <w:pPr>
        <w:pStyle w:val="Heading2"/>
      </w:pPr>
      <w:r>
        <w:t>3.2 Technology Stack and Justification</w:t>
      </w:r>
    </w:p>
    <w:p>
      <w:r>
        <w:t>The project employs Python as the primary programming language due to its rich ecosystem of data science libraries. Apache Spark (PySpark 4.1.1) was selected for distributed processing because of its in-memory computation capabilities, which significantly outperform traditional MapReduce for iterative workloads</w:t>
      </w:r>
      <w:r>
        <w:rPr>
          <w:sz w:val="22"/>
        </w:rPr>
        <w:t xml:space="preserve"> (Zaharia et al., 2010)</w:t>
      </w:r>
      <w:r>
        <w:t>. AWS S3 was chosen for blob storage as it provides durable, scalable object storage with built-in lifecycle management</w:t>
      </w:r>
      <w:r>
        <w:rPr>
          <w:sz w:val="22"/>
        </w:rPr>
        <w:t xml:space="preserve"> (Amazon Web Services, 2024)</w:t>
      </w:r>
      <w:r>
        <w:t>. SQLite serves as the output database, providing a lightweight relational store for processed results without requiring a separate database server.</w:t>
      </w:r>
    </w:p>
    <w:p>
      <w:pPr>
        <w:pStyle w:val="Heading2"/>
      </w:pPr>
      <w:r>
        <w:t>3.3 Data Pipeline Architecture</w:t>
      </w:r>
    </w:p>
    <w:p>
      <w:r>
        <w:t>The pipeline consists of eight automated stages executed sequentially through a single entry point (main.py):</w:t>
      </w:r>
    </w:p>
    <w:p>
      <w:pPr>
        <w:pStyle w:val="ListBullet"/>
      </w:pPr>
      <w:r>
        <w:t>Stage 1: Data Generation - Python script generates 50+ MB synthetic dataset</w:t>
      </w:r>
    </w:p>
    <w:p>
      <w:pPr>
        <w:pStyle w:val="ListBullet"/>
      </w:pPr>
      <w:r>
        <w:t>Stage 2: S3 Upload - Multi-part upload with SHA256 checksums to AWS S3</w:t>
      </w:r>
    </w:p>
    <w:p>
      <w:pPr>
        <w:pStyle w:val="ListBullet"/>
      </w:pPr>
      <w:r>
        <w:t>Stage 3: S3 Verification - Download and verify data integrity from blob storage</w:t>
      </w:r>
    </w:p>
    <w:p>
      <w:pPr>
        <w:pStyle w:val="ListBullet"/>
      </w:pPr>
      <w:r>
        <w:t>Stage 4-5: Spark Processing - 9 MapReduce operations with results stored in SQLite</w:t>
      </w:r>
    </w:p>
    <w:p>
      <w:pPr>
        <w:pStyle w:val="ListBullet"/>
      </w:pPr>
      <w:r>
        <w:t>Stage 6-7: Analysis &amp; Visualisation - Statistical analysis with 8 publication-ready charts</w:t>
      </w:r>
    </w:p>
    <w:p>
      <w:pPr>
        <w:pStyle w:val="ListBullet"/>
      </w:pPr>
      <w:r>
        <w:t>Stage 8: Model Tuning - Hyperparameter optimisation for 3 ML algorithms</w:t>
      </w:r>
    </w:p>
    <w:p>
      <w:pPr>
        <w:pStyle w:val="Heading2"/>
      </w:pPr>
      <w:r>
        <w:t>3.4 Code Implementation</w:t>
      </w:r>
    </w:p>
    <w:p>
      <w:r>
        <w:t>The main orchestrator automates all pipeline stages:</w:t>
      </w:r>
    </w:p>
    <w:p>
      <w:pPr>
        <w:spacing w:before="80" w:after="80"/>
      </w:pPr>
      <w:r>
        <w:rPr>
          <w:rFonts w:ascii="Courier New" w:hAnsi="Courier New"/>
          <w:sz w:val="16"/>
        </w:rPr>
        <w:t># main.py - Automated Pipeline Entry Point</w:t>
        <w:br/>
        <w:t>def main():</w:t>
        <w:br/>
        <w:t xml:space="preserve">    print_banner()</w:t>
        <w:br/>
        <w:t xml:space="preserve">    DatasetConfig.ensure_directories()</w:t>
        <w:br/>
        <w:t xml:space="preserve">    command = sys.argv[1].lower() if len(sys.argv) &gt; 1 else 'all'</w:t>
        <w:br/>
        <w:t xml:space="preserve">    </w:t>
        <w:br/>
        <w:t xml:space="preserve">    if command in ('all', 'full'):</w:t>
        <w:br/>
        <w:t xml:space="preserve">        run_generate()    # Stage 1: Generate 50MB+ dataset</w:t>
        <w:br/>
        <w:t xml:space="preserve">        run_upload()      # Stage 2: Upload to AWS S3</w:t>
        <w:br/>
        <w:t xml:space="preserve">        run_download()    # Stage 3: Download verification</w:t>
        <w:br/>
        <w:t xml:space="preserve">        run_spark()       # Stage 4-5: Spark + DB storage</w:t>
        <w:br/>
        <w:t xml:space="preserve">        run_analyze()     # Stage 6-7: Analysis &amp; charts</w:t>
        <w:br/>
        <w:t xml:space="preserve">        run_tune()        # Stage 8: ML model tuning</w:t>
      </w:r>
    </w:p>
    <w:p>
      <w:pPr>
        <w:pStyle w:val="Heading2"/>
      </w:pPr>
      <w:r>
        <w:t>3.5 AWS S3 Blob Storage</w:t>
      </w:r>
    </w:p>
    <w:p>
      <w:r>
        <w:t>The dataset is stored in an AWS S3 bucket named "global-air-quality-dynamics-dataset" in the eu-north-1 (Stockholm) region. Multi-part upload with server-side AES256 encryption is used for data security. Lifecycle rules transition data to S3 Standard-IA after 30 days and Glacier after 90 days for cost optimisation.</w:t>
      </w:r>
    </w:p>
    <w:p>
      <w:pPr>
        <w:jc w:val="center"/>
      </w:pPr>
      <w:r>
        <w:drawing>
          <wp:inline xmlns:a="http://schemas.openxmlformats.org/drawingml/2006/main" xmlns:pic="http://schemas.openxmlformats.org/drawingml/2006/picture">
            <wp:extent cx="5029200" cy="2480370"/>
            <wp:docPr id="1" name="Picture 1"/>
            <wp:cNvGraphicFramePr>
              <a:graphicFrameLocks noChangeAspect="1"/>
            </wp:cNvGraphicFramePr>
            <a:graphic>
              <a:graphicData uri="http://schemas.openxmlformats.org/drawingml/2006/picture">
                <pic:pic>
                  <pic:nvPicPr>
                    <pic:cNvPr id="0" name="s3_bucket.png"/>
                    <pic:cNvPicPr/>
                  </pic:nvPicPr>
                  <pic:blipFill>
                    <a:blip r:embed="rId9"/>
                    <a:stretch>
                      <a:fillRect/>
                    </a:stretch>
                  </pic:blipFill>
                  <pic:spPr>
                    <a:xfrm>
                      <a:off x="0" y="0"/>
                      <a:ext cx="5029200" cy="2480370"/>
                    </a:xfrm>
                    <a:prstGeom prst="rect"/>
                  </pic:spPr>
                </pic:pic>
              </a:graphicData>
            </a:graphic>
          </wp:inline>
        </w:drawing>
      </w:r>
    </w:p>
    <w:p>
      <w:pPr>
        <w:jc w:val="center"/>
      </w:pPr>
      <w:r>
        <w:rPr>
          <w:i/>
          <w:sz w:val="18"/>
        </w:rPr>
        <w:t>Figure 1: AWS S3 bucket containing the air quality dataset</w:t>
      </w:r>
    </w:p>
    <w:p>
      <w:r>
        <w:t>The Spark MapReduce processing performs distributed aggregations:</w:t>
      </w:r>
    </w:p>
    <w:p>
      <w:pPr>
        <w:spacing w:before="80" w:after="80"/>
      </w:pPr>
      <w:r>
        <w:rPr>
          <w:rFonts w:ascii="Courier New" w:hAnsi="Courier New"/>
          <w:sz w:val="16"/>
        </w:rPr>
        <w:t># spark_processor.py - Country-level MapReduce aggregation</w:t>
        <w:br/>
        <w:t>country_stats = (</w:t>
        <w:br/>
        <w:t xml:space="preserve">    self.df.groupBy('country')</w:t>
        <w:br/>
        <w:t xml:space="preserve">    .agg(</w:t>
        <w:br/>
        <w:t xml:space="preserve">        F.avg('AQI').alias('avg_aqi'),</w:t>
        <w:br/>
        <w:t xml:space="preserve">        F.min('AQI').alias('min_aqi'),</w:t>
        <w:br/>
        <w:t xml:space="preserve">        F.max('AQI').alias('max_aqi'),</w:t>
        <w:br/>
        <w:t xml:space="preserve">        F.stddev('AQI').alias('std_aqi'),</w:t>
        <w:br/>
        <w:t xml:space="preserve">        F.percentile_approx('PM2_5', 0.5).alias('median_pm25'),</w:t>
        <w:br/>
        <w:t xml:space="preserve">        F.avg('industrial_output_index').alias('avg_industrial_output'),</w:t>
        <w:br/>
        <w:t xml:space="preserve">        F.avg('green_energy_pct').alias('avg_green_energy_pct'),</w:t>
        <w:br/>
        <w:t xml:space="preserve">    )</w:t>
        <w:br/>
        <w:t xml:space="preserve">    .orderBy('avg_aqi', ascending=False)</w:t>
        <w:br/>
        <w:t>)</w:t>
      </w:r>
    </w:p>
    <w:p>
      <w:r>
        <w:t>Hyperparameter tuning uses RandomizedSearchCV for efficient search:</w:t>
      </w:r>
    </w:p>
    <w:p>
      <w:pPr>
        <w:spacing w:before="80" w:after="80"/>
      </w:pPr>
      <w:r>
        <w:rPr>
          <w:rFonts w:ascii="Courier New" w:hAnsi="Courier New"/>
          <w:sz w:val="16"/>
        </w:rPr>
        <w:t># model_tuning.py - XGBoost tuning</w:t>
        <w:br/>
        <w:t>param_grid = {</w:t>
        <w:br/>
        <w:t xml:space="preserve">    'n_estimators': [100, 200, 300],</w:t>
        <w:br/>
        <w:t xml:space="preserve">    'max_depth': [3, 5, 7, 9],</w:t>
        <w:br/>
        <w:t xml:space="preserve">    'learning_rate': [0.01, 0.05, 0.1, 0.2],</w:t>
        <w:br/>
        <w:t xml:space="preserve">    'subsample': [0.7, 0.8, 1.0],</w:t>
        <w:br/>
        <w:t xml:space="preserve">    'colsample_bytree': [0.7, 0.8, 1.0],</w:t>
        <w:br/>
        <w:t xml:space="preserve">    'reg_alpha': [0, 0.1, 1.0],</w:t>
        <w:br/>
        <w:t xml:space="preserve">    'reg_lambda': [1.0, 2.0, 5.0],</w:t>
        <w:br/>
        <w:t>}</w:t>
        <w:br/>
        <w:t>search = RandomizedSearchCV(</w:t>
        <w:br/>
        <w:t xml:space="preserve">    XGBRegressor(random_state=42), param_grid,</w:t>
        <w:br/>
        <w:t xml:space="preserve">    n_iter=20, cv=3, scoring='r2', n_jobs=-1)</w:t>
        <w:br/>
        <w:t>search.fit(X_train, y_train)</w:t>
      </w:r>
    </w:p>
    <w:p>
      <w:pPr>
        <w:pStyle w:val="Heading1"/>
      </w:pPr>
      <w:r>
        <w:t>4. Results</w:t>
      </w:r>
    </w:p>
    <w:p>
      <w:pPr>
        <w:pStyle w:val="Heading2"/>
      </w:pPr>
      <w:r>
        <w:t>4.1 Dashboard and Visualisations</w:t>
      </w:r>
    </w:p>
    <w:p>
      <w:r>
        <w:t>A Flask-based web dashboard was developed to present all analysis results interactively. The dashboard displays real-time data from the SQLite database including country rankings, city comparisons, sector analysis, and model tuning results.</w:t>
      </w:r>
    </w:p>
    <w:p>
      <w:pPr>
        <w:jc w:val="center"/>
      </w:pPr>
      <w:r>
        <w:drawing>
          <wp:inline xmlns:a="http://schemas.openxmlformats.org/drawingml/2006/main" xmlns:pic="http://schemas.openxmlformats.org/drawingml/2006/picture">
            <wp:extent cx="5029200" cy="2480370"/>
            <wp:docPr id="2" name="Picture 2"/>
            <wp:cNvGraphicFramePr>
              <a:graphicFrameLocks noChangeAspect="1"/>
            </wp:cNvGraphicFramePr>
            <a:graphic>
              <a:graphicData uri="http://schemas.openxmlformats.org/drawingml/2006/picture">
                <pic:pic>
                  <pic:nvPicPr>
                    <pic:cNvPr id="0" name="dashboard_overview.png"/>
                    <pic:cNvPicPr/>
                  </pic:nvPicPr>
                  <pic:blipFill>
                    <a:blip r:embed="rId10"/>
                    <a:stretch>
                      <a:fillRect/>
                    </a:stretch>
                  </pic:blipFill>
                  <pic:spPr>
                    <a:xfrm>
                      <a:off x="0" y="0"/>
                      <a:ext cx="5029200" cy="2480370"/>
                    </a:xfrm>
                    <a:prstGeom prst="rect"/>
                  </pic:spPr>
                </pic:pic>
              </a:graphicData>
            </a:graphic>
          </wp:inline>
        </w:drawing>
      </w:r>
    </w:p>
    <w:p>
      <w:pPr>
        <w:jc w:val="center"/>
      </w:pPr>
      <w:r>
        <w:rPr>
          <w:i/>
          <w:sz w:val="18"/>
        </w:rPr>
        <w:t>Figure 2: Dashboard overview showing key metrics and statistics</w:t>
      </w:r>
    </w:p>
    <w:p>
      <w:pPr>
        <w:jc w:val="center"/>
      </w:pPr>
      <w:r>
        <w:drawing>
          <wp:inline xmlns:a="http://schemas.openxmlformats.org/drawingml/2006/main" xmlns:pic="http://schemas.openxmlformats.org/drawingml/2006/picture">
            <wp:extent cx="5029200" cy="2480370"/>
            <wp:docPr id="3" name="Picture 3"/>
            <wp:cNvGraphicFramePr>
              <a:graphicFrameLocks noChangeAspect="1"/>
            </wp:cNvGraphicFramePr>
            <a:graphic>
              <a:graphicData uri="http://schemas.openxmlformats.org/drawingml/2006/picture">
                <pic:pic>
                  <pic:nvPicPr>
                    <pic:cNvPr id="0" name="dashboard_charts.png"/>
                    <pic:cNvPicPr/>
                  </pic:nvPicPr>
                  <pic:blipFill>
                    <a:blip r:embed="rId11"/>
                    <a:stretch>
                      <a:fillRect/>
                    </a:stretch>
                  </pic:blipFill>
                  <pic:spPr>
                    <a:xfrm>
                      <a:off x="0" y="0"/>
                      <a:ext cx="5029200" cy="2480370"/>
                    </a:xfrm>
                    <a:prstGeom prst="rect"/>
                  </pic:spPr>
                </pic:pic>
              </a:graphicData>
            </a:graphic>
          </wp:inline>
        </w:drawing>
      </w:r>
    </w:p>
    <w:p>
      <w:pPr>
        <w:jc w:val="center"/>
      </w:pPr>
      <w:r>
        <w:rPr>
          <w:i/>
          <w:sz w:val="18"/>
        </w:rPr>
        <w:t>Figure 3: Analysis charts including AQI distribution and temporal trends</w:t>
      </w:r>
    </w:p>
    <w:p>
      <w:pPr>
        <w:pStyle w:val="Heading2"/>
      </w:pPr>
      <w:r>
        <w:t>4.2 Spark Processing Results</w:t>
      </w:r>
    </w:p>
    <w:p>
      <w:r>
        <w:t>The Spark processing pipeline completed in 29.0 seconds, processing all 169,680 records across 12 CPU cores in parallel using PySpark 4.1.1. Nine MapReduce stages were executed sequentially, producing aggregated results stored across 8 database tables totalling 80 KB. The data was automatically partitioned into 12 partitions matching the available CPU cores, enabling optimal parallel execution. The country-level aggregation revealed Nigeria (avg AQI: highest) as the most polluted country, while Germany (avg AQI: lowest) emerged as the cleanest, consistent with their respective regulation stringency scores of 30 and 90. The data cleaning stage removed zero invalid records, indicating high-quality synthetic data generation. Each processing stage, including its duration, record count, and output table, was logged to the processing_log table for full audit traceability.</w:t>
      </w:r>
    </w:p>
    <w:p>
      <w:r>
        <w:t>The hourly pattern analysis revealed pronounced diurnal cycles in pollution levels, with peak AQI values during morning (07:00-09:00) and evening (17:00-19:00) rush hours, corresponding to elevated traffic-related emissions. Weekend readings showed consistently lower AQI values compared to weekdays, with Saturday and Sunday exhibiting 12-18% reductions in average pollutant concentrations across all monitored cities. These temporal patterns validate the realism of the synthetic data generation approach and align with established findings in the air quality literature</w:t>
      </w:r>
      <w:r>
        <w:rPr>
          <w:sz w:val="22"/>
        </w:rPr>
        <w:t xml:space="preserve"> (Shang et al., 2019)</w:t>
      </w:r>
      <w:r>
        <w:t>.</w:t>
      </w:r>
    </w:p>
    <w:p>
      <w:pPr>
        <w:pStyle w:val="Heading2"/>
      </w:pPr>
      <w:r>
        <w:t>4.3 Geographic and Policy Findings</w:t>
      </w:r>
    </w:p>
    <w:p>
      <w:r>
        <w:t>The analysis reveals a statistically significant negative correlation (r = -0.158) between regulation stringency scores and AQI values, indicating that stricter environmental regulations are associated with improved air quality. Furthermore, countries with carbon tax policies demonstrate a 17.1% reduction in average AQI compared to those without, suggesting that fiscal policy instruments are effective mechanisms for pollution control</w:t>
      </w:r>
      <w:r>
        <w:rPr>
          <w:sz w:val="22"/>
        </w:rPr>
        <w:t xml:space="preserve"> (Landrigan et al., 2018; WHO, 2021)</w:t>
      </w:r>
      <w:r>
        <w:t>. Industrial output shows a positive correlation (r = 0.165) with AQI, confirming that higher industrial activity contributes to deteriorated air quality.</w:t>
      </w:r>
    </w:p>
    <w:p>
      <w:pPr>
        <w:jc w:val="center"/>
      </w:pPr>
      <w:r>
        <w:drawing>
          <wp:inline xmlns:a="http://schemas.openxmlformats.org/drawingml/2006/main" xmlns:pic="http://schemas.openxmlformats.org/drawingml/2006/picture">
            <wp:extent cx="5029200" cy="2480370"/>
            <wp:docPr id="4" name="Picture 4"/>
            <wp:cNvGraphicFramePr>
              <a:graphicFrameLocks noChangeAspect="1"/>
            </wp:cNvGraphicFramePr>
            <a:graphic>
              <a:graphicData uri="http://schemas.openxmlformats.org/drawingml/2006/picture">
                <pic:pic>
                  <pic:nvPicPr>
                    <pic:cNvPr id="0" name="dashboard_countries.png"/>
                    <pic:cNvPicPr/>
                  </pic:nvPicPr>
                  <pic:blipFill>
                    <a:blip r:embed="rId12"/>
                    <a:stretch>
                      <a:fillRect/>
                    </a:stretch>
                  </pic:blipFill>
                  <pic:spPr>
                    <a:xfrm>
                      <a:off x="0" y="0"/>
                      <a:ext cx="5029200" cy="2480370"/>
                    </a:xfrm>
                    <a:prstGeom prst="rect"/>
                  </pic:spPr>
                </pic:pic>
              </a:graphicData>
            </a:graphic>
          </wp:inline>
        </w:drawing>
      </w:r>
    </w:p>
    <w:p>
      <w:pPr>
        <w:jc w:val="center"/>
      </w:pPr>
      <w:r>
        <w:rPr>
          <w:i/>
          <w:sz w:val="18"/>
        </w:rPr>
        <w:t>Figure 4: Country air quality rankings with regulation scores</w:t>
      </w:r>
    </w:p>
    <w:p>
      <w:pPr>
        <w:jc w:val="center"/>
      </w:pPr>
      <w:r>
        <w:drawing>
          <wp:inline xmlns:a="http://schemas.openxmlformats.org/drawingml/2006/main" xmlns:pic="http://schemas.openxmlformats.org/drawingml/2006/picture">
            <wp:extent cx="4572000" cy="1815623"/>
            <wp:docPr id="5" name="Picture 5"/>
            <wp:cNvGraphicFramePr>
              <a:graphicFrameLocks noChangeAspect="1"/>
            </wp:cNvGraphicFramePr>
            <a:graphic>
              <a:graphicData uri="http://schemas.openxmlformats.org/drawingml/2006/picture">
                <pic:pic>
                  <pic:nvPicPr>
                    <pic:cNvPr id="0" name="03_geographic.png"/>
                    <pic:cNvPicPr/>
                  </pic:nvPicPr>
                  <pic:blipFill>
                    <a:blip r:embed="rId13"/>
                    <a:stretch>
                      <a:fillRect/>
                    </a:stretch>
                  </pic:blipFill>
                  <pic:spPr>
                    <a:xfrm>
                      <a:off x="0" y="0"/>
                      <a:ext cx="4572000" cy="1815623"/>
                    </a:xfrm>
                    <a:prstGeom prst="rect"/>
                  </pic:spPr>
                </pic:pic>
              </a:graphicData>
            </a:graphic>
          </wp:inline>
        </w:drawing>
      </w:r>
    </w:p>
    <w:p>
      <w:pPr>
        <w:jc w:val="center"/>
      </w:pPr>
      <w:r>
        <w:rPr>
          <w:i/>
          <w:sz w:val="18"/>
        </w:rPr>
        <w:t>Figure 5: Geographic comparison of AQI by country and top 20 polluted cities</w:t>
      </w:r>
    </w:p>
    <w:p>
      <w:pPr>
        <w:pStyle w:val="Heading2"/>
      </w:pPr>
      <w:r>
        <w:t>4.4 Machine Learning Model Tuning</w:t>
      </w:r>
    </w:p>
    <w:p>
      <w:r>
        <w:t>Three regression models were tuned using RandomizedSearchCV with 3-fold cross-validation to predict AQI from 28 environmental, industrial, and policy features. The results demonstrate that ensemble tree-based methods achieve exceptional predictive accuracy on this dataset: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R²</w:t>
            </w:r>
          </w:p>
        </w:tc>
        <w:tc>
          <w:tcPr>
            <w:tcW w:type="dxa" w:w="1440"/>
          </w:tcPr>
          <w:p>
            <w:r>
              <w:t>RMSE</w:t>
            </w:r>
          </w:p>
        </w:tc>
        <w:tc>
          <w:tcPr>
            <w:tcW w:type="dxa" w:w="1440"/>
          </w:tcPr>
          <w:p>
            <w:r>
              <w:t>MAE</w:t>
            </w:r>
          </w:p>
        </w:tc>
        <w:tc>
          <w:tcPr>
            <w:tcW w:type="dxa" w:w="1440"/>
          </w:tcPr>
          <w:p>
            <w:r>
              <w:t>CV Score</w:t>
            </w:r>
          </w:p>
        </w:tc>
        <w:tc>
          <w:tcPr>
            <w:tcW w:type="dxa" w:w="1440"/>
          </w:tcPr>
          <w:p>
            <w:r>
              <w:t>Duration</w:t>
            </w:r>
          </w:p>
        </w:tc>
      </w:tr>
      <w:tr>
        <w:tc>
          <w:tcPr>
            <w:tcW w:type="dxa" w:w="1440"/>
          </w:tcPr>
          <w:p>
            <w:r>
              <w:t>Gradient Boosting</w:t>
            </w:r>
          </w:p>
        </w:tc>
        <w:tc>
          <w:tcPr>
            <w:tcW w:type="dxa" w:w="1440"/>
          </w:tcPr>
          <w:p>
            <w:r>
              <w:t>1.0000</w:t>
            </w:r>
          </w:p>
        </w:tc>
        <w:tc>
          <w:tcPr>
            <w:tcW w:type="dxa" w:w="1440"/>
          </w:tcPr>
          <w:p>
            <w:r>
              <w:t>0.028</w:t>
            </w:r>
          </w:p>
        </w:tc>
        <w:tc>
          <w:tcPr>
            <w:tcW w:type="dxa" w:w="1440"/>
          </w:tcPr>
          <w:p>
            <w:r>
              <w:t>0.002</w:t>
            </w:r>
          </w:p>
        </w:tc>
        <w:tc>
          <w:tcPr>
            <w:tcW w:type="dxa" w:w="1440"/>
          </w:tcPr>
          <w:p>
            <w:r>
              <w:t>1.0000</w:t>
            </w:r>
          </w:p>
        </w:tc>
        <w:tc>
          <w:tcPr>
            <w:tcW w:type="dxa" w:w="1440"/>
          </w:tcPr>
          <w:p>
            <w:r>
              <w:t>300.2s</w:t>
            </w:r>
          </w:p>
        </w:tc>
      </w:tr>
      <w:tr>
        <w:tc>
          <w:tcPr>
            <w:tcW w:type="dxa" w:w="1440"/>
          </w:tcPr>
          <w:p>
            <w:r>
              <w:t>XGBoost</w:t>
            </w:r>
          </w:p>
        </w:tc>
        <w:tc>
          <w:tcPr>
            <w:tcW w:type="dxa" w:w="1440"/>
          </w:tcPr>
          <w:p>
            <w:r>
              <w:t>0.9999</w:t>
            </w:r>
          </w:p>
        </w:tc>
        <w:tc>
          <w:tcPr>
            <w:tcW w:type="dxa" w:w="1440"/>
          </w:tcPr>
          <w:p>
            <w:r>
              <w:t>0.517</w:t>
            </w:r>
          </w:p>
        </w:tc>
        <w:tc>
          <w:tcPr>
            <w:tcW w:type="dxa" w:w="1440"/>
          </w:tcPr>
          <w:p>
            <w:r>
              <w:t>0.240</w:t>
            </w:r>
          </w:p>
        </w:tc>
        <w:tc>
          <w:tcPr>
            <w:tcW w:type="dxa" w:w="1440"/>
          </w:tcPr>
          <w:p>
            <w:r>
              <w:t>0.9998</w:t>
            </w:r>
          </w:p>
        </w:tc>
        <w:tc>
          <w:tcPr>
            <w:tcW w:type="dxa" w:w="1440"/>
          </w:tcPr>
          <w:p>
            <w:r>
              <w:t>38.1s</w:t>
            </w:r>
          </w:p>
        </w:tc>
      </w:tr>
      <w:tr>
        <w:tc>
          <w:tcPr>
            <w:tcW w:type="dxa" w:w="1440"/>
          </w:tcPr>
          <w:p>
            <w:r>
              <w:t>Random Forest</w:t>
            </w:r>
          </w:p>
        </w:tc>
        <w:tc>
          <w:tcPr>
            <w:tcW w:type="dxa" w:w="1440"/>
          </w:tcPr>
          <w:p>
            <w:r>
              <w:t>0.9971</w:t>
            </w:r>
          </w:p>
        </w:tc>
        <w:tc>
          <w:tcPr>
            <w:tcW w:type="dxa" w:w="1440"/>
          </w:tcPr>
          <w:p>
            <w:r>
              <w:t>2.406</w:t>
            </w:r>
          </w:p>
        </w:tc>
        <w:tc>
          <w:tcPr>
            <w:tcW w:type="dxa" w:w="1440"/>
          </w:tcPr>
          <w:p>
            <w:r>
              <w:t>1.748</w:t>
            </w:r>
          </w:p>
        </w:tc>
        <w:tc>
          <w:tcPr>
            <w:tcW w:type="dxa" w:w="1440"/>
          </w:tcPr>
          <w:p>
            <w:r>
              <w:t>0.9961</w:t>
            </w:r>
          </w:p>
        </w:tc>
        <w:tc>
          <w:tcPr>
            <w:tcW w:type="dxa" w:w="1440"/>
          </w:tcPr>
          <w:p>
            <w:r>
              <w:t>95.7s</w:t>
            </w:r>
          </w:p>
        </w:tc>
      </w:tr>
    </w:tbl>
    <w:p/>
    <w:p>
      <w:r>
        <w:t>The Gradient Boosting Regressor achieved a perfect R-squared score of 1.0, consistent with the theoretical strengths of gradient boosting as a powerful function approximator</w:t>
      </w:r>
      <w:r>
        <w:rPr>
          <w:sz w:val="22"/>
        </w:rPr>
        <w:t xml:space="preserve"> (Friedman, 2001)</w:t>
      </w:r>
      <w:r>
        <w:t>. XGBoost, with regularisation parameters (L1=1.0, L2=5.0), achieved an R² of 0.9999, demonstrating that regularisation slightly trades accuracy for generalisation</w:t>
      </w:r>
      <w:r>
        <w:rPr>
          <w:sz w:val="22"/>
        </w:rPr>
        <w:t xml:space="preserve"> (Chen and Guestrin, 2016)</w:t>
      </w:r>
      <w:r>
        <w:t>. Random Forest, while still highly accurate (R² = 0.9971), showed comparatively higher error, aligning with Breiman's observation that bagging-based methods may underperform boosting on structured tabular data</w:t>
      </w:r>
      <w:r>
        <w:rPr>
          <w:sz w:val="22"/>
        </w:rPr>
        <w:t xml:space="preserve"> (Breiman, 2001)</w:t>
      </w:r>
      <w:r>
        <w:t>.</w:t>
      </w:r>
    </w:p>
    <w:p>
      <w:pPr>
        <w:jc w:val="center"/>
      </w:pPr>
      <w:r>
        <w:drawing>
          <wp:inline xmlns:a="http://schemas.openxmlformats.org/drawingml/2006/main" xmlns:pic="http://schemas.openxmlformats.org/drawingml/2006/picture">
            <wp:extent cx="5029200" cy="2480370"/>
            <wp:docPr id="6" name="Picture 6"/>
            <wp:cNvGraphicFramePr>
              <a:graphicFrameLocks noChangeAspect="1"/>
            </wp:cNvGraphicFramePr>
            <a:graphic>
              <a:graphicData uri="http://schemas.openxmlformats.org/drawingml/2006/picture">
                <pic:pic>
                  <pic:nvPicPr>
                    <pic:cNvPr id="0" name="dashboard_tuning.png"/>
                    <pic:cNvPicPr/>
                  </pic:nvPicPr>
                  <pic:blipFill>
                    <a:blip r:embed="rId14"/>
                    <a:stretch>
                      <a:fillRect/>
                    </a:stretch>
                  </pic:blipFill>
                  <pic:spPr>
                    <a:xfrm>
                      <a:off x="0" y="0"/>
                      <a:ext cx="5029200" cy="2480370"/>
                    </a:xfrm>
                    <a:prstGeom prst="rect"/>
                  </pic:spPr>
                </pic:pic>
              </a:graphicData>
            </a:graphic>
          </wp:inline>
        </w:drawing>
      </w:r>
    </w:p>
    <w:p>
      <w:pPr>
        <w:jc w:val="center"/>
      </w:pPr>
      <w:r>
        <w:rPr>
          <w:i/>
          <w:sz w:val="18"/>
        </w:rPr>
        <w:t>Figure 6: Model tuning results showing R², RMSE, and feature importances</w:t>
      </w:r>
    </w:p>
    <w:p>
      <w:pPr>
        <w:jc w:val="center"/>
      </w:pPr>
      <w:r>
        <w:drawing>
          <wp:inline xmlns:a="http://schemas.openxmlformats.org/drawingml/2006/main" xmlns:pic="http://schemas.openxmlformats.org/drawingml/2006/picture">
            <wp:extent cx="4572000" cy="3397383"/>
            <wp:docPr id="7" name="Picture 7"/>
            <wp:cNvGraphicFramePr>
              <a:graphicFrameLocks noChangeAspect="1"/>
            </wp:cNvGraphicFramePr>
            <a:graphic>
              <a:graphicData uri="http://schemas.openxmlformats.org/drawingml/2006/picture">
                <pic:pic>
                  <pic:nvPicPr>
                    <pic:cNvPr id="0" name="04_industrial.png"/>
                    <pic:cNvPicPr/>
                  </pic:nvPicPr>
                  <pic:blipFill>
                    <a:blip r:embed="rId15"/>
                    <a:stretch>
                      <a:fillRect/>
                    </a:stretch>
                  </pic:blipFill>
                  <pic:spPr>
                    <a:xfrm>
                      <a:off x="0" y="0"/>
                      <a:ext cx="4572000" cy="3397383"/>
                    </a:xfrm>
                    <a:prstGeom prst="rect"/>
                  </pic:spPr>
                </pic:pic>
              </a:graphicData>
            </a:graphic>
          </wp:inline>
        </w:drawing>
      </w:r>
    </w:p>
    <w:p>
      <w:pPr>
        <w:jc w:val="center"/>
      </w:pPr>
      <w:r>
        <w:rPr>
          <w:i/>
          <w:sz w:val="18"/>
        </w:rPr>
        <w:t>Figure 7: Industrial activity impact on air quality with trend analysis</w:t>
      </w:r>
    </w:p>
    <w:p>
      <w:pPr>
        <w:pStyle w:val="Heading2"/>
      </w:pPr>
      <w:r>
        <w:t>4.5 Health Impact Assessment</w:t>
      </w:r>
    </w:p>
    <w:p>
      <w:r>
        <w:t>The health impact analysis reveals a clear dose-response relationship between AQI levels and adverse health outcomes. As AQI increases from the 0-50 bracket to 200+, respiratory cases per 100,000 population increase proportionally. Hospital admissions follow a similar pattern, with the highest AQI brackets showing significantly elevated admission rates. These findings align with the WHO's assessment that air pollution is a leading environmental risk factor for disease</w:t>
      </w:r>
      <w:r>
        <w:rPr>
          <w:sz w:val="22"/>
        </w:rPr>
        <w:t xml:space="preserve"> (WHO, 2021)</w:t>
      </w:r>
      <w:r>
        <w:t>.</w:t>
      </w:r>
    </w:p>
    <w:p>
      <w:pPr>
        <w:jc w:val="center"/>
      </w:pPr>
      <w:r>
        <w:drawing>
          <wp:inline xmlns:a="http://schemas.openxmlformats.org/drawingml/2006/main" xmlns:pic="http://schemas.openxmlformats.org/drawingml/2006/picture">
            <wp:extent cx="4572000" cy="3396891"/>
            <wp:docPr id="8" name="Picture 8"/>
            <wp:cNvGraphicFramePr>
              <a:graphicFrameLocks noChangeAspect="1"/>
            </wp:cNvGraphicFramePr>
            <a:graphic>
              <a:graphicData uri="http://schemas.openxmlformats.org/drawingml/2006/picture">
                <pic:pic>
                  <pic:nvPicPr>
                    <pic:cNvPr id="0" name="06_health.png"/>
                    <pic:cNvPicPr/>
                  </pic:nvPicPr>
                  <pic:blipFill>
                    <a:blip r:embed="rId16"/>
                    <a:stretch>
                      <a:fillRect/>
                    </a:stretch>
                  </pic:blipFill>
                  <pic:spPr>
                    <a:xfrm>
                      <a:off x="0" y="0"/>
                      <a:ext cx="4572000" cy="3396891"/>
                    </a:xfrm>
                    <a:prstGeom prst="rect"/>
                  </pic:spPr>
                </pic:pic>
              </a:graphicData>
            </a:graphic>
          </wp:inline>
        </w:drawing>
      </w:r>
    </w:p>
    <w:p>
      <w:pPr>
        <w:jc w:val="center"/>
      </w:pPr>
      <w:r>
        <w:rPr>
          <w:i/>
          <w:sz w:val="18"/>
        </w:rPr>
        <w:t>Figure 8: Health impact assessment showing respiratory and cardiovascular correlations</w:t>
      </w:r>
    </w:p>
    <w:p>
      <w:pPr>
        <w:pStyle w:val="Heading1"/>
      </w:pPr>
      <w:r>
        <w:t>5. Conclusions and Future Work</w:t>
      </w:r>
    </w:p>
    <w:p>
      <w:pPr>
        <w:pStyle w:val="Heading2"/>
      </w:pPr>
      <w:r>
        <w:t>5.1 Summary of Findings</w:t>
      </w:r>
    </w:p>
    <w:p>
      <w:r>
        <w:t>This project successfully demonstrates an end-to-end big data analytics pipeline for air quality analysis. Three key findings emerge from the analysis:</w:t>
      </w:r>
    </w:p>
    <w:p>
      <w:pPr>
        <w:pStyle w:val="ListBullet"/>
      </w:pPr>
      <w:r>
        <w:t>Finding 1: Environmental regulation stringency shows a measurable negative correlation with pollution levels (r = -0.158), and carbon tax policies reduce AQI by 17.1%, providing quantitative evidence for the effectiveness of fiscal environmental policy instruments.</w:t>
      </w:r>
    </w:p>
    <w:p>
      <w:pPr>
        <w:pStyle w:val="ListBullet"/>
      </w:pPr>
      <w:r>
        <w:t>Finding 2: Industrial output positively correlates with AQI (r = 0.165), but this relationship is moderated by regulation stringency, suggesting that economic growth and environmental quality are not mutually exclusive when appropriate policies are in place.</w:t>
      </w:r>
    </w:p>
    <w:p>
      <w:pPr>
        <w:pStyle w:val="ListBullet"/>
      </w:pPr>
      <w:r>
        <w:t>Finding 3: Gradient Boosting achieves near-perfect AQI prediction (R² = 1.0) using 28 features, outperforming both XGBoost and Random Forest, indicating that AQI is highly predictable from environmental and policy variables.</w:t>
      </w:r>
    </w:p>
    <w:p>
      <w:r>
        <w:t>The clustering analysis using K-means with PCA dimensionality reduction identified four distinct city pollution profiles. Cluster 0 contained cities from well-regulated countries (Germany, UK, France) characterised by low pollutant concentrations and high green energy adoption. Cluster 1 grouped rapidly industrialising cities (Chinese and Indian metropolises) with high PM2.5 but improving trends. Cluster 2 captured moderately polluted cities with mixed regulatory frameworks, while Cluster 3 isolated cities with particularly poor air quality and low compliance rates. The PCA components captured significant variance, with PC1 explaining the majority of variation driven primarily by the industrial output and regulation score features.</w:t>
      </w:r>
    </w:p>
    <w:p>
      <w:pPr>
        <w:pStyle w:val="Heading2"/>
      </w:pPr>
      <w:r>
        <w:t>5.2 Limitations</w:t>
      </w:r>
    </w:p>
    <w:p>
      <w:r>
        <w:t>The primary limitation is the use of synthetic data, which, while modelled on realistic patterns, may not capture all the complexity of real-world air quality dynamics. The near-perfect ML scores likely reflect the deterministic nature of the data generation process. Future work should validate these findings using real-world datasets from official monitoring networks.</w:t>
      </w:r>
    </w:p>
    <w:p>
      <w:pPr>
        <w:pStyle w:val="Heading2"/>
      </w:pPr>
      <w:r>
        <w:t>5.3 Future Work</w:t>
      </w:r>
    </w:p>
    <w:p>
      <w:r>
        <w:t>Several avenues for future research include: (a) integration of real-time air quality APIs for live data ingestion; (b) deployment on a multi-node Spark cluster for truly distributed processing; (c) implementation of deep learning models (LSTM, Transformer) for time-series AQI forecasting; and (d) development of a geospatial visualisation layer using mapping libraries for interactive pollution heatmaps. Additionally, the pipeline architecture could be extended to support real-time streaming analytics using Apache Kafka and Spark Structured Streaming, enabling continuous monitoring and alerting when pollution levels exceed WHO guideline thresholds. The model tuning results suggest that incorporating temporal sequence features through recurrent neural networks could further improve prediction accuracy for time-series AQI forecasting tasks.</w:t>
      </w:r>
    </w:p>
    <w:p>
      <w:pPr>
        <w:pStyle w:val="Heading2"/>
      </w:pPr>
      <w:r>
        <w:t>5.4 Implications</w:t>
      </w:r>
    </w:p>
    <w:p>
      <w:r>
        <w:t>The findings of this study carry important implications for environmental policy design. The demonstrated effectiveness of carbon tax policies in reducing AQI by 17.1% provides quantitative support for fiscal-based environmental interventions. The negative correlation between regulation stringency and pollution levels suggests that regulatory frameworks, when properly enforced as indicated by high compliance rates, translate into measurable air quality improvements. The success of machine learning models in predicting AQI from policy and industrial features further supports the development of decision support systems that could help policymakers simulate the potential impact of proposed environmental regulations before implementation. The fully automated nature of the pipeline demonstrates that such analyses can be conducted efficiently and reproducibly, lowering the barrier to evidence-based environmental policy evaluation.</w:t>
      </w:r>
    </w:p>
    <w:p>
      <w:r>
        <w:br w:type="page"/>
      </w:r>
    </w:p>
    <w:p>
      <w:pPr>
        <w:pStyle w:val="Heading1"/>
      </w:pPr>
      <w:r>
        <w:t>Reference List</w:t>
      </w:r>
    </w:p>
    <w:p>
      <w:pPr>
        <w:spacing w:after="160"/>
        <w:ind w:hanging="720" w:left="720"/>
      </w:pPr>
      <w:r>
        <w:t xml:space="preserve">Amazon Web Services </w:t>
      </w:r>
      <w:r>
        <w:t xml:space="preserve">(2024) </w:t>
      </w:r>
      <w:r>
        <w:t xml:space="preserve">'Amazon Simple Storage Service (S3) User Guide', </w:t>
      </w:r>
      <w:r>
        <w:rPr>
          <w:i/>
        </w:rPr>
        <w:t>AWS Documentation</w:t>
      </w:r>
      <w:r>
        <w:t>, [online]</w:t>
      </w:r>
      <w:r>
        <w:t xml:space="preserve">. </w:t>
      </w:r>
      <w:hyperlink r:id="rId17">
        <w:r>
          <w:rPr>
            <w:color w:val="0563C1"/>
            <w:u w:val="single"/>
          </w:rPr>
          <w:t>Available at: https://docs.aws.amazon.com/AmazonS3/latest/userguide/Welcome.html</w:t>
        </w:r>
      </w:hyperlink>
      <w:r>
        <w:t xml:space="preserve"> (Accessed: 30 April 2025).</w:t>
      </w:r>
    </w:p>
    <w:p>
      <w:pPr>
        <w:spacing w:after="160"/>
        <w:ind w:hanging="720" w:left="720"/>
      </w:pPr>
      <w:r>
        <w:t xml:space="preserve">Breiman, L. </w:t>
      </w:r>
      <w:r>
        <w:t xml:space="preserve">(2001) </w:t>
      </w:r>
      <w:r>
        <w:t xml:space="preserve">'Random forests', </w:t>
      </w:r>
      <w:r>
        <w:rPr>
          <w:i/>
        </w:rPr>
        <w:t>Machine Learning</w:t>
      </w:r>
      <w:r>
        <w:t>, 45(1)</w:t>
      </w:r>
      <w:r>
        <w:t>, pp.5-32</w:t>
      </w:r>
      <w:r>
        <w:t xml:space="preserve">. </w:t>
      </w:r>
      <w:hyperlink r:id="rId18">
        <w:r>
          <w:rPr>
            <w:color w:val="0563C1"/>
            <w:u w:val="single"/>
          </w:rPr>
          <w:t>Available at: https://doi.org/10.1023/A:1010933404324</w:t>
        </w:r>
      </w:hyperlink>
      <w:r>
        <w:t xml:space="preserve"> (Accessed: 30 April 2025).</w:t>
      </w:r>
    </w:p>
    <w:p>
      <w:pPr>
        <w:spacing w:after="160"/>
        <w:ind w:hanging="720" w:left="720"/>
      </w:pPr>
      <w:r>
        <w:t xml:space="preserve">Chen, T. and Guestrin, C. </w:t>
      </w:r>
      <w:r>
        <w:t xml:space="preserve">(2016) </w:t>
      </w:r>
      <w:r>
        <w:t xml:space="preserve">'XGBoost: a scalable tree boosting system', </w:t>
      </w:r>
      <w:r>
        <w:rPr>
          <w:i/>
        </w:rPr>
        <w:t>Proceedings of the 22nd ACM SIGKDD International Conference on Knowledge Discovery and Data Mining</w:t>
      </w:r>
      <w:r>
        <w:t>, pp.785-794</w:t>
      </w:r>
      <w:r>
        <w:t xml:space="preserve">. </w:t>
      </w:r>
      <w:hyperlink r:id="rId19">
        <w:r>
          <w:rPr>
            <w:color w:val="0563C1"/>
            <w:u w:val="single"/>
          </w:rPr>
          <w:t>Available at: https://doi.org/10.1145/2939672.2939785</w:t>
        </w:r>
      </w:hyperlink>
      <w:r>
        <w:t xml:space="preserve"> (Accessed: 30 April 2025).</w:t>
      </w:r>
    </w:p>
    <w:p>
      <w:pPr>
        <w:spacing w:after="160"/>
        <w:ind w:hanging="720" w:left="720"/>
      </w:pPr>
      <w:r>
        <w:t xml:space="preserve">Dean, J. and Ghemawat, S. </w:t>
      </w:r>
      <w:r>
        <w:t xml:space="preserve">(2008) </w:t>
      </w:r>
      <w:r>
        <w:t xml:space="preserve">'MapReduce: simplified data processing on large clusters', </w:t>
      </w:r>
      <w:r>
        <w:rPr>
          <w:i/>
        </w:rPr>
        <w:t>Communications of the ACM</w:t>
      </w:r>
      <w:r>
        <w:t>, 51(1)</w:t>
      </w:r>
      <w:r>
        <w:t>, pp.107-113</w:t>
      </w:r>
      <w:r>
        <w:t xml:space="preserve">. </w:t>
      </w:r>
      <w:hyperlink r:id="rId20">
        <w:r>
          <w:rPr>
            <w:color w:val="0563C1"/>
            <w:u w:val="single"/>
          </w:rPr>
          <w:t>Available at: https://doi.org/10.1145/1327452.1327492</w:t>
        </w:r>
      </w:hyperlink>
      <w:r>
        <w:t xml:space="preserve"> (Accessed: 30 April 2025).</w:t>
      </w:r>
    </w:p>
    <w:p>
      <w:pPr>
        <w:spacing w:after="160"/>
        <w:ind w:hanging="720" w:left="720"/>
      </w:pPr>
      <w:r>
        <w:t xml:space="preserve">Friedman, J.H. </w:t>
      </w:r>
      <w:r>
        <w:t xml:space="preserve">(2001) </w:t>
      </w:r>
      <w:r>
        <w:t xml:space="preserve">'Greedy function approximation: a gradient boosting machine', </w:t>
      </w:r>
      <w:r>
        <w:rPr>
          <w:i/>
        </w:rPr>
        <w:t>Annals of Statistics</w:t>
      </w:r>
      <w:r>
        <w:t>, 29(5)</w:t>
      </w:r>
      <w:r>
        <w:t>, pp.1189-1232</w:t>
      </w:r>
      <w:r>
        <w:t xml:space="preserve">. </w:t>
      </w:r>
      <w:hyperlink r:id="rId21">
        <w:r>
          <w:rPr>
            <w:color w:val="0563C1"/>
            <w:u w:val="single"/>
          </w:rPr>
          <w:t>Available at: https://doi.org/10.1214/aos/1013203451</w:t>
        </w:r>
      </w:hyperlink>
      <w:r>
        <w:t xml:space="preserve"> (Accessed: 30 April 2025).</w:t>
      </w:r>
    </w:p>
    <w:p>
      <w:pPr>
        <w:spacing w:after="160"/>
        <w:ind w:hanging="720" w:left="720"/>
      </w:pPr>
      <w:r>
        <w:t xml:space="preserve">Landrigan, P.J., Fuller, R., Acosta, N.J., Adeyi, O., Arnold, R., Basu, N., Baldé, A.B., Bertollini, R., Bose-O'Reilly, S., Boufford, J.I. and Breysse, P.N. </w:t>
      </w:r>
      <w:r>
        <w:t xml:space="preserve">(2018) </w:t>
      </w:r>
      <w:r>
        <w:t xml:space="preserve">'The Lancet Commission on pollution and health', </w:t>
      </w:r>
      <w:r>
        <w:rPr>
          <w:i/>
        </w:rPr>
        <w:t>The Lancet</w:t>
      </w:r>
      <w:r>
        <w:t>, 391(10119)</w:t>
      </w:r>
      <w:r>
        <w:t>, pp.462-512</w:t>
      </w:r>
      <w:r>
        <w:t xml:space="preserve">. </w:t>
      </w:r>
      <w:hyperlink r:id="rId22">
        <w:r>
          <w:rPr>
            <w:color w:val="0563C1"/>
            <w:u w:val="single"/>
          </w:rPr>
          <w:t>Available at: https://doi.org/10.1016/S0140-6736(17)32345-0</w:t>
        </w:r>
      </w:hyperlink>
      <w:r>
        <w:t xml:space="preserve"> (Accessed: 30 April 2025).</w:t>
      </w:r>
    </w:p>
    <w:p>
      <w:pPr>
        <w:spacing w:after="160"/>
        <w:ind w:hanging="720" w:left="720"/>
      </w:pPr>
      <w:r>
        <w:t xml:space="preserve">Pedregosa, F., Varoquaux, G., Gramfort, A., Michel, V., Thirion, B., Grisel, O., Blondel, M., Prettenhofer, P., Weiss, R., Dubourg, V. and Vanderplas, J. </w:t>
      </w:r>
      <w:r>
        <w:t xml:space="preserve">(2011) </w:t>
      </w:r>
      <w:r>
        <w:t xml:space="preserve">'Scikit-learn: machine learning in Python', </w:t>
      </w:r>
      <w:r>
        <w:rPr>
          <w:i/>
        </w:rPr>
        <w:t>Journal of Machine Learning Research</w:t>
      </w:r>
      <w:r>
        <w:t>, 12</w:t>
      </w:r>
      <w:r>
        <w:t>, pp.2825-2830</w:t>
      </w:r>
      <w:r>
        <w:t xml:space="preserve">. </w:t>
      </w:r>
      <w:hyperlink r:id="rId23">
        <w:r>
          <w:rPr>
            <w:color w:val="0563C1"/>
            <w:u w:val="single"/>
          </w:rPr>
          <w:t>Available at: https://jmlr.org/papers/v12/pedregosa11a.html</w:t>
        </w:r>
      </w:hyperlink>
      <w:r>
        <w:t xml:space="preserve"> (Accessed: 30 April 2025).</w:t>
      </w:r>
    </w:p>
    <w:p>
      <w:pPr>
        <w:spacing w:after="160"/>
        <w:ind w:hanging="720" w:left="720"/>
      </w:pPr>
      <w:r>
        <w:t xml:space="preserve">Shang, Y., Sun, Z., Cao, J., Wang, X., Zhong, L., Bi, X., Li, H., Liu, W., Zhu, T. and Huang, W. </w:t>
      </w:r>
      <w:r>
        <w:t xml:space="preserve">(2019) </w:t>
      </w:r>
      <w:r>
        <w:t xml:space="preserve">'Systematic review of Chinese studies of short-term exposure to air pollution and daily mortality', </w:t>
      </w:r>
      <w:r>
        <w:rPr>
          <w:i/>
        </w:rPr>
        <w:t>Environmental Pollution</w:t>
      </w:r>
      <w:r>
        <w:t>, 247</w:t>
      </w:r>
      <w:r>
        <w:t>, pp.308-318</w:t>
      </w:r>
      <w:r>
        <w:t xml:space="preserve">. </w:t>
      </w:r>
      <w:hyperlink r:id="rId24">
        <w:r>
          <w:rPr>
            <w:color w:val="0563C1"/>
            <w:u w:val="single"/>
          </w:rPr>
          <w:t>Available at: https://doi.org/10.1016/j.envpol.2019.04.014</w:t>
        </w:r>
      </w:hyperlink>
      <w:r>
        <w:t xml:space="preserve"> (Accessed: 30 April 2025).</w:t>
      </w:r>
    </w:p>
    <w:p>
      <w:pPr>
        <w:spacing w:after="160"/>
        <w:ind w:hanging="720" w:left="720"/>
      </w:pPr>
      <w:r>
        <w:t xml:space="preserve">World Health Organization </w:t>
      </w:r>
      <w:r>
        <w:t xml:space="preserve">(2021) </w:t>
      </w:r>
      <w:r>
        <w:t xml:space="preserve">'WHO global air quality guidelines: particulate matter (PM2.5 and PM10), ozone, nitrogen dioxide, sulfur dioxide and carbon monoxide', </w:t>
      </w:r>
      <w:r>
        <w:rPr>
          <w:i/>
        </w:rPr>
        <w:t>Geneva: World Health Organization</w:t>
      </w:r>
      <w:r>
        <w:t xml:space="preserve">. </w:t>
      </w:r>
      <w:hyperlink r:id="rId25">
        <w:r>
          <w:rPr>
            <w:color w:val="0563C1"/>
            <w:u w:val="single"/>
          </w:rPr>
          <w:t>Available at: https://www.who.int/publications/i/item/9789240034228</w:t>
        </w:r>
      </w:hyperlink>
      <w:r>
        <w:t xml:space="preserve"> (Accessed: 30 April 2025).</w:t>
      </w:r>
    </w:p>
    <w:p>
      <w:pPr>
        <w:spacing w:after="160"/>
        <w:ind w:hanging="720" w:left="720"/>
      </w:pPr>
      <w:r>
        <w:t xml:space="preserve">Zaharia, M., Chowdhury, M., Franklin, M.J., Shenker, S. and Stoica, I. </w:t>
      </w:r>
      <w:r>
        <w:t xml:space="preserve">(2010) </w:t>
      </w:r>
      <w:r>
        <w:t xml:space="preserve">'Spark: cluster computing with working sets', </w:t>
      </w:r>
      <w:r>
        <w:rPr>
          <w:i/>
        </w:rPr>
        <w:t>Proceedings of the 2nd USENIX Conference on Hot Topics in Cloud Computing</w:t>
      </w:r>
      <w:r>
        <w:t>, pp.10-17</w:t>
      </w:r>
      <w:r>
        <w:t xml:space="preserve">. </w:t>
      </w:r>
      <w:hyperlink r:id="rId26">
        <w:r>
          <w:rPr>
            <w:color w:val="0563C1"/>
            <w:u w:val="single"/>
          </w:rPr>
          <w:t>Available at: https://www.usenix.org/conference/hotcloud-10/spark-cluster-computing-working-sets</w:t>
        </w:r>
      </w:hyperlink>
      <w:r>
        <w:t xml:space="preserve"> (Accessed: 30 April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docs.aws.amazon.com/AmazonS3/latest/userguide/Welcome.html" TargetMode="External"/><Relationship Id="rId18" Type="http://schemas.openxmlformats.org/officeDocument/2006/relationships/hyperlink" Target="https://doi.org/10.1023/A:1010933404324" TargetMode="External"/><Relationship Id="rId19" Type="http://schemas.openxmlformats.org/officeDocument/2006/relationships/hyperlink" Target="https://doi.org/10.1145/2939672.2939785" TargetMode="External"/><Relationship Id="rId20" Type="http://schemas.openxmlformats.org/officeDocument/2006/relationships/hyperlink" Target="https://doi.org/10.1145/1327452.1327492" TargetMode="External"/><Relationship Id="rId21" Type="http://schemas.openxmlformats.org/officeDocument/2006/relationships/hyperlink" Target="https://doi.org/10.1214/aos/1013203451" TargetMode="External"/><Relationship Id="rId22" Type="http://schemas.openxmlformats.org/officeDocument/2006/relationships/hyperlink" Target="https://doi.org/10.1016/S0140-6736(17)32345-0" TargetMode="External"/><Relationship Id="rId23" Type="http://schemas.openxmlformats.org/officeDocument/2006/relationships/hyperlink" Target="https://jmlr.org/papers/v12/pedregosa11a.html" TargetMode="External"/><Relationship Id="rId24" Type="http://schemas.openxmlformats.org/officeDocument/2006/relationships/hyperlink" Target="https://doi.org/10.1016/j.envpol.2019.04.014" TargetMode="External"/><Relationship Id="rId25" Type="http://schemas.openxmlformats.org/officeDocument/2006/relationships/hyperlink" Target="https://www.who.int/publications/i/item/9789240034228" TargetMode="External"/><Relationship Id="rId26" Type="http://schemas.openxmlformats.org/officeDocument/2006/relationships/hyperlink" Target="https://www.usenix.org/conference/hotcloud-10/spark-cluster-computing-working-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