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tkinson Hyperlegible" w:cs="Atkinson Hyperlegible" w:eastAsia="Atkinson Hyperlegible" w:hAnsi="Atkinson Hyperlegible"/>
          <w:b/>
          <w:bCs/>
          <w:color w:val="2563EB"/>
          <w:sz w:val="40"/>
          <w:szCs w:val="40"/>
        </w:rPr>
        <w:t xml:space="preserve">AI School Project Planner</w:t>
      </w:r>
    </w:p>
    <w:p>
      <w:pPr>
        <w:spacing w:after="300"/>
        <w:jc w:val="center"/>
      </w:pPr>
      <w:r>
        <w:rPr>
          <w:rFonts w:ascii="Atkinson Hyperlegible" w:cs="Atkinson Hyperlegible" w:eastAsia="Atkinson Hyperlegible" w:hAnsi="Atkinson Hyperlegible"/>
          <w:color w:val="666666"/>
          <w:sz w:val="26"/>
          <w:szCs w:val="26"/>
        </w:rPr>
        <w:t xml:space="preserve">Guida per il team Sales</w:t>
      </w:r>
    </w:p>
    <w:p>
      <w:pPr>
        <w:pStyle w:val="Heading1"/>
        <w:spacing w:after="120" w:before="360"/>
      </w:pPr>
      <w:r>
        <w:rPr>
          <w:rFonts w:ascii="Atkinson Hyperlegible" w:cs="Atkinson Hyperlegible" w:eastAsia="Atkinson Hyperlegible" w:hAnsi="Atkinson Hyperlegible"/>
          <w:b/>
          <w:bCs/>
          <w:sz w:val="32"/>
          <w:szCs w:val="32"/>
        </w:rPr>
        <w:t xml:space="preserve">Cos’è</w:t>
      </w:r>
    </w:p>
    <w:p>
      <w:pPr>
        <w:spacing w:after="120" w:before="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È un tool online che ti permette di costruire un piano formativo per una scuola nell’ambito del bando DM 219/2025 (PNRR — AI nella didattica, fino a €50.000 per scuola).</w:t>
      </w:r>
    </w:p>
    <w:p>
      <w:pPr>
        <w:spacing w:after="120" w:before="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Il tool calcola automaticamente i costi, verifica i vincoli del bando, genera i testi per la scheda ministeriale e produce il preventivo FEM in formato Word ed Excel.</w:t>
      </w:r>
    </w:p>
    <w:p>
      <w:pPr>
        <w:spacing w:after="80" w:before="80"/>
      </w:pPr>
    </w:p>
    <w:p>
      <w:pPr>
        <w:spacing w:after="120"/>
      </w:pP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Link: </w:t>
      </w:r>
      <w:hyperlink w:history="1" r:id="rIdypn_lsge-no8l3v4c4okr">
        <w:r>
          <w:rPr>
            <w:rStyle w:val="Hyperlink"/>
            <w:rFonts w:ascii="Atkinson Hyperlegible" w:cs="Atkinson Hyperlegible" w:eastAsia="Atkinson Hyperlegible" w:hAnsi="Atkinson Hyperlegible"/>
            <w:sz w:val="22"/>
            <w:szCs w:val="22"/>
          </w:rPr>
          <w:t xml:space="preserve">https://aiedplan.netlify.app</w:t>
        </w:r>
      </w:hyperlink>
    </w:p>
    <w:p>
      <w:pPr>
        <w:pStyle w:val="Heading1"/>
        <w:spacing w:after="120" w:before="360"/>
      </w:pPr>
      <w:r>
        <w:rPr>
          <w:rFonts w:ascii="Atkinson Hyperlegible" w:cs="Atkinson Hyperlegible" w:eastAsia="Atkinson Hyperlegible" w:hAnsi="Atkinson Hyperlegible"/>
          <w:b/>
          <w:bCs/>
          <w:sz w:val="32"/>
          <w:szCs w:val="32"/>
        </w:rPr>
        <w:t xml:space="preserve">Come si usa — passo per passo</w:t>
      </w:r>
    </w:p>
    <w:p>
      <w:pPr>
        <w:pStyle w:val="Heading3"/>
        <w:spacing w:after="120" w:before="240"/>
      </w:pPr>
      <w:r>
        <w:rPr>
          <w:rFonts w:ascii="Atkinson Hyperlegible" w:cs="Atkinson Hyperlegible" w:eastAsia="Atkinson Hyperlegible" w:hAnsi="Atkinson Hyperlegible"/>
          <w:b/>
          <w:bCs/>
          <w:sz w:val="24"/>
          <w:szCs w:val="24"/>
        </w:rPr>
        <w:t xml:space="preserve">1. Crea un nuovo progetto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Clicca </w:t>
      </w: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“+ Nuovo”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 nella sidebar a sinistra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Inserisci il </w:t>
      </w: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nome della scuola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 e un </w:t>
      </w: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titolo progetto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Clicca </w:t>
      </w: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“Crea”</w:t>
      </w:r>
    </w:p>
    <w:p>
      <w:pPr>
        <w:pStyle w:val="Heading3"/>
        <w:spacing w:after="120" w:before="240"/>
      </w:pPr>
      <w:r>
        <w:rPr>
          <w:rFonts w:ascii="Atkinson Hyperlegible" w:cs="Atkinson Hyperlegible" w:eastAsia="Atkinson Hyperlegible" w:hAnsi="Atkinson Hyperlegible"/>
          <w:b/>
          <w:bCs/>
          <w:sz w:val="24"/>
          <w:szCs w:val="24"/>
        </w:rPr>
        <w:t xml:space="preserve">2. Aggiungi i corsi (tab Corsi)</w:t>
      </w:r>
    </w:p>
    <w:p>
      <w:pPr>
        <w:spacing w:after="120" w:before="0"/>
      </w:pP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Dal catalogo FEM: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Clicca </w:t>
      </w: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“+ Aggiungi da catalogo FEM”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Sfoglia i corsi per area o cerca per nome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Clicca </w:t>
      </w: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“+ P”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 per Percorso o </w:t>
      </w: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“+ L”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 per Laboratorio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I corsi con badge P/L possono essere aggiunti in entrambe le modalità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Lo stesso corso può essere aggiunto più volte (es. più edizioni)</w:t>
      </w:r>
    </w:p>
    <w:p>
      <w:pPr>
        <w:spacing w:after="80" w:before="80"/>
      </w:pPr>
    </w:p>
    <w:p>
      <w:pPr>
        <w:spacing w:after="120" w:before="0"/>
      </w:pP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Corsi non FEM: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Clicca </w:t>
      </w: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“+ Altro corso”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 per aggiungere un corso esterno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Inserisci nome, tipologia (P o L) e ore</w:t>
      </w:r>
    </w:p>
    <w:p>
      <w:pPr>
        <w:spacing w:after="80" w:before="80"/>
      </w:pPr>
    </w:p>
    <w:p>
      <w:pPr>
        <w:spacing w:after="120" w:before="0"/>
      </w:pP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Per ogni corso puoi configurare: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Ore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: per i corsi FEM, modificabili di ±2/+3 ore rispetto alla durata standard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Partecipanti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: il numero di docenti previsti (min 10 per P, min 5 per L)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Formazione formatori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: spunta questa casella su almeno 1 percorso — è un obbligo del bando</w:t>
      </w:r>
    </w:p>
    <w:p>
      <w:pPr>
        <w:pStyle w:val="Heading3"/>
        <w:spacing w:after="120" w:before="240"/>
      </w:pPr>
      <w:r>
        <w:rPr>
          <w:rFonts w:ascii="Atkinson Hyperlegible" w:cs="Atkinson Hyperlegible" w:eastAsia="Atkinson Hyperlegible" w:hAnsi="Atkinson Hyperlegible"/>
          <w:b/>
          <w:bCs/>
          <w:sz w:val="24"/>
          <w:szCs w:val="24"/>
        </w:rPr>
        <w:t xml:space="preserve">3. Controlla il budget (tab Budget)</w:t>
      </w:r>
    </w:p>
    <w:p>
      <w:pPr>
        <w:spacing w:after="120" w:before="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Qui trovi tre sezioni: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Riepilogo Budget Complessivo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: barra di progresso su €50.000, breakdown Percorsi vs Laboratori, percentuale laboratori (≥ 50%)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Preventivo FEM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: riepilogo costi FEM con esportazione in Word (.docx) ed Excel (.xlsx)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Vincoli del Bando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: checklist verde/rosso con gli 8 vincoli da rispettare</w:t>
      </w:r>
    </w:p>
    <w:p>
      <w:pPr>
        <w:pStyle w:val="Heading3"/>
        <w:spacing w:after="120" w:before="240"/>
      </w:pPr>
      <w:r>
        <w:rPr>
          <w:rFonts w:ascii="Atkinson Hyperlegible" w:cs="Atkinson Hyperlegible" w:eastAsia="Atkinson Hyperlegible" w:hAnsi="Atkinson Hyperlegible"/>
          <w:b/>
          <w:bCs/>
          <w:sz w:val="24"/>
          <w:szCs w:val="24"/>
        </w:rPr>
        <w:t xml:space="preserve">4. Aggiungi tecnologie (tab Tecnologie)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Piattaforme FEM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: aggiungi LINDA o AI for Learning con i prezzi a listino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Altre tecnologie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: aggiungi qualsiasi software AI che la scuola userà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Pianificazione costi indiretti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: alloca il 40% tra licenze, organizzazione e materiali</w:t>
      </w:r>
    </w:p>
    <w:p>
      <w:pPr>
        <w:pStyle w:val="Heading3"/>
        <w:spacing w:after="120" w:before="240"/>
      </w:pPr>
      <w:r>
        <w:rPr>
          <w:rFonts w:ascii="Atkinson Hyperlegible" w:cs="Atkinson Hyperlegible" w:eastAsia="Atkinson Hyperlegible" w:hAnsi="Atkinson Hyperlegible"/>
          <w:b/>
          <w:bCs/>
          <w:sz w:val="24"/>
          <w:szCs w:val="24"/>
        </w:rPr>
        <w:t xml:space="preserve">5. Genera i testi (tab Testi)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Clicca </w:t>
      </w: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“Genera tutti i testi”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 per compilare i 6 campi della scheda ministeriale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I testi vengono generati in base ai corsi selezionati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Puoi modificarli liberamente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Usa </w:t>
      </w: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“Copia”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 accanto a ogni campo per incollare su Scuola Futura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Usa </w:t>
      </w: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“Scarica .txt”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 per esportare tutto</w:t>
      </w:r>
    </w:p>
    <w:p>
      <w:pPr>
        <w:pStyle w:val="Heading3"/>
        <w:spacing w:after="120" w:before="240"/>
      </w:pPr>
      <w:r>
        <w:rPr>
          <w:rFonts w:ascii="Atkinson Hyperlegible" w:cs="Atkinson Hyperlegible" w:eastAsia="Atkinson Hyperlegible" w:hAnsi="Atkinson Hyperlegible"/>
          <w:b/>
          <w:bCs/>
          <w:sz w:val="24"/>
          <w:szCs w:val="24"/>
        </w:rPr>
        <w:t xml:space="preserve">6. Consulta i riferimenti (tab Riferimenti)</w:t>
      </w:r>
    </w:p>
    <w:p>
      <w:pPr>
        <w:spacing w:after="120" w:before="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Link ai documenti normativi del bando: Linee guida IA, DigComp, AI Act, UNESCO, OECD, etc.</w:t>
      </w:r>
    </w:p>
    <w:p>
      <w:pPr>
        <w:pStyle w:val="Heading1"/>
        <w:spacing w:after="120" w:before="360"/>
      </w:pPr>
      <w:r>
        <w:rPr>
          <w:rFonts w:ascii="Atkinson Hyperlegible" w:cs="Atkinson Hyperlegible" w:eastAsia="Atkinson Hyperlegible" w:hAnsi="Atkinson Hyperlegible"/>
          <w:b/>
          <w:bCs/>
          <w:sz w:val="32"/>
          <w:szCs w:val="32"/>
        </w:rPr>
        <w:t xml:space="preserve">Come esportare il preventivo FEM</w:t>
      </w:r>
    </w:p>
    <w:p>
      <w:pPr>
        <w:spacing w:after="120" w:before="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Nel tab Budget, nella sezione “Preventivo FEM”: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“Scarica .docx”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 → Word su carta intestata FEM, pronto da inviare alla scuola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“Scarica .xlsx”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 → Excel con dettaglio corsi e costi</w:t>
      </w:r>
    </w:p>
    <w:p>
      <w:pPr>
        <w:spacing w:after="80" w:before="80"/>
      </w:pPr>
    </w:p>
    <w:p>
      <w:pPr>
        <w:spacing w:after="120" w:before="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Il preventivo include: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Titolo corso, tipologia, breve descrizione, ore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Prezzo senza IVA per la formazione (esente IVA art. 10)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Prezzo licenze con IVA 22% scorporata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Termini di esecuzione e validità (60 giorni)</w:t>
      </w:r>
    </w:p>
    <w:p>
      <w:pPr>
        <w:pStyle w:val="Heading1"/>
        <w:spacing w:after="120" w:before="360"/>
      </w:pPr>
      <w:r>
        <w:rPr>
          <w:rFonts w:ascii="Atkinson Hyperlegible" w:cs="Atkinson Hyperlegible" w:eastAsia="Atkinson Hyperlegible" w:hAnsi="Atkinson Hyperlegible"/>
          <w:b/>
          <w:bCs/>
          <w:sz w:val="32"/>
          <w:szCs w:val="32"/>
        </w:rPr>
        <w:t xml:space="preserve">Cose importanti da ricordare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sz w:val="20"/>
                <w:szCs w:val="20"/>
              </w:rPr>
              <w:t xml:space="preserve">Cosa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Regola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sz w:val="20"/>
                <w:szCs w:val="20"/>
              </w:rPr>
              <w:t xml:space="preserve">Budget massimo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€50.000 per progetto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sz w:val="20"/>
                <w:szCs w:val="20"/>
              </w:rPr>
              <w:t xml:space="preserve">Laboratori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Devono essere ≥ 50% del budget totale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sz w:val="20"/>
                <w:szCs w:val="20"/>
              </w:rPr>
              <w:t xml:space="preserve">Formazione formatori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Almeno 1 percorso (P) deve avere la spunta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sz w:val="20"/>
                <w:szCs w:val="20"/>
              </w:rPr>
              <w:t xml:space="preserve">Partecipanti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Min 10 per Percorso, min 5 per Laboratorio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sz w:val="20"/>
                <w:szCs w:val="20"/>
              </w:rPr>
              <w:t xml:space="preserve">Attestati totali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Almeno 50 persone con attestato nel progetto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tkinson Hyperlegible" w:cs="Atkinson Hyperlegible" w:eastAsia="Atkinson Hyperlegible" w:hAnsi="Atkinson Hyperlegible"/>
                <w:b/>
                <w:bCs/>
                <w:sz w:val="20"/>
                <w:szCs w:val="20"/>
              </w:rPr>
              <w:t xml:space="preserve">Scadenza bando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tkinson Hyperlegible" w:cs="Atkinson Hyperlegible" w:eastAsia="Atkinson Hyperlegible" w:hAnsi="Atkinson Hyperlegible"/>
                <w:sz w:val="20"/>
                <w:szCs w:val="20"/>
              </w:rPr>
              <w:t xml:space="preserve">17 aprile 2026, ore 15:00</w:t>
            </w:r>
          </w:p>
        </w:tc>
      </w:tr>
    </w:tbl>
    <w:p>
      <w:pPr>
        <w:pStyle w:val="Heading1"/>
        <w:spacing w:after="120" w:before="360"/>
      </w:pPr>
      <w:r>
        <w:rPr>
          <w:rFonts w:ascii="Atkinson Hyperlegible" w:cs="Atkinson Hyperlegible" w:eastAsia="Atkinson Hyperlegible" w:hAnsi="Atkinson Hyperlegible"/>
          <w:b/>
          <w:bCs/>
          <w:sz w:val="32"/>
          <w:szCs w:val="32"/>
        </w:rPr>
        <w:t xml:space="preserve">I dati sono sicuri?</w:t>
      </w:r>
    </w:p>
    <w:p>
      <w:pPr>
        <w:spacing w:after="120" w:before="0"/>
      </w:pPr>
      <w:r>
        <w:rPr>
          <w:rFonts w:ascii="Atkinson Hyperlegible" w:cs="Atkinson Hyperlegible" w:eastAsia="Atkinson Hyperlegible" w:hAnsi="Atkinson Hyperlegible"/>
          <w:sz w:val="22"/>
          <w:szCs w:val="22"/>
        </w:rPr>
        <w:t xml:space="preserve">Sì. Tutto resta nel browser della persona che usa il tool. Non c’è nessun server, nessun database, nessun dato viene trasmesso. Se cancelli i dati del browser, i progetti vengono persi.</w:t>
      </w:r>
    </w:p>
    <w:p>
      <w:pPr>
        <w:pStyle w:val="Heading1"/>
        <w:spacing w:after="120" w:before="360"/>
      </w:pPr>
      <w:r>
        <w:rPr>
          <w:rFonts w:ascii="Atkinson Hyperlegible" w:cs="Atkinson Hyperlegible" w:eastAsia="Atkinson Hyperlegible" w:hAnsi="Atkinson Hyperlegible"/>
          <w:b/>
          <w:bCs/>
          <w:sz w:val="32"/>
          <w:szCs w:val="32"/>
        </w:rPr>
        <w:t xml:space="preserve">Problemi?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Pagina bianca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: ricarica con Cmd+Shift+R (hard refresh)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Dati persi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: i progetti sono nel localStorage — se cambi browser o lo pulisci, riparti da zero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tkinson Hyperlegible" w:cs="Atkinson Hyperlegible" w:eastAsia="Atkinson Hyperlegible" w:hAnsi="Atkinson Hyperlegible"/>
          <w:b/>
          <w:bCs/>
          <w:sz w:val="22"/>
          <w:szCs w:val="22"/>
        </w:rPr>
        <w:t xml:space="preserve">Preventivo Word formattato male</w:t>
      </w:r>
      <w:r>
        <w:rPr>
          <w:rFonts w:ascii="Atkinson Hyperlegible" w:cs="Atkinson Hyperlegible" w:eastAsia="Atkinson Hyperlegible" w:hAnsi="Atkinson Hyperlegible"/>
          <w:b w:val="false"/>
          <w:bCs w:val="false"/>
          <w:sz w:val="22"/>
          <w:szCs w:val="22"/>
        </w:rPr>
        <w:t xml:space="preserve">: assicurati di aprirlo con Word (non Google Docs o Pages)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tkinson Hyperlegible" w:cs="Atkinson Hyperlegible" w:eastAsia="Atkinson Hyperlegible" w:hAnsi="Atkinson Hyperlegibl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tkinson Hyperlegible" w:cs="Atkinson Hyperlegible" w:eastAsia="Atkinson Hyperlegible" w:hAnsi="Atkinson Hyperlegibl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tkinson Hyperlegible" w:cs="Atkinson Hyperlegible" w:eastAsia="Atkinson Hyperlegible" w:hAnsi="Atkinson Hyperlegible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tkinson Hyperlegible" w:cs="Atkinson Hyperlegible" w:eastAsia="Atkinson Hyperlegible" w:hAnsi="Atkinson Hyperlegible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tkinson Hyperlegible" w:cs="Atkinson Hyperlegible" w:eastAsia="Atkinson Hyperlegible" w:hAnsi="Atkinson Hyperlegible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pn_lsge-no8l3v4c4okr" Type="http://schemas.openxmlformats.org/officeDocument/2006/relationships/hyperlink" Target="https://aiedplan.netlify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2026-04-04T08:33:00.401Z</dcterms:created>
  <dcterms:modified xsi:type="dcterms:W3CDTF">2026-04-04T08:33:00.406Z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