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Per l’implementazione del gestionale dell’azienda TxLogistik è possibile operare in 3 diverse maniere: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Utilizzo della piattaforma </w:t>
      </w:r>
      <w:r w:rsidDel="00000000" w:rsidR="00000000" w:rsidRPr="00000000">
        <w:rPr>
          <w:i w:val="1"/>
          <w:rtl w:val="0"/>
        </w:rPr>
        <w:t xml:space="preserve">MS Access</w:t>
      </w:r>
      <w:r w:rsidDel="00000000" w:rsidR="00000000" w:rsidRPr="00000000">
        <w:rPr>
          <w:rtl w:val="0"/>
        </w:rPr>
        <w:t xml:space="preserve"> per quanto riguarda entrambe le parti </w:t>
      </w:r>
      <w:r w:rsidDel="00000000" w:rsidR="00000000" w:rsidRPr="00000000">
        <w:rPr>
          <w:i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i w:val="1"/>
          <w:rtl w:val="0"/>
        </w:rPr>
        <w:t xml:space="preserve">server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Utilizzo della piattaforma</w:t>
      </w:r>
      <w:r w:rsidDel="00000000" w:rsidR="00000000" w:rsidRPr="00000000">
        <w:rPr>
          <w:i w:val="1"/>
          <w:rtl w:val="0"/>
        </w:rPr>
        <w:t xml:space="preserve"> MS Access</w:t>
      </w:r>
      <w:r w:rsidDel="00000000" w:rsidR="00000000" w:rsidRPr="00000000">
        <w:rPr>
          <w:rtl w:val="0"/>
        </w:rPr>
        <w:t xml:space="preserve"> per quanto riguarda la parte </w:t>
      </w:r>
      <w:r w:rsidDel="00000000" w:rsidR="00000000" w:rsidRPr="00000000">
        <w:rPr>
          <w:i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e di un </w:t>
      </w:r>
      <w:r w:rsidDel="00000000" w:rsidR="00000000" w:rsidRPr="00000000">
        <w:rPr>
          <w:i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di tipo w</w:t>
      </w:r>
      <w:r w:rsidDel="00000000" w:rsidR="00000000" w:rsidRPr="00000000">
        <w:rPr>
          <w:rtl w:val="0"/>
        </w:rPr>
        <w:t xml:space="preserve">eb costruito ad-hoc.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tl w:val="0"/>
        </w:rPr>
        <w:t xml:space="preserve">Utilizzo di un </w:t>
      </w:r>
      <w:r w:rsidDel="00000000" w:rsidR="00000000" w:rsidRPr="00000000">
        <w:rPr>
          <w:i w:val="1"/>
          <w:rtl w:val="0"/>
        </w:rPr>
        <w:t xml:space="preserve">RDBMS </w:t>
      </w:r>
      <w:r w:rsidDel="00000000" w:rsidR="00000000" w:rsidRPr="00000000">
        <w:rPr>
          <w:rtl w:val="0"/>
        </w:rPr>
        <w:t xml:space="preserve">per quanto riguarda la parte </w:t>
      </w:r>
      <w:r w:rsidDel="00000000" w:rsidR="00000000" w:rsidRPr="00000000">
        <w:rPr>
          <w:i w:val="1"/>
          <w:rtl w:val="0"/>
        </w:rPr>
        <w:t xml:space="preserve">server </w:t>
      </w:r>
      <w:r w:rsidDel="00000000" w:rsidR="00000000" w:rsidRPr="00000000">
        <w:rPr>
          <w:rtl w:val="0"/>
        </w:rPr>
        <w:t xml:space="preserve">e di un </w:t>
      </w:r>
      <w:r w:rsidDel="00000000" w:rsidR="00000000" w:rsidRPr="00000000">
        <w:rPr>
          <w:i w:val="1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di tipo w</w:t>
      </w:r>
      <w:r w:rsidDel="00000000" w:rsidR="00000000" w:rsidRPr="00000000">
        <w:rPr>
          <w:rtl w:val="0"/>
        </w:rPr>
        <w:t xml:space="preserve">eb costruito ad-hoc.</w:t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mqskqcaumnd4" w:id="0"/>
      <w:bookmarkEnd w:id="0"/>
      <w:r w:rsidDel="00000000" w:rsidR="00000000" w:rsidRPr="00000000">
        <w:rPr>
          <w:rtl w:val="0"/>
        </w:rPr>
        <w:t xml:space="preserve">Analisi della priorità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L’utilizzo di un </w:t>
      </w:r>
      <w:r w:rsidDel="00000000" w:rsidR="00000000" w:rsidRPr="00000000">
        <w:rPr>
          <w:i w:val="1"/>
          <w:rtl w:val="0"/>
        </w:rPr>
        <w:t xml:space="preserve">RDBMS </w:t>
      </w:r>
      <w:r w:rsidDel="00000000" w:rsidR="00000000" w:rsidRPr="00000000">
        <w:rPr>
          <w:rtl w:val="0"/>
        </w:rPr>
        <w:t xml:space="preserve">non è necessario, poiché il carico di lavoro da gestire è limitato e poiché la </w:t>
      </w:r>
      <w:r w:rsidDel="00000000" w:rsidR="00000000" w:rsidRPr="00000000">
        <w:rPr>
          <w:i w:val="1"/>
          <w:rtl w:val="0"/>
        </w:rPr>
        <w:t xml:space="preserve">persistenza </w:t>
      </w:r>
      <w:r w:rsidDel="00000000" w:rsidR="00000000" w:rsidRPr="00000000">
        <w:rPr>
          <w:rtl w:val="0"/>
        </w:rPr>
        <w:t xml:space="preserve">dei dati non è richiesta oltre alle regolari ore lavorativi.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 client </w:t>
      </w:r>
      <w:r w:rsidDel="00000000" w:rsidR="00000000" w:rsidRPr="00000000">
        <w:rPr>
          <w:i w:val="1"/>
          <w:rtl w:val="0"/>
        </w:rPr>
        <w:t xml:space="preserve">ad-hoc </w:t>
      </w:r>
      <w:r w:rsidDel="00000000" w:rsidR="00000000" w:rsidRPr="00000000">
        <w:rPr>
          <w:rtl w:val="0"/>
        </w:rPr>
        <w:t xml:space="preserve">non è indispensabile, poiché con Access è possibile creare un client altrettanto potente e costruito sulla stessa piattaforma del livello server.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Inoltre, i </w:t>
      </w:r>
      <w:r w:rsidDel="00000000" w:rsidR="00000000" w:rsidRPr="00000000">
        <w:rPr>
          <w:rtl w:val="0"/>
        </w:rPr>
        <w:t xml:space="preserve">sistemi </w:t>
      </w:r>
      <w:r w:rsidDel="00000000" w:rsidR="00000000" w:rsidRPr="00000000">
        <w:rPr>
          <w:rtl w:val="0"/>
        </w:rPr>
        <w:t xml:space="preserve">informatici dell’azienda sono blindati, e l’installazione di un nuovo servizio client/server sarebbe troppo impegnativo</w:t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el5mymg1bn8k" w:id="1"/>
      <w:bookmarkEnd w:id="1"/>
      <w:r w:rsidDel="00000000" w:rsidR="00000000" w:rsidRPr="00000000">
        <w:rPr>
          <w:rtl w:val="0"/>
        </w:rPr>
        <w:t xml:space="preserve">Analisi dei costi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 causa dell’irrilevanza di un eventuale servizio DB server e di una macchina dedicata che ne assicuri la persistenza, i costi stimati sono nulli.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6834" w:w="11909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contextualSpacing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Style w:val="Title"/>
      <w:contextualSpacing w:val="0"/>
      <w:rPr/>
    </w:pPr>
    <w:bookmarkStart w:colFirst="0" w:colLast="0" w:name="_6ktuzn2j794v" w:id="2"/>
    <w:bookmarkEnd w:id="2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Style w:val="Title"/>
      <w:contextualSpacing w:val="0"/>
      <w:rPr>
        <w:rFonts w:ascii="Roboto Mono Light" w:cs="Roboto Mono Light" w:eastAsia="Roboto Mono Light" w:hAnsi="Roboto Mono Light"/>
      </w:rPr>
    </w:pPr>
    <w:bookmarkStart w:colFirst="0" w:colLast="0" w:name="_pguxkckfjxl8" w:id="3"/>
    <w:bookmarkEnd w:id="3"/>
    <w:r w:rsidDel="00000000" w:rsidR="00000000" w:rsidRPr="00000000">
      <w:rPr>
        <w:rFonts w:ascii="Roboto Mono Light" w:cs="Roboto Mono Light" w:eastAsia="Roboto Mono Light" w:hAnsi="Roboto Mono Light"/>
        <w:rtl w:val="0"/>
      </w:rPr>
      <w:t xml:space="preserve">Analisi dei requisiti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Mono Light" w:cs="Roboto Mono Light" w:eastAsia="Roboto Mono Light" w:hAnsi="Roboto Mono Light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it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Roboto Mono Light" w:cs="Roboto Mono Light" w:eastAsia="Roboto Mono Light" w:hAnsi="Roboto Mono Light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