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(132) — </w:t>
      </w:r>
      <w:r>
        <w:rPr>
          <w:b/>
        </w:rPr>
        <w:t xml:space="preserve">Estrazione per Excel di tutte le consegne</w:t>
      </w:r>
      <w:r>
        <w:rPr>
          <w:b/>
        </w:rPr>
        <w:t xml:space="preserve"> (regola utente), per l'ufficio e per il partner. In Consegne, accanto a «Ricerca avanzata», il bottone «Esporta per Excel» scarica </w:t>
      </w:r>
      <w:r>
        <w:rPr>
          <w:b/>
        </w:rPr>
        <w:t xml:space="preserve">tutte</w:t>
      </w:r>
      <w:r>
        <w:rPr>
          <w:b/>
        </w:rPr>
        <w:t xml:space="preserve"> le consegne che i filtri selezionano — non solo la pagina a schermo — in un file che Excel apre con un doppio click. Le colonne: consegna, data, orario di consegna e di ritiro, stato, servizio, partner, destinatario, indirizzo, provincia, ritiro, prodotti, DDT, prezzo, plus/minus, fatturabile, fatturata; per l'ufficio anche valet, paga del valet, plus/minus del valet, «da pagare» e margine. Il partner scarica le sue consegne e non riceve i numeri che non lo riguardano, esattamente come in tabella. Oltre 20.000 righe l'estrazione si ferma e lo dice: si restringe il periodo.</w:t>
      </w:r>
      <w:r>
        <w:rPr>
          <w:b/>
        </w:rPr>
        <w:t xml:space="preserve">11/09/2026 (131) — </w:t>
      </w:r>
      <w:r>
        <w:rPr>
          <w:b/>
        </w:rPr>
        <w:t xml:space="preserve">I margini della consegna ora sono quelli della Finanza</w:t>
      </w:r>
      <w:r>
        <w:rPr>
          <w:b/>
        </w:rPr>
        <w:t xml:space="preserve"> (segnalazione utente: «questi margini son tutti sbagliati, controlla come calcola i margini la sezione Finanza e copia da lì»). Il riquadro del dettaglio faceva un conto suo: prezzo attribuito alla consegna meno «dovuto netto al partner», dove il dovuto nasceva dalle righe a prezzo partner e il prezzo dalla vendita. Due basi diverse nella stessa sottrazione: su un ordine sano usciva −4,20 €. Adesso il numero lo dà la </w:t>
      </w:r>
      <w:r>
        <w:rPr>
          <w:b/>
        </w:rPr>
        <w:t xml:space="preserve">sezione Finanza</w:t>
      </w:r>
      <w:r>
        <w:rPr>
          <w:b/>
        </w:rPr>
        <w:t xml:space="preserve">, che di quel conto è la proprietaria, e non è una formula ricopiata: la piattaforma chiama il suo codice. Il riquadro mostra quello che mostra la Finanza — </w:t>
      </w:r>
      <w:r>
        <w:rPr>
          <w:b/>
        </w:rPr>
        <w:t xml:space="preserve">pagato dal cliente</w:t>
      </w:r>
      <w:r>
        <w:rPr>
          <w:b/>
        </w:rPr>
        <w:t xml:space="preserve"> (prodotti + consegna, dall'ordine vero quando c'è, altrimenti stimato dal listino e dichiarato), </w:t>
      </w:r>
      <w:r>
        <w:rPr>
          <w:b/>
        </w:rPr>
        <w:t xml:space="preserve">pagato al partner</w:t>
      </w:r>
      <w:r>
        <w:rPr>
          <w:b/>
        </w:rPr>
        <w:t xml:space="preserve">, </w:t>
      </w:r>
      <w:r>
        <w:rPr>
          <w:b/>
        </w:rPr>
        <w:t xml:space="preserve">guadagno netto IVA</w:t>
      </w:r>
      <w:r>
        <w:rPr>
          <w:b/>
        </w:rPr>
        <w:t xml:space="preserve"> (col lordo e l'IVA sotto), </w:t>
      </w:r>
      <w:r>
        <w:rPr>
          <w:b/>
        </w:rPr>
        <w:t xml:space="preserve">quota fatturata al partner</w:t>
      </w:r>
      <w:r>
        <w:rPr>
          <w:b/>
        </w:rPr>
        <w:t xml:space="preserve">, </w:t>
      </w:r>
      <w:r>
        <w:rPr>
          <w:b/>
        </w:rPr>
        <w:t xml:space="preserve">costo della consegna</w:t>
      </w:r>
      <w:r>
        <w:rPr>
          <w:b/>
        </w:rPr>
        <w:t xml:space="preserve"> (paga del valet), </w:t>
      </w:r>
      <w:r>
        <w:rPr>
          <w:b/>
        </w:rPr>
        <w:t xml:space="preserve">commissione d'incasso</w:t>
      </w:r>
      <w:r>
        <w:rPr>
          <w:b/>
        </w:rPr>
        <w:t xml:space="preserve"> (zero dichiarato quando il metodo di pagamento non si sa) e infine il </w:t>
      </w:r>
      <w:r>
        <w:rPr>
          <w:b/>
        </w:rPr>
        <w:t xml:space="preserve">margine</w:t>
      </w:r>
      <w:r>
        <w:rPr>
          <w:b/>
        </w:rPr>
        <w:t xml:space="preserve"> con la percentuale. Se l'ordine ha più consegne il margine è dell'ordine, e la scheda lo dice. Stessa regola per le righe rosse in tabella (margine sotto il 5 %), che ora costano due letture per pagina invece di quattro per riga.</w:t>
      </w:r>
      <w:r>
        <w:rPr>
          <w:b/>
        </w:rPr>
        <w:t xml:space="preserve">11/09/2026 (130) — </w:t>
      </w:r>
      <w:r>
        <w:rPr>
          <w:b/>
        </w:rPr>
        <w:t xml:space="preserve">Anticipo o extra si chiedono anche da Stipendi</w:t>
      </w:r>
      <w:r>
        <w:rPr>
          <w:b/>
        </w:rPr>
        <w:t xml:space="preserve"> (regola utente). Nel pannello «Da pagare», sulla riga di ogni valet, accanto a «Dettaglio» e «Recap» c'è «Richiesta pagamento»: apre la stessa finestra della scheda valet — tipo («Anticipo, si scala dal prossimo stipendio» oppure «Extra concordato»), importo, causale — e manda la richiesta a Deluxy Transactions, dove una persona autorizza il bonifico. Prima di chiedere si legge l'IBAN del valet: senza IBAN il bottone d'invio resta spento, perché quei soldi devono arrivare da qualche parte. Stessa rotta e stesse regole di sempre (importo fino a 5.000 €, causale obbligatoria, solo ufficio): cambia solo il punto da cui si parte, che è la pagina dove si pagano gli stipendi.</w:t>
      </w:r>
      <w:r>
        <w:rPr>
          <w:b/>
        </w:rPr>
        <w:t xml:space="preserve">11/09/2026 (129) — </w:t>
      </w:r>
      <w:r>
        <w:rPr>
          <w:b/>
        </w:rPr>
        <w:t xml:space="preserve">La lista Consegne non cade più sotto carico</w:t>
      </w:r>
      <w:r>
        <w:rPr>
          <w:b/>
        </w:rPr>
        <w:t xml:space="preserve"> (segnalazione utente: «Internal server error» sulla pagina Consegne). Nei log della funzione: «Timed out fetching a new connection from the connection pool (timeout 10, connection limit 3)». Il calcolo del margine introdotto il 10/09 faceva QUATTRO letture in parallelo a ogni pagina di Consegne: con un pool da tre connessioni se le prendeva tutte, e il resto della richiesta aspettava fino al timeout. Ora le stesse letture vanno in fila: una connessione per volta, qualche decina di millisecondi in più, nessun errore. Nella stessa mezz'ora è comparso anche un errore diverso — «max client connections reached, limit: 200» del pooler Supabase condiviso fra le app — rientrato da solo. </w:t>
      </w:r>
      <w:r>
        <w:rPr>
          <w:b/>
        </w:rPr>
        <w:t xml:space="preserve">Scheda valet</w:t>
      </w:r>
      <w:r>
        <w:rPr>
          <w:b/>
        </w:rPr>
        <w:t xml:space="preserve">: la tabella delle tariffe scorre dentro la scheda invece di allargarla, gli importi sono allineati a destra, e sul telefono etichette e valori si impilano.</w:t>
      </w:r>
      <w:r>
        <w:rPr>
          <w:b/>
        </w:rPr>
        <w:t xml:space="preserve">11/09/2026 (128) — </w:t>
      </w:r>
      <w:r>
        <w:rPr>
          <w:b/>
        </w:rPr>
        <w:t xml:space="preserve">Quattro richieste dell'ufficio su Stipendi, Fatturazione e consegne correlate.</w:t>
      </w:r>
      <w:r>
        <w:rPr>
          <w:b/>
        </w:rPr>
        <w:t xml:space="preserve"> (1) </w:t>
      </w:r>
      <w:r>
        <w:rPr>
          <w:b/>
        </w:rPr>
        <w:t xml:space="preserve">Stipendi, dettaglio della consegna</w:t>
      </w:r>
      <w:r>
        <w:rPr>
          <w:b/>
        </w:rPr>
        <w:t xml:space="preserve">: nel pannello «Da pagare» e nel dettaglio di uno stipendio dello storico si leggono ora </w:t>
      </w:r>
      <w:r>
        <w:rPr>
          <w:b/>
        </w:rPr>
        <w:t xml:space="preserve">partner</w:t>
      </w:r>
      <w:r>
        <w:rPr>
          <w:b/>
        </w:rPr>
        <w:t xml:space="preserve">, </w:t>
      </w:r>
      <w:r>
        <w:rPr>
          <w:b/>
        </w:rPr>
        <w:t xml:space="preserve">orario di consegna</w:t>
      </w:r>
      <w:r>
        <w:rPr>
          <w:b/>
        </w:rPr>
        <w:t xml:space="preserve">, </w:t>
      </w:r>
      <w:r>
        <w:rPr>
          <w:b/>
        </w:rPr>
        <w:t xml:space="preserve">da pagare sì/no</w:t>
      </w:r>
      <w:r>
        <w:rPr>
          <w:b/>
        </w:rPr>
        <w:t xml:space="preserve"> (pillola verde o ambra) e, sotto i plus/minus, quanto di quella cifra arriva </w:t>
      </w:r>
      <w:r>
        <w:rPr>
          <w:b/>
        </w:rPr>
        <w:t xml:space="preserve">da una regola</w:t>
      </w:r>
      <w:r>
        <w:rPr>
          <w:b/>
        </w:rPr>
        <w:t xml:space="preserve">. (2) </w:t>
      </w:r>
      <w:r>
        <w:rPr>
          <w:b/>
        </w:rPr>
        <w:t xml:space="preserve">Fatturazione, filtro per macro servizio</w:t>
      </w:r>
      <w:r>
        <w:rPr>
          <w:b/>
        </w:rPr>
        <w:t xml:space="preserve">: le linguette «Tipologie di servizio» non elencano più i 40 servizi puntuali ma le cinque famiglie (prezzo fisso, a ora, vendita, magazzino, corporate); sceglierne una filtra tutti i servizi che le appartengono. (3) </w:t>
      </w:r>
      <w:r>
        <w:rPr>
          <w:b/>
        </w:rPr>
        <w:t xml:space="preserve">Fatturazione, il venduto nella riga della fattura</w:t>
      </w:r>
      <w:r>
        <w:rPr>
          <w:b/>
        </w:rPr>
        <w:t xml:space="preserve">: accanto a numero di consegne e imponibile c'è la colonna «Venduto» (solo le righe di vendita ne hanno uno), senza aprire il dettaglio. (4) </w:t>
      </w:r>
      <w:r>
        <w:rPr>
          <w:b/>
        </w:rPr>
        <w:t xml:space="preserve">Consegne con lo stesso DDT</w:t>
      </w:r>
      <w:r>
        <w:rPr>
          <w:b/>
        </w:rPr>
        <w:t xml:space="preserve">: la cella del prodotto ora c'è sempre — quando una consegna non aveva prodotti le colonne slittavano e le righe non erano più incolonnate; le celle lunghe si accorciano invece di sfondare la riga, e i riquadri dei legami (riconsegna, corporate) hanno lo stesso respiro delle altre schede.</w:t>
      </w:r>
      <w:r>
        <w:rPr>
          <w:b/>
        </w:rPr>
        <w:t xml:space="preserve">11/09/2026 (127) — </w:t>
      </w:r>
      <w:r>
        <w:rPr>
          <w:b/>
        </w:rPr>
        <w:t xml:space="preserve">La cartella di Drive si può incollare come link</w:t>
      </w:r>
      <w:r>
        <w:rPr>
          <w:b/>
        </w:rPr>
        <w:t xml:space="preserve"> (segnalazione utente: caricando l'immagine di un prodotto, «Drive rifiuta il caricamento: File not found: </w:t>
      </w:r>
      <w:r>
        <w:rPr>
          <w:b/>
        </w:rPr>
        <w:t xml:space="preserve">https://drive.google.com/drive/folders/1gZ5…»</w:t>
      </w:r>
      <w:r>
        <w:rPr>
          <w:b/>
        </w:rPr>
        <w:t xml:space="preserve">). In Impostazioni → File App il campo vuole l'</w:t>
      </w:r>
      <w:r>
        <w:rPr>
          <w:b/>
        </w:rPr>
        <w:t xml:space="preserve">id</w:t>
      </w:r>
      <w:r>
        <w:rPr>
          <w:b/>
        </w:rPr>
        <w:t xml:space="preserve"> della cartella, ma dal tasto «Condividi» di Drive si copia il </w:t>
      </w:r>
      <w:r>
        <w:rPr>
          <w:b/>
        </w:rPr>
        <w:t xml:space="preserve">link</w:t>
      </w:r>
      <w:r>
        <w:rPr>
          <w:b/>
        </w:rPr>
        <w:t xml:space="preserve">: chi lo incolla riceveva un errore a ogni caricamento. Ora l'id si ricava dal link (dal pezzo «/folders/…» o «?id=…»), e un id scritto a mano continua a valere. Vale per tutti i caricamenti su Drive: immagini e video dei prodotti, ricevute firmate, firme in app. </w:t>
      </w:r>
      <w:r>
        <w:rPr>
          <w:b/>
        </w:rPr>
        <w:t xml:space="preserve">Inoltre</w:t>
      </w:r>
      <w:r>
        <w:rPr>
          <w:b/>
        </w:rPr>
        <w:t xml:space="preserve">: al partner non si mostra più la spunta «usa nome alternativo» nel modulo prodotto — il nome che scrive È già il suo nome partner (regola dell'11/09).</w:t>
      </w:r>
      <w:r>
        <w:rPr>
          <w:b/>
        </w:rPr>
        <w:t xml:space="preserve">11/09/2026 (126) — </w:t>
      </w:r>
      <w:r>
        <w:rPr>
          <w:b/>
        </w:rPr>
        <w:t xml:space="preserve">Elenco partner: le aree di consegna al posto delle province</w:t>
      </w:r>
      <w:r>
        <w:rPr>
          <w:b/>
        </w:rPr>
        <w:t xml:space="preserve"> (regola utente, come già per i valet il 10/09). La colonna mostra le aree del partner (fino a 6, poi «+N» col tooltip); le province restano solo per chi non ha ancora un'area. La ricerca trova anche il nome dell'area.</w:t>
      </w:r>
      <w:r>
        <w:rPr>
          <w:b/>
        </w:rPr>
        <w:t xml:space="preserve">11/09/2026 (125) — </w:t>
      </w:r>
      <w:r>
        <w:rPr>
          <w:b/>
        </w:rPr>
        <w:t xml:space="preserve">Il modulo prodotto del partner, ridotto a ciò che è suo</w:t>
      </w:r>
      <w:r>
        <w:rPr>
          <w:b/>
        </w:rPr>
        <w:t xml:space="preserve"> (otto regole utente dell'11/09). Per il ruolo PARTNER, in creazione e modifica: (1) </w:t>
      </w:r>
      <w:r>
        <w:rPr>
          <w:b/>
        </w:rPr>
        <w:t xml:space="preserve">Tipologia di vendita</w:t>
      </w:r>
      <w:r>
        <w:rPr>
          <w:b/>
        </w:rPr>
        <w:t xml:space="preserve"> nascosta — il suo prodotto è UNICO con tipologia «unico» (il modulo lo imposta, il server lo impone); (2) </w:t>
      </w:r>
      <w:r>
        <w:rPr>
          <w:b/>
        </w:rPr>
        <w:t xml:space="preserve">Categorie</w:t>
      </w:r>
      <w:r>
        <w:rPr>
          <w:b/>
        </w:rPr>
        <w:t xml:space="preserve">: solo quelle abilitate al partner nella sua scheda (se non ne ha, tutte); (3) </w:t>
      </w:r>
      <w:r>
        <w:rPr>
          <w:b/>
        </w:rPr>
        <w:t xml:space="preserve">Partner</w:t>
      </w:r>
      <w:r>
        <w:rPr>
          <w:b/>
        </w:rPr>
        <w:t xml:space="preserve"> nascosto: è lui che crea, lo mette il server; (4) </w:t>
      </w:r>
      <w:r>
        <w:rPr>
          <w:b/>
        </w:rPr>
        <w:t xml:space="preserve">scheda Shopify</w:t>
      </w:r>
      <w:r>
        <w:rPr>
          <w:b/>
        </w:rPr>
        <w:t xml:space="preserve"> nascosta (approvato, attivo, non fisico, prodotto app, piattaforme, descrizioni per piattaforma); (5) </w:t>
      </w:r>
      <w:r>
        <w:rPr>
          <w:b/>
        </w:rPr>
        <w:t xml:space="preserve">Partner aggiuntivi</w:t>
      </w:r>
      <w:r>
        <w:rPr>
          <w:b/>
        </w:rPr>
        <w:t xml:space="preserve"> e (6) </w:t>
      </w:r>
      <w:r>
        <w:rPr>
          <w:b/>
        </w:rPr>
        <w:t xml:space="preserve">Superprodotto</w:t>
      </w:r>
      <w:r>
        <w:rPr>
          <w:b/>
        </w:rPr>
        <w:t xml:space="preserve"> nascosti; (7) </w:t>
      </w:r>
      <w:r>
        <w:rPr>
          <w:b/>
        </w:rPr>
        <w:t xml:space="preserve">Campi personalizzati</w:t>
      </w:r>
      <w:r>
        <w:rPr>
          <w:b/>
        </w:rPr>
        <w:t xml:space="preserve"> nascosti; (8) </w:t>
      </w:r>
      <w:r>
        <w:rPr>
          <w:b/>
        </w:rPr>
        <w:t xml:space="preserve">prezzo pubblico</w:t>
      </w:r>
      <w:r>
        <w:rPr>
          <w:b/>
        </w:rPr>
        <w:t xml:space="preserve"> nascosto, sul prodotto e sulle varianti: «lo decidiamo noi» — resta il suo prezzo. In modifica il server scarta dal partner tipo, tipologia, partner, prezzo pubblico, superprodotto, visibilità agli altri partner, approvato/attivo/prodotto app. </w:t>
      </w:r>
      <w:r>
        <w:rPr>
          <w:b/>
        </w:rPr>
        <w:t xml:space="preserve">Immagini e video dai propri file</w:t>
      </w:r>
      <w:r>
        <w:rPr>
          <w:b/>
        </w:rPr>
        <w:t xml:space="preserve"> (per tutti, ufficio compreso): scheda «Immagini» a parte con «Carica dai tuoi file» (più file, immagini e video, 25 MB) e lo stesso bottone su ogni variante; il file va su Drive «File App» (</w:t>
      </w:r>
      <w:r>
        <w:rPr>
          <w:b/>
        </w:rPr>
        <w:t xml:space="preserve">POST /products/upload</w:t>
      </w:r>
      <w:r>
        <w:rPr>
          <w:b/>
        </w:rPr>
        <w:t xml:space="preserve">, come le ricevute) e qui resta il link; anteprime nel modulo e galleria con immagini e video nel dettaglio prodotto. Senza Drive collegato il caricamento dice che non si può.</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2026-09-11T09:15:15.544Z</dcterms:created>
  <dcterms:modified xsi:type="dcterms:W3CDTF">2026-09-11T09:15:15.544Z</dcterms:modified>
</cp:coreProperties>
</file>