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11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11/09/2026 (130) — </w:t>
      </w:r>
      <w:r>
        <w:rPr>
          <w:b/>
        </w:rPr>
        <w:t xml:space="preserve">Anticipo o extra si chiedono anche da Stipendi</w:t>
      </w:r>
      <w:r>
        <w:rPr>
          <w:b/>
        </w:rPr>
        <w:t xml:space="preserve"> (regola utente). Nel pannello «Da pagare», sulla riga di ogni valet, accanto a «Dettaglio» e «Recap» c'è «Richiesta pagamento»: apre la stessa finestra della scheda valet — tipo («Anticipo, si scala dal prossimo stipendio» oppure «Extra concordato»), importo, causale — e manda la richiesta a Deluxy Transactions, dove una persona autorizza il bonifico. Prima di chiedere si legge l'IBAN del valet: senza IBAN il bottone d'invio resta spento, perché quei soldi devono arrivare da qualche parte. Stessa rotta e stesse regole di sempre (importo fino a 5.000 €, causale obbligatoria, solo ufficio): cambia solo il punto da cui si parte, che è la pagina dove si pagano gli stipendi.</w:t>
      </w:r>
      <w:r>
        <w:rPr>
          <w:b/>
        </w:rPr>
        <w:t xml:space="preserve">11/09/2026 (129) — </w:t>
      </w:r>
      <w:r>
        <w:rPr>
          <w:b/>
        </w:rPr>
        <w:t xml:space="preserve">La lista Consegne non cade più sotto carico</w:t>
      </w:r>
      <w:r>
        <w:rPr>
          <w:b/>
        </w:rPr>
        <w:t xml:space="preserve"> (segnalazione utente: «Internal server error» sulla pagina Consegne). Nei log della funzione: «Timed out fetching a new connection from the connection pool (timeout 10, connection limit 3)». Il calcolo del margine introdotto il 10/09 faceva QUATTRO letture in parallelo a ogni pagina di Consegne: con un pool da tre connessioni se le prendeva tutte, e il resto della richiesta aspettava fino al timeout. Ora le stesse letture vanno in fila: una connessione per volta, qualche decina di millisecondi in più, nessun errore. Nella stessa mezz'ora è comparso anche un errore diverso — «max client connections reached, limit: 200» del pooler Supabase condiviso fra le app — rientrato da solo. </w:t>
      </w:r>
      <w:r>
        <w:rPr>
          <w:b/>
        </w:rPr>
        <w:t xml:space="preserve">Scheda valet</w:t>
      </w:r>
      <w:r>
        <w:rPr>
          <w:b/>
        </w:rPr>
        <w:t xml:space="preserve">: la tabella delle tariffe scorre dentro la scheda invece di allargarla, gli importi sono allineati a destra, e sul telefono etichette e valori si impilano.</w:t>
      </w:r>
      <w:r>
        <w:rPr>
          <w:b/>
        </w:rPr>
        <w:t xml:space="preserve">11/09/2026 (128) — </w:t>
      </w:r>
      <w:r>
        <w:rPr>
          <w:b/>
        </w:rPr>
        <w:t xml:space="preserve">Quattro richieste dell'ufficio su Stipendi, Fatturazione e consegne correlate.</w:t>
      </w:r>
      <w:r>
        <w:rPr>
          <w:b/>
        </w:rPr>
        <w:t xml:space="preserve"> (1) </w:t>
      </w:r>
      <w:r>
        <w:rPr>
          <w:b/>
        </w:rPr>
        <w:t xml:space="preserve">Stipendi, dettaglio della consegna</w:t>
      </w:r>
      <w:r>
        <w:rPr>
          <w:b/>
        </w:rPr>
        <w:t xml:space="preserve">: nel pannello «Da pagare» e nel dettaglio di uno stipendio dello storico si leggono ora </w:t>
      </w:r>
      <w:r>
        <w:rPr>
          <w:b/>
        </w:rPr>
        <w:t xml:space="preserve">partner</w:t>
      </w:r>
      <w:r>
        <w:rPr>
          <w:b/>
        </w:rPr>
        <w:t xml:space="preserve">, </w:t>
      </w:r>
      <w:r>
        <w:rPr>
          <w:b/>
        </w:rPr>
        <w:t xml:space="preserve">orario di consegna</w:t>
      </w:r>
      <w:r>
        <w:rPr>
          <w:b/>
        </w:rPr>
        <w:t xml:space="preserve">, </w:t>
      </w:r>
      <w:r>
        <w:rPr>
          <w:b/>
        </w:rPr>
        <w:t xml:space="preserve">da pagare sì/no</w:t>
      </w:r>
      <w:r>
        <w:rPr>
          <w:b/>
        </w:rPr>
        <w:t xml:space="preserve"> (pillola verde o ambra) e, sotto i plus/minus, quanto di quella cifra arriva </w:t>
      </w:r>
      <w:r>
        <w:rPr>
          <w:b/>
        </w:rPr>
        <w:t xml:space="preserve">da una regola</w:t>
      </w:r>
      <w:r>
        <w:rPr>
          <w:b/>
        </w:rPr>
        <w:t xml:space="preserve">. (2) </w:t>
      </w:r>
      <w:r>
        <w:rPr>
          <w:b/>
        </w:rPr>
        <w:t xml:space="preserve">Fatturazione, filtro per macro servizio</w:t>
      </w:r>
      <w:r>
        <w:rPr>
          <w:b/>
        </w:rPr>
        <w:t xml:space="preserve">: le linguette «Tipologie di servizio» non elencano più i 40 servizi puntuali ma le cinque famiglie (prezzo fisso, a ora, vendita, magazzino, corporate); sceglierne una filtra tutti i servizi che le appartengono. (3) </w:t>
      </w:r>
      <w:r>
        <w:rPr>
          <w:b/>
        </w:rPr>
        <w:t xml:space="preserve">Fatturazione, il venduto nella riga della fattura</w:t>
      </w:r>
      <w:r>
        <w:rPr>
          <w:b/>
        </w:rPr>
        <w:t xml:space="preserve">: accanto a numero di consegne e imponibile c'è la colonna «Venduto» (solo le righe di vendita ne hanno uno), senza aprire il dettaglio. (4) </w:t>
      </w:r>
      <w:r>
        <w:rPr>
          <w:b/>
        </w:rPr>
        <w:t xml:space="preserve">Consegne con lo stesso DDT</w:t>
      </w:r>
      <w:r>
        <w:rPr>
          <w:b/>
        </w:rPr>
        <w:t xml:space="preserve">: la cella del prodotto ora c'è sempre — quando una consegna non aveva prodotti le colonne slittavano e le righe non erano più incolonnate; le celle lunghe si accorciano invece di sfondare la riga, e i riquadri dei legami (riconsegna, corporate) hanno lo stesso respiro delle altre schede.</w:t>
      </w:r>
      <w:r>
        <w:rPr>
          <w:b/>
        </w:rPr>
        <w:t xml:space="preserve">11/09/2026 (127) — </w:t>
      </w:r>
      <w:r>
        <w:rPr>
          <w:b/>
        </w:rPr>
        <w:t xml:space="preserve">La cartella di Drive si può incollare come link</w:t>
      </w:r>
      <w:r>
        <w:rPr>
          <w:b/>
        </w:rPr>
        <w:t xml:space="preserve"> (segnalazione utente: caricando l'immagine di un prodotto, «Drive rifiuta il caricamento: File not found: </w:t>
      </w:r>
      <w:r>
        <w:rPr>
          <w:b/>
        </w:rPr>
        <w:t xml:space="preserve">https://drive.google.com/drive/folders/1gZ5…»</w:t>
      </w:r>
      <w:r>
        <w:rPr>
          <w:b/>
        </w:rPr>
        <w:t xml:space="preserve">). In Impostazioni → File App il campo vuole l'</w:t>
      </w:r>
      <w:r>
        <w:rPr>
          <w:b/>
        </w:rPr>
        <w:t xml:space="preserve">id</w:t>
      </w:r>
      <w:r>
        <w:rPr>
          <w:b/>
        </w:rPr>
        <w:t xml:space="preserve"> della cartella, ma dal tasto «Condividi» di Drive si copia il </w:t>
      </w:r>
      <w:r>
        <w:rPr>
          <w:b/>
        </w:rPr>
        <w:t xml:space="preserve">link</w:t>
      </w:r>
      <w:r>
        <w:rPr>
          <w:b/>
        </w:rPr>
        <w:t xml:space="preserve">: chi lo incolla riceveva un errore a ogni caricamento. Ora l'id si ricava dal link (dal pezzo «/folders/…» o «?id=…»), e un id scritto a mano continua a valere. Vale per tutti i caricamenti su Drive: immagini e video dei prodotti, ricevute firmate, firme in app. </w:t>
      </w:r>
      <w:r>
        <w:rPr>
          <w:b/>
        </w:rPr>
        <w:t xml:space="preserve">Inoltre</w:t>
      </w:r>
      <w:r>
        <w:rPr>
          <w:b/>
        </w:rPr>
        <w:t xml:space="preserve">: al partner non si mostra più la spunta «usa nome alternativo» nel modulo prodotto — il nome che scrive È già il suo nome partner (regola dell'11/09).</w:t>
      </w:r>
      <w:r>
        <w:rPr>
          <w:b/>
        </w:rPr>
        <w:t xml:space="preserve">11/09/2026 (126) — </w:t>
      </w:r>
      <w:r>
        <w:rPr>
          <w:b/>
        </w:rPr>
        <w:t xml:space="preserve">Elenco partner: le aree di consegna al posto delle province</w:t>
      </w:r>
      <w:r>
        <w:rPr>
          <w:b/>
        </w:rPr>
        <w:t xml:space="preserve"> (regola utente, come già per i valet il 10/09). La colonna mostra le aree del partner (fino a 6, poi «+N» col tooltip); le province restano solo per chi non ha ancora un'area. La ricerca trova anche il nome dell'area.</w:t>
      </w:r>
      <w:r>
        <w:rPr>
          <w:b/>
        </w:rPr>
        <w:t xml:space="preserve">11/09/2026 (125) — </w:t>
      </w:r>
      <w:r>
        <w:rPr>
          <w:b/>
        </w:rPr>
        <w:t xml:space="preserve">Il modulo prodotto del partner, ridotto a ciò che è suo</w:t>
      </w:r>
      <w:r>
        <w:rPr>
          <w:b/>
        </w:rPr>
        <w:t xml:space="preserve"> (otto regole utente dell'11/09). Per il ruolo PARTNER, in creazione e modifica: (1) </w:t>
      </w:r>
      <w:r>
        <w:rPr>
          <w:b/>
        </w:rPr>
        <w:t xml:space="preserve">Tipologia di vendita</w:t>
      </w:r>
      <w:r>
        <w:rPr>
          <w:b/>
        </w:rPr>
        <w:t xml:space="preserve"> nascosta — il suo prodotto è UNICO con tipologia «unico» (il modulo lo imposta, il server lo impone); (2) </w:t>
      </w:r>
      <w:r>
        <w:rPr>
          <w:b/>
        </w:rPr>
        <w:t xml:space="preserve">Categorie</w:t>
      </w:r>
      <w:r>
        <w:rPr>
          <w:b/>
        </w:rPr>
        <w:t xml:space="preserve">: solo quelle abilitate al partner nella sua scheda (se non ne ha, tutte); (3) </w:t>
      </w:r>
      <w:r>
        <w:rPr>
          <w:b/>
        </w:rPr>
        <w:t xml:space="preserve">Partner</w:t>
      </w:r>
      <w:r>
        <w:rPr>
          <w:b/>
        </w:rPr>
        <w:t xml:space="preserve"> nascosto: è lui che crea, lo mette il server; (4) </w:t>
      </w:r>
      <w:r>
        <w:rPr>
          <w:b/>
        </w:rPr>
        <w:t xml:space="preserve">scheda Shopify</w:t>
      </w:r>
      <w:r>
        <w:rPr>
          <w:b/>
        </w:rPr>
        <w:t xml:space="preserve"> nascosta (approvato, attivo, non fisico, prodotto app, piattaforme, descrizioni per piattaforma); (5) </w:t>
      </w:r>
      <w:r>
        <w:rPr>
          <w:b/>
        </w:rPr>
        <w:t xml:space="preserve">Partner aggiuntivi</w:t>
      </w:r>
      <w:r>
        <w:rPr>
          <w:b/>
        </w:rPr>
        <w:t xml:space="preserve"> e (6) </w:t>
      </w:r>
      <w:r>
        <w:rPr>
          <w:b/>
        </w:rPr>
        <w:t xml:space="preserve">Superprodotto</w:t>
      </w:r>
      <w:r>
        <w:rPr>
          <w:b/>
        </w:rPr>
        <w:t xml:space="preserve"> nascosti; (7) </w:t>
      </w:r>
      <w:r>
        <w:rPr>
          <w:b/>
        </w:rPr>
        <w:t xml:space="preserve">Campi personalizzati</w:t>
      </w:r>
      <w:r>
        <w:rPr>
          <w:b/>
        </w:rPr>
        <w:t xml:space="preserve"> nascosti; (8) </w:t>
      </w:r>
      <w:r>
        <w:rPr>
          <w:b/>
        </w:rPr>
        <w:t xml:space="preserve">prezzo pubblico</w:t>
      </w:r>
      <w:r>
        <w:rPr>
          <w:b/>
        </w:rPr>
        <w:t xml:space="preserve"> nascosto, sul prodotto e sulle varianti: «lo decidiamo noi» — resta il suo prezzo. In modifica il server scarta dal partner tipo, tipologia, partner, prezzo pubblico, superprodotto, visibilità agli altri partner, approvato/attivo/prodotto app. </w:t>
      </w:r>
      <w:r>
        <w:rPr>
          <w:b/>
        </w:rPr>
        <w:t xml:space="preserve">Immagini e video dai propri file</w:t>
      </w:r>
      <w:r>
        <w:rPr>
          <w:b/>
        </w:rPr>
        <w:t xml:space="preserve"> (per tutti, ufficio compreso): scheda «Immagini» a parte con «Carica dai tuoi file» (più file, immagini e video, 25 MB) e lo stesso bottone su ogni variante; il file va su Drive «File App» (</w:t>
      </w:r>
      <w:r>
        <w:rPr>
          <w:b/>
        </w:rPr>
        <w:t xml:space="preserve">POST /products/upload</w:t>
      </w:r>
      <w:r>
        <w:rPr>
          <w:b/>
        </w:rPr>
        <w:t xml:space="preserve">, come le ricevute) e qui resta il link; anteprime nel modulo e galleria con immagini e video nel dettaglio prodotto. Senza Drive collegato il caricamento dice che non si può.</w:t>
      </w:r>
      <w:r>
        <w:rPr>
          <w:b/>
        </w:rPr>
        <w:t xml:space="preserve">11/09/2026 (124) — </w:t>
      </w:r>
      <w:r>
        <w:rPr>
          <w:b/>
        </w:rPr>
        <w:t xml:space="preserve">Il nome partner del prodotto anche nella consegna</w:t>
      </w:r>
      <w:r>
        <w:rPr>
          <w:b/>
        </w:rPr>
        <w:t xml:space="preserve"> (segnalazione utente: «come mai Clivati non vede il nome aggiornato su questa?»). Due cause. (1) I nomi partner non erano MAI arrivati in piattaforma: 0 prodotti su 16.528 avevano il «nome per il partner», perché «allinea note» in Impostazioni non era stato lanciato. Lanciato l'11/09 con </w:t>
      </w:r>
      <w:r>
        <w:rPr>
          <w:b/>
        </w:rPr>
        <w:t xml:space="preserve">api/scripts/nomi-partner-da-merchandising.mjs</w:t>
      </w:r>
      <w:r>
        <w:rPr>
          <w:b/>
        </w:rPr>
        <w:t xml:space="preserve"> (stessa regola del bottone, solo i nomi): 3.005 prodotti scritti, di cui 198 con un nome partner diverso dal commerciale (es. «Sacher» → «Sacher Stefanelli», «Torta Porpora» → «Mousse Cioccolato e Lampone»). (2) Il dettaglio consegna mostrava al partner il nome commerciale: la sostituzione col nome partner valeva solo per catalogo e proposta (10/09). Ora vale anche nella consegna (</w:t>
      </w:r>
      <w:r>
        <w:rPr>
          <w:b/>
        </w:rPr>
        <w:t xml:space="preserve">soloIMieiSoldi</w:t>
      </w:r>
      <w:r>
        <w:rPr>
          <w:b/>
        </w:rPr>
        <w:t xml:space="preserve">, ruolo partner): il partner legge il suo nome, il commerciale non gli arriva. Ricordare: il nome partner si scrive in Merchandising («nome partner» del prodotto); in piattaforma arriva solo con «allinea note» in Impostazioni (o con lo script): il cron delle tipologie non porta i nomi.</w:t>
      </w:r>
      <w:r>
        <w:rPr>
          <w:b/>
        </w:rPr>
        <w:t xml:space="preserve">11/09/2026 (123) — </w:t>
      </w:r>
      <w:r>
        <w:rPr>
          <w:b/>
        </w:rPr>
        <w:t xml:space="preserve">«Disattiva» anche nella tabella Partner</w:t>
      </w:r>
      <w:r>
        <w:rPr>
          <w:b/>
        </w:rPr>
        <w:t xml:space="preserve"> (regola utente). Nella colonna Azioni, fra «Modifica» ed «Elimina», il bottone «Disattiva» (con conferma: «non riceverà più proposte e sparisce dalle liste di lavoro; si può riattivare») che su un partner disattivato diventa «Riattiva». Stesse rotte della scheda (</w:t>
      </w:r>
      <w:r>
        <w:rPr>
          <w:b/>
        </w:rPr>
        <w:t xml:space="preserve">PATCH /partners/:id/disattiva</w:t>
      </w:r>
      <w:r>
        <w:rPr>
          <w:b/>
        </w:rPr>
        <w:t xml:space="preserve"> e </w:t>
      </w:r>
      <w:r>
        <w:rPr>
          <w:b/>
        </w:rPr>
        <w:t xml:space="preserve">/attiva</w:t>
      </w:r>
      <w:r>
        <w:rPr>
          <w:b/>
        </w:rPr>
        <w:t xml:space="preserve">); la riga si aggiorna senza ricaricare.</w:t>
      </w:r>
      <w:r>
        <w:rPr>
          <w:b/>
        </w:rPr>
        <w:t xml:space="preserve">11/09/2026 (122) — </w:t>
      </w:r>
      <w:r>
        <w:rPr>
          <w:b/>
        </w:rPr>
        <w:t xml:space="preserve">Sezione «Capogruppi»</w:t>
      </w:r>
      <w:r>
        <w:rPr>
          <w:b/>
        </w:rPr>
        <w:t xml:space="preserve"> (regola utente: «in partner metti una sezione Capogruppo dove si possono visualizzare e modificare»). Nuova voce di menu accanto a Partner (anche bottone «Capogruppi» nell'elenco partner e link dal modulo): tabella dei capogruppi con ragione sociale, P.IVA, SDI, PEC, le sedi (chip col nome; «↑» = fattura il capogruppo, link alla scheda) e il collegamento al registro; «Modifica» apre la riga con ragione sociale, P.IVA, codice fiscale, SDI, PEC, email fatture, note; «+ Nuovo capogruppo». Rotte già esistenti </w:t>
      </w:r>
      <w:r>
        <w:rPr>
          <w:b/>
        </w:rPr>
        <w:t xml:space="preserve">GET/POST/PATCH /capogruppi</w:t>
      </w:r>
      <w:r>
        <w:rPr>
          <w:b/>
        </w:rPr>
        <w:t xml:space="preserve">. Salvando, i dati si riscrivono su tutte le sedi che fatturano sotto quel capogruppo (vedi 121).</w:t>
      </w:r>
      <w:r>
        <w:rPr>
          <w:b/>
        </w:rPr>
        <w:t xml:space="preserve">11/09/2026 (121) — </w:t>
      </w:r>
      <w:r>
        <w:rPr>
          <w:b/>
        </w:rPr>
        <w:t xml:space="preserve">Se fattura il capogruppo, i dati di fatturazione sono i suoi e non si modificano</w:t>
      </w:r>
      <w:r>
        <w:rPr>
          <w:b/>
        </w:rPr>
        <w:t xml:space="preserve"> (regole utente: «la partita IVA del partner diventa la stessa del capogruppo e non è modificabile», «se i dati sono già inseriti i dati di fatturazione non sono modificabili»). Con un capogruppo scelto e «paga da sé» spento: ragione sociale, P.IVA, codice fiscale, SDI, PEC ed email fatture del partner sono quelli del capogruppo — nel modulo i campi mostrano i valori del capogruppo e sono chiusi (solo quelli che il capogruppo ha compilati; gli altri restano del partner), con l'avviso «Fattura il capogruppo: … non si modificano qui» e il link a Capogruppi. Il server la impone comunque: creazione, modifica (anche una che non tocca il capogruppo: si guarda com'è il partner dopo), «Sotto un'altra entità di fatturazione», rispecchio dal registro. Cambiando i dati del capogruppo (pagina Capogruppi o </w:t>
      </w:r>
      <w:r>
        <w:rPr>
          <w:b/>
        </w:rPr>
        <w:t xml:space="preserve">PATCH /capogruppi/:id</w:t>
      </w:r>
      <w:r>
        <w:rPr>
          <w:b/>
        </w:rPr>
        <w:t xml:space="preserve">) cambiano su tutte le sedi che fatturano sotto di lui. Rimettendo «paga da sé», i campi tornano modificabili. L'IBAN resta del partner (in piattaforma il capogruppo non lo porta; Finance lo legge dal registro).</w:t>
      </w:r>
      <w:r>
        <w:rPr>
          <w:b/>
        </w:rPr>
        <w:t xml:space="preserve">11/09/2026 (120) — </w:t>
      </w:r>
      <w:r>
        <w:rPr>
          <w:b/>
        </w:rPr>
        <w:t xml:space="preserve">Il giro del prodotto creato dal partner</w:t>
      </w:r>
      <w:r>
        <w:rPr>
          <w:b/>
        </w:rPr>
        <w:t xml:space="preserve"> (regola utente: «quando un partner crea il proprio prodotto il nome che mette è il nome partner; il prodotto finisce in Merchandising con nome uguale a quello del partner e sarà da approvare; se viene approvato finisce su Shopify»). (1) </w:t>
      </w:r>
      <w:r>
        <w:rPr>
          <w:b/>
        </w:rPr>
        <w:t xml:space="preserve">Piattaforma</w:t>
      </w:r>
      <w:r>
        <w:rPr>
          <w:b/>
        </w:rPr>
        <w:t xml:space="preserve">: il nome scritto dal partner diventa anche il suo «nome partner» (</w:t>
      </w:r>
      <w:r>
        <w:rPr>
          <w:b/>
        </w:rPr>
        <w:t xml:space="preserve">alternateName</w:t>
      </w:r>
      <w:r>
        <w:rPr>
          <w:b/>
        </w:rPr>
        <w:t xml:space="preserve">, acceso): resta suo anche quando il prodotto prenderà il nome commerciale; sotto il campo Nome il partner legge cosa succede. (2) </w:t>
      </w:r>
      <w:r>
        <w:rPr>
          <w:b/>
        </w:rPr>
        <w:t xml:space="preserve">Verso Merchandising</w:t>
      </w:r>
      <w:r>
        <w:rPr>
          <w:b/>
        </w:rPr>
        <w:t xml:space="preserve">: il prodotto nato dal partner parte con </w:t>
      </w:r>
      <w:r>
        <w:rPr>
          <w:b/>
        </w:rPr>
        <w:t xml:space="preserve">origine: partner</w:t>
      </w:r>
      <w:r>
        <w:rPr>
          <w:b/>
        </w:rPr>
        <w:t xml:space="preserve">, </w:t>
      </w:r>
      <w:r>
        <w:rPr>
          <w:b/>
        </w:rPr>
        <w:t xml:space="preserve">nomePartner</w:t>
      </w:r>
      <w:r>
        <w:rPr>
          <w:b/>
        </w:rPr>
        <w:t xml:space="preserve"> = il suo nome, fase </w:t>
      </w:r>
      <w:r>
        <w:rPr>
          <w:b/>
        </w:rPr>
        <w:t xml:space="preserve">«prototipo»</w:t>
      </w:r>
      <w:r>
        <w:rPr>
          <w:b/>
        </w:rPr>
        <w:t xml:space="preserve"> (da approvare) e una nota di sviluppo «Creato dal partner … dalla piattaforma il …: DA APPROVARE». Quelli creati dall'ufficio partono come prima. L'API di Merchandising accetta </w:t>
      </w:r>
      <w:r>
        <w:rPr>
          <w:b/>
        </w:rPr>
        <w:t xml:space="preserve">nomePartner</w:t>
      </w:r>
      <w:r>
        <w:rPr>
          <w:b/>
        </w:rPr>
        <w:t xml:space="preserve">, </w:t>
      </w:r>
      <w:r>
        <w:rPr>
          <w:b/>
        </w:rPr>
        <w:t xml:space="preserve">nomePartnerAttivo</w:t>
      </w:r>
      <w:r>
        <w:rPr>
          <w:b/>
        </w:rPr>
        <w:t xml:space="preserve">, </w:t>
      </w:r>
      <w:r>
        <w:rPr>
          <w:b/>
        </w:rPr>
        <w:t xml:space="preserve">noteSviluppo</w:t>
      </w:r>
      <w:r>
        <w:rPr>
          <w:b/>
        </w:rPr>
        <w:t xml:space="preserve"> (il nome partner non si cancella se un aggiornamento non lo manda). (3) </w:t>
      </w:r>
      <w:r>
        <w:rPr>
          <w:b/>
        </w:rPr>
        <w:t xml:space="preserve">Approvazione in Merchandising → Shopify</w:t>
      </w:r>
      <w:r>
        <w:rPr>
          <w:b/>
        </w:rPr>
        <w:t xml:space="preserve">: «Approvato» crea la scheda sul negozio in bozza, «Pubblico» la pubblica (regola del 09/09). Dalla scheda prodotto il tasto rapido «Approvato»/«Pubblico» su un prodotto non ancora sul negozio porta al modulo Modifica con la fase già scelta: si controllano negozio, prezzi, foto e campi e si salva — è il salvataggio che lo manda su Shopify. Chi è già sul negozio cambia solo fase.</w:t>
      </w:r>
      <w:r>
        <w:rPr>
          <w:b/>
        </w:rPr>
        <w:t xml:space="preserve">11/09/2026 (119) — </w:t>
      </w:r>
      <w:r>
        <w:rPr>
          <w:b/>
        </w:rPr>
        <w:t xml:space="preserve">Margini della vendita sul totale pagato dal cliente</w:t>
      </w:r>
      <w:r>
        <w:rPr>
          <w:b/>
        </w:rPr>
        <w:t xml:space="preserve"> (segnalazione utente: «nei margini manca il vero totale pagato dal cliente», ordine 12913: prodotto 10 €, pagato 25 €). Il totale viene da </w:t>
      </w:r>
      <w:r>
        <w:rPr>
          <w:b/>
        </w:rPr>
        <w:t xml:space="preserve">Orders</w:t>
      </w:r>
      <w:r>
        <w:rPr>
          <w:b/>
        </w:rPr>
        <w:t xml:space="preserve">, la casa dell'ordine (Standard §7): nessuna copia, lettura dal vivo con cache di 2′ — la stessa che Vendite usava per la colonna «Orders», spostata in un client condiviso (</w:t>
      </w:r>
      <w:r>
        <w:rPr>
          <w:b/>
        </w:rPr>
        <w:t xml:space="preserve">orders/orders-client.module.ts</w:t>
      </w:r>
      <w:r>
        <w:rPr>
          <w:b/>
        </w:rPr>
        <w:t xml:space="preserve">) e ora usata anche dalle Consegne. Nel riquadro «I margini di questa vendita»: </w:t>
      </w:r>
      <w:r>
        <w:rPr>
          <w:b/>
        </w:rPr>
        <w:t xml:space="preserve">Prodotto di questa vendita</w:t>
      </w:r>
      <w:r>
        <w:rPr>
          <w:b/>
        </w:rPr>
        <w:t xml:space="preserve"> (la riga, es. 10 €), </w:t>
      </w:r>
      <w:r>
        <w:rPr>
          <w:b/>
        </w:rPr>
        <w:t xml:space="preserve">Totale pagato dal cliente (ordine)</w:t>
      </w:r>
      <w:r>
        <w:rPr>
          <w:b/>
        </w:rPr>
        <w:t xml:space="preserve"> con la composizione «prodotti + consegna e altro» (25 € = 10 + 15), e — quando l'ordine ha più vendite, cioè più consegne, o quando il totale non coincide col prodotto — </w:t>
      </w:r>
      <w:r>
        <w:rPr>
          <w:b/>
        </w:rPr>
        <w:t xml:space="preserve">Attribuito a questa consegna</w:t>
      </w:r>
      <w:r>
        <w:rPr>
          <w:b/>
        </w:rPr>
        <w:t xml:space="preserve">: il prodotto più la sua parte, in parti uguali, di consegna/extra/sconti. «Resta a Deluxy», la percentuale, la paga del valet e il margine dopo il valet si calcolano su quel numero. Se Orders non risponde, il conto usa il solo prodotto e la scheda lo dice. Stessa regola per le righe rosse in tabella (margine &lt; 5 %): una mappa di Orders per pagina e una groupBy delle vendite per ordine.</w:t>
      </w:r>
      <w:r>
        <w:rPr>
          <w:b/>
        </w:rPr>
        <w:t xml:space="preserve">10/09/2026 (118) — </w:t>
      </w:r>
      <w:r>
        <w:rPr>
          <w:b/>
        </w:rPr>
        <w:t xml:space="preserve">Il numero di record sopra ogni tabella, anche filtrando</w:t>
      </w:r>
      <w:r>
        <w:rPr>
          <w:b/>
        </w:rPr>
        <w:t xml:space="preserve"> (regola utente). Una riga uguale in tutte le liste, subito sopra la tabella: «N record», oppure «n di m record (filtrati)» quando ricerca o filtri ne nascondono una parte. Pagine: Consegne e Prodotti e Clienti (conteggio del server, già filtrato), Vendite, Partner (aveva già «x di y» nel sottotitolo), Valet, Attività, Fatturazione (da fatturare e fatture), Stipendi (da pagare e stipendi), Pagamenti, Ricevute, Utenti, Operatori, Servizi, Categorie, Province, Modelli SMS. Le vecchie scritte «n di m» che comparivano solo cercando sono state tolte: ora la riga c'è sempre. Stile globale </w:t>
      </w:r>
      <w:r>
        <w:rPr>
          <w:b/>
        </w:rPr>
        <w:t xml:space="preserve">.conto-record</w:t>
      </w:r>
      <w:r>
        <w:rPr>
          <w:b/>
        </w:rPr>
        <w:t xml:space="preserve">, chiavi </w:t>
      </w:r>
      <w:r>
        <w:rPr>
          <w:b/>
        </w:rPr>
        <w:t xml:space="preserve">comune.record</w:t>
      </w:r>
      <w:r>
        <w:rPr>
          <w:b/>
        </w:rPr>
        <w:t xml:space="preserve"> / </w:t>
      </w:r>
      <w:r>
        <w:rPr>
          <w:b/>
        </w:rPr>
        <w:t xml:space="preserve">comune.recordFiltrati</w:t>
      </w:r>
      <w:r>
        <w:rPr>
          <w:b/>
        </w:rPr>
        <w:t xml:space="preserve">. Il Listino fiori non è una lista di record e resta com'è.</w:t>
      </w:r>
      <w:r>
        <w:rPr>
          <w:b/>
        </w:rPr>
        <w:t xml:space="preserve">10/09/2026 (117) — </w:t>
      </w:r>
      <w:r>
        <w:rPr>
          <w:b/>
        </w:rPr>
        <w:t xml:space="preserve">Le consegne appena accettate si vedono subito</w:t>
      </w:r>
      <w:r>
        <w:rPr>
          <w:b/>
        </w:rPr>
        <w:t xml:space="preserve"> (regola utente: «mostra sempre subito consegne accettate», dopo il caso Clivati). Quando il partner accetta un ordine proposto in Consegne, la consegna che ne nasce compare SUBITO in un riquadro «Appena accettate» sopra la tabella (numero con link, data e orario, destinatario, indirizzo, stato), qualunque siano ordine e pagina della lista; resta lì finché la pagina non si chiude o si preme «Ho visto». In tabella la riga sta comunque al suo posto per data. Solo web (nessuna rotta nuova: il riquadro rilegge la consegna appena nata).</w:t>
      </w:r>
      <w:r>
        <w:rPr>
          <w:b/>
        </w:rPr>
        <w:t xml:space="preserve">10/09/2026 (116) — </w:t>
      </w:r>
      <w:r>
        <w:rPr>
          <w:b/>
        </w:rPr>
        <w:t xml:space="preserve">Cinque richieste dell'ufficio (sera).</w:t>
      </w:r>
      <w:r>
        <w:rPr>
          <w:b/>
        </w:rPr>
        <w:t xml:space="preserve"> (1) </w:t>
      </w:r>
      <w:r>
        <w:rPr>
          <w:b/>
        </w:rPr>
        <w:t xml:space="preserve">Dettaglio consegna, il partner accetta o rifiuta la vendita</w:t>
      </w:r>
      <w:r>
        <w:rPr>
          <w:b/>
        </w:rPr>
        <w:t xml:space="preserve"> («in dettagli consegna per il partner manca la possibilità di accettare»): nella fila delle azioni, alle stesse condizioni della tabella (vendita sua, non ancora accettata, in «da gestire» o «assegnata»), «Accetta» e «Rifiuta» (con motivo facoltativo); dopo, la pillola «Vendita accettata ✓». (2) </w:t>
      </w:r>
      <w:r>
        <w:rPr>
          <w:b/>
        </w:rPr>
        <w:t xml:space="preserve">Consegne da telefono: «Ordina per»</w:t>
      </w:r>
      <w:r>
        <w:rPr>
          <w:b/>
        </w:rPr>
        <w:t xml:space="preserve"> («da mobile serve come poter decidere ordinamento consegne»): nel pannello Filtri, solo sotto gli 800 px, una tendina con le stesse colonne delle intestazioni e il bottone del verso (crescente/decrescente). (3) </w:t>
      </w:r>
      <w:r>
        <w:rPr>
          <w:b/>
        </w:rPr>
        <w:t xml:space="preserve">Consegne, vendite con margine basso in rosso</w:t>
      </w:r>
      <w:r>
        <w:rPr>
          <w:b/>
        </w:rPr>
        <w:t xml:space="preserve"> («per ufficio le vendite con margine inferiore al 5% o negativo hanno testo in rosso», anche nello Storico): il server calcola per l'ufficio il margine di ogni riga di vendita con gli stessi numeri del dettaglio (prezzo del cliente − dovuto netto al partner − paga del valet, scritta o dal listino); sotto il 5 % del prezzo, o negativo, la riga è rossa e il passaggio del mouse dice margine e percentuale. Partner e valet non ricevono il campo. (4) </w:t>
      </w:r>
      <w:r>
        <w:rPr>
          <w:b/>
        </w:rPr>
        <w:t xml:space="preserve">Vendite: caricamento lento</w:t>
      </w:r>
      <w:r>
        <w:rPr>
          <w:b/>
        </w:rPr>
        <w:t xml:space="preserve"> — misurato: la lettura dal database è 637 righe in ~450 ms; ad aspettare erano le chiamate a Orders (fino a 25 pagine) e al Customer Service (fino a 60 numeri) fatte prima di rispondere. Ora </w:t>
      </w:r>
      <w:r>
        <w:rPr>
          <w:b/>
        </w:rPr>
        <w:t xml:space="preserve">GET /sales</w:t>
      </w:r>
      <w:r>
        <w:rPr>
          <w:b/>
        </w:rPr>
        <w:t xml:space="preserve"> risponde subito e gli stati esterni arrivano con </w:t>
      </w:r>
      <w:r>
        <w:rPr>
          <w:b/>
        </w:rPr>
        <w:t xml:space="preserve">GET /sales/stati-esterni</w:t>
      </w:r>
      <w:r>
        <w:rPr>
          <w:b/>
        </w:rPr>
        <w:t xml:space="preserve">, che la pagina chiama dopo e fonde in tabella (stessa cache di 2′). (5) </w:t>
      </w:r>
      <w:r>
        <w:rPr>
          <w:b/>
        </w:rPr>
        <w:t xml:space="preserve">Vendite: i filtri</w:t>
      </w:r>
      <w:r>
        <w:rPr>
          <w:b/>
        </w:rPr>
        <w:t xml:space="preserve"> («mettere dei filtri in vendite, valuta quelli utili»): provincia, partner, negozio (brand), tipologia del prodotto (unico / preventivo / mix…), data di consegna dal/al; le tendine offrono solo i valori presenti in lista; «Azzera» li toglie; il conteggio «n su m» e lo stato vuoto tengono conto dei filtri. </w:t>
      </w:r>
      <w:r>
        <w:rPr>
          <w:b/>
        </w:rPr>
        <w:t xml:space="preserve">Nota su Clivati</w:t>
      </w:r>
      <w:r>
        <w:rPr>
          <w:b/>
        </w:rPr>
        <w:t xml:space="preserve"> («ieri sera diceva di aver accettato due vendite e poi di non vederle più»): le due accettazioni ci sono (12921 → #101246 alle 17:18, 12917 → #101248 alle 18:31, entrambe «da gestire» per il 12/09 e il 15/09); ieri sera la sua lista «Attive» era ordinata per data crescente con 616 consegne vecchie (2021 → settembre 2026) davanti, chiuse solo stamattina dagli script: le due nuove erano pagine più in là. Oggi le sue attive sono 3 e le vede subito.</w:t>
      </w:r>
      <w:r>
        <w:rPr>
          <w:b/>
        </w:rPr>
        <w:t xml:space="preserve">10/09/2026 (115) — </w:t>
      </w:r>
      <w:r>
        <w:rPr>
          <w:b/>
        </w:rPr>
        <w:t xml:space="preserve">I margini della vendita nel dettaglio consegna, per l'ufficio</w:t>
      </w:r>
      <w:r>
        <w:rPr>
          <w:b/>
        </w:rPr>
        <w:t xml:space="preserve"> (regola utente su #101251: «mostra a ufficio anche i margini dal dettaglio consegna con i margini della vendita»). Sotto il riquadro «Il conto di questa vendita: quello che guadagna il partner» compare, SOLO per l'ufficio, «I margini di questa vendita: quello che resta a Deluxy»: prezzo pagato dal cliente (il totale della vendita, con il numero d'ordine), valore al partner (con lo sconto %), margine sul prodotto (prezzo − valore), commissione Deluxy sul valore (+ IVA), dovuto netto al partner, </w:t>
      </w:r>
      <w:r>
        <w:rPr>
          <w:b/>
        </w:rPr>
        <w:t xml:space="preserve">resta a Deluxy</w:t>
      </w:r>
      <w:r>
        <w:rPr>
          <w:b/>
        </w:rPr>
        <w:t xml:space="preserve"> (prezzo − dovuto netto, con la % sul prezzo), paga del valet per la consegna (la stessa di Stipendi: congelata o dal listino), </w:t>
      </w:r>
      <w:r>
        <w:rPr>
          <w:b/>
        </w:rPr>
        <w:t xml:space="preserve">margine dopo il valet</w:t>
      </w:r>
      <w:r>
        <w:rPr>
          <w:b/>
        </w:rPr>
        <w:t xml:space="preserve"> (in rosso se negativo). Numeri di cassa, non conto economico (lo dice la nota): niente IVA sulla vendita né costi generali. Il server lo calcola in </w:t>
      </w:r>
      <w:r>
        <w:rPr>
          <w:b/>
        </w:rPr>
        <w:t xml:space="preserve">margineVendita</w:t>
      </w:r>
      <w:r>
        <w:rPr>
          <w:b/>
        </w:rPr>
        <w:t xml:space="preserve"> con i numeri che già esistono (nessuna regola economica nuova, Standard §7) e lo toglie a partner e valet. </w:t>
      </w:r>
      <w:r>
        <w:rPr>
          <w:b/>
        </w:rPr>
        <w:t xml:space="preserve">Correzione</w:t>
      </w:r>
      <w:r>
        <w:rPr>
          <w:b/>
        </w:rPr>
        <w:t xml:space="preserve">: le etichette «Chi paga (capogruppo)» del modulo partner uscivano come chiavi grezze (</w:t>
      </w:r>
      <w:r>
        <w:rPr>
          <w:b/>
        </w:rPr>
        <w:t xml:space="preserve">partnerForm.payments.capogruppo</w:t>
      </w:r>
      <w:r>
        <w:rPr>
          <w:b/>
        </w:rPr>
        <w:t xml:space="preserve">): erano finite nel blocco sbagliato dell'it/en.json; spostate al posto giusto.</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 lo script </w:t>
      </w:r>
      <w:r>
        <w:rPr>
          <w:b/>
        </w:rPr>
        <w:t xml:space="preserve">api/scripts/tipologie-da-merchandising.mjs --applica</w:t>
      </w:r>
      <w:r>
        <w:rPr>
          <w:b/>
        </w:rPr>
        <w:t xml:space="preserve"> lo fa subito (anteprima del 10/09: 110 prodotti da cambiare, fra cui «Cesto Fiori Taormina» preventivo → mix — NON ancora scritti: la scrittura dalla sessione è stata bloccata; li scrive il primo giro del cron dopo il deploy, o il comando lanciato dall'ufficio).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2026-09-11T08:58:12.438Z</dcterms:created>
  <dcterms:modified xsi:type="dcterms:W3CDTF">2026-09-11T08:58:12.438Z</dcterms:modified>
</cp:coreProperties>
</file>