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(129) — </w:t>
      </w:r>
      <w:r>
        <w:rPr>
          <w:b/>
        </w:rPr>
        <w:t xml:space="preserve">La lista Consegne non cade più sotto carico</w:t>
      </w:r>
      <w:r>
        <w:rPr>
          <w:b/>
        </w:rPr>
        <w:t xml:space="preserve"> (segnalazione utente: «Internal server error» sulla pagina Consegne). Nei log della funzione: «Timed out fetching a new connection from the connection pool (timeout 10, connection limit 3)». Il calcolo del margine introdotto il 10/09 faceva QUATTRO letture in parallelo a ogni pagina di Consegne: con un pool da tre connessioni se le prendeva tutte, e il resto della richiesta aspettava fino al timeout. Ora le stesse letture vanno in fila: una connessione per volta, qualche decina di millisecondi in più, nessun errore. Nella stessa mezz'ora è comparso anche un errore diverso — «max client connections reached, limit: 200» del pooler Supabase condiviso fra le app — rientrato da solo. </w:t>
      </w:r>
      <w:r>
        <w:rPr>
          <w:b/>
        </w:rPr>
        <w:t xml:space="preserve">Scheda valet</w:t>
      </w:r>
      <w:r>
        <w:rPr>
          <w:b/>
        </w:rPr>
        <w:t xml:space="preserve">: la tabella delle tariffe scorre dentro la scheda invece di allargarla, gli importi sono allineati a destra, e sul telefono etichette e valori si impilano.</w:t>
      </w:r>
      <w:r>
        <w:rPr>
          <w:b/>
        </w:rPr>
        <w:t xml:space="preserve">11/09/2026 (128) — </w:t>
      </w:r>
      <w:r>
        <w:rPr>
          <w:b/>
        </w:rPr>
        <w:t xml:space="preserve">Quattro richieste dell'ufficio su Stipendi, Fatturazione e consegne correlate.</w:t>
      </w:r>
      <w:r>
        <w:rPr>
          <w:b/>
        </w:rPr>
        <w:t xml:space="preserve"> (1) </w:t>
      </w:r>
      <w:r>
        <w:rPr>
          <w:b/>
        </w:rPr>
        <w:t xml:space="preserve">Stipendi, dettaglio della consegna</w:t>
      </w:r>
      <w:r>
        <w:rPr>
          <w:b/>
        </w:rPr>
        <w:t xml:space="preserve">: nel pannello «Da pagare» e nel dettaglio di uno stipendio dello storico si leggono ora </w:t>
      </w:r>
      <w:r>
        <w:rPr>
          <w:b/>
        </w:rPr>
        <w:t xml:space="preserve">partner</w:t>
      </w:r>
      <w:r>
        <w:rPr>
          <w:b/>
        </w:rPr>
        <w:t xml:space="preserve">, </w:t>
      </w:r>
      <w:r>
        <w:rPr>
          <w:b/>
        </w:rPr>
        <w:t xml:space="preserve">orario di consegna</w:t>
      </w:r>
      <w:r>
        <w:rPr>
          <w:b/>
        </w:rPr>
        <w:t xml:space="preserve">, </w:t>
      </w:r>
      <w:r>
        <w:rPr>
          <w:b/>
        </w:rPr>
        <w:t xml:space="preserve">da pagare sì/no</w:t>
      </w:r>
      <w:r>
        <w:rPr>
          <w:b/>
        </w:rPr>
        <w:t xml:space="preserve"> (pillola verde o ambra) e, sotto i plus/minus, quanto di quella cifra arriva </w:t>
      </w:r>
      <w:r>
        <w:rPr>
          <w:b/>
        </w:rPr>
        <w:t xml:space="preserve">da una regola</w:t>
      </w:r>
      <w:r>
        <w:rPr>
          <w:b/>
        </w:rPr>
        <w:t xml:space="preserve">. (2) </w:t>
      </w:r>
      <w:r>
        <w:rPr>
          <w:b/>
        </w:rPr>
        <w:t xml:space="preserve">Fatturazione, filtro per macro servizio</w:t>
      </w:r>
      <w:r>
        <w:rPr>
          <w:b/>
        </w:rPr>
        <w:t xml:space="preserve">: le linguette «Tipologie di servizio» non elencano più i 40 servizi puntuali ma le cinque famiglie (prezzo fisso, a ora, vendita, magazzino, corporate); sceglierne una filtra tutti i servizi che le appartengono. (3) </w:t>
      </w:r>
      <w:r>
        <w:rPr>
          <w:b/>
        </w:rPr>
        <w:t xml:space="preserve">Fatturazione, il venduto nella riga della fattura</w:t>
      </w:r>
      <w:r>
        <w:rPr>
          <w:b/>
        </w:rPr>
        <w:t xml:space="preserve">: accanto a numero di consegne e imponibile c'è la colonna «Venduto» (solo le righe di vendita ne hanno uno), senza aprire il dettaglio. (4) </w:t>
      </w:r>
      <w:r>
        <w:rPr>
          <w:b/>
        </w:rPr>
        <w:t xml:space="preserve">Consegne con lo stesso DDT</w:t>
      </w:r>
      <w:r>
        <w:rPr>
          <w:b/>
        </w:rPr>
        <w:t xml:space="preserve">: la cella del prodotto ora c'è sempre — quando una consegna non aveva prodotti le colonne slittavano e le righe non erano più incolonnate; le celle lunghe si accorciano invece di sfondare la riga, e i riquadri dei legami (riconsegna, corporate) hanno lo stesso respiro delle altre schede.</w:t>
      </w:r>
      <w:r>
        <w:rPr>
          <w:b/>
        </w:rPr>
        <w:t xml:space="preserve">11/09/2026 (127) — </w:t>
      </w:r>
      <w:r>
        <w:rPr>
          <w:b/>
        </w:rPr>
        <w:t xml:space="preserve">La cartella di Drive si può incollare come link</w:t>
      </w:r>
      <w:r>
        <w:rPr>
          <w:b/>
        </w:rPr>
        <w:t xml:space="preserve"> (segnalazione utente: caricando l'immagine di un prodotto, «Drive rifiuta il caricamento: File not found: </w:t>
      </w:r>
      <w:r>
        <w:rPr>
          <w:b/>
        </w:rPr>
        <w:t xml:space="preserve">https://drive.google.com/drive/folders/1gZ5…»</w:t>
      </w:r>
      <w:r>
        <w:rPr>
          <w:b/>
        </w:rPr>
        <w:t xml:space="preserve">). In Impostazioni → File App il campo vuole l'</w:t>
      </w:r>
      <w:r>
        <w:rPr>
          <w:b/>
        </w:rPr>
        <w:t xml:space="preserve">id</w:t>
      </w:r>
      <w:r>
        <w:rPr>
          <w:b/>
        </w:rPr>
        <w:t xml:space="preserve"> della cartella, ma dal tasto «Condividi» di Drive si copia il </w:t>
      </w:r>
      <w:r>
        <w:rPr>
          <w:b/>
        </w:rPr>
        <w:t xml:space="preserve">link</w:t>
      </w:r>
      <w:r>
        <w:rPr>
          <w:b/>
        </w:rPr>
        <w:t xml:space="preserve">: chi lo incolla riceveva un errore a ogni caricamento. Ora l'id si ricava dal link (dal pezzo «/folders/…» o «?id=…»), e un id scritto a mano continua a valere. Vale per tutti i caricamenti su Drive: immagini e video dei prodotti, ricevute firmate, firme in app. </w:t>
      </w:r>
      <w:r>
        <w:rPr>
          <w:b/>
        </w:rPr>
        <w:t xml:space="preserve">Inoltre</w:t>
      </w:r>
      <w:r>
        <w:rPr>
          <w:b/>
        </w:rPr>
        <w:t xml:space="preserve">: al partner non si mostra più la spunta «usa nome alternativo» nel modulo prodotto — il nome che scrive È già il suo nome partner (regola dell'11/09).</w:t>
      </w:r>
      <w:r>
        <w:rPr>
          <w:b/>
        </w:rPr>
        <w:t xml:space="preserve">11/09/2026 (126) — </w:t>
      </w:r>
      <w:r>
        <w:rPr>
          <w:b/>
        </w:rPr>
        <w:t xml:space="preserve">Elenco partner: le aree di consegna al posto delle province</w:t>
      </w:r>
      <w:r>
        <w:rPr>
          <w:b/>
        </w:rPr>
        <w:t xml:space="preserve"> (regola utente, come già per i valet il 10/09). La colonna mostra le aree del partner (fino a 6, poi «+N» col tooltip); le province restano solo per chi non ha ancora un'area. La ricerca trova anche il nome dell'area.</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2026-09-11T08:29:28.852Z</dcterms:created>
  <dcterms:modified xsi:type="dcterms:W3CDTF">2026-09-11T08:29:28.852Z</dcterms:modified>
</cp:coreProperties>
</file>