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9E010" w14:textId="77777777" w:rsidR="00BF2FC1" w:rsidRDefault="00356619">
      <w:pPr>
        <w:spacing w:after="400"/>
        <w:jc w:val="center"/>
      </w:pPr>
      <w:r>
        <w:rPr>
          <w:b/>
          <w:bCs/>
          <w:sz w:val="32"/>
          <w:szCs w:val="32"/>
        </w:rPr>
        <w:t>Criminogenic Embeddedness and Criminal Trajectories: A Life-Course Model (CEM) of Strain, Control, and Social Learning</w:t>
      </w:r>
    </w:p>
    <w:p>
      <w:pPr>
        <w:spacing w:after="60"/>
        <w:jc w:val="center"/>
      </w:pPr>
      <w:r>
        <w:rPr>
          <w:b/>
          <w:bCs/>
        </w:rPr>
        <w:t xml:space="preserve">Donald Bowen, DBA</w:t>
      </w:r>
    </w:p>
    <w:p>
      <w:pPr>
        <w:spacing w:after="60"/>
        <w:jc w:val="center"/>
      </w:pPr>
      <w:r>
        <w:t xml:space="preserve">Independent Researcher, Oceana, West Virginia, USA</w:t>
      </w:r>
    </w:p>
    <w:p>
      <w:pPr>
        <w:spacing w:after="300"/>
        <w:jc w:val="center"/>
      </w:pPr>
      <w:r>
        <w:rPr>
          <w:sz w:val="22"/>
          <w:szCs w:val="22"/>
        </w:rPr>
        <w:t xml:space="preserve">ORCID: 0000-0003-3527-9462 · Correspondence: don@cemresearchlab.com</w:t>
      </w:r>
    </w:p>
    <w:p>
      <w:pPr>
        <w:spacing w:after="400"/>
        <w:jc w:val="both"/>
      </w:pPr>
      <w:r>
        <w:rPr>
          <w:i/>
          <w:iCs/>
          <w:sz w:val="20"/>
          <w:szCs w:val="20"/>
        </w:rPr>
        <w:t xml:space="preserve">Preprint, October 2026. This manuscript has not been peer reviewed. The Criminogenic Embeddedness Model presented here is developed at book length in Bowen (2026), Criminogenic Embeddedness and Criminal Trajectories: A Life-Course Model of Strain, Control, and Social Learning (https://doi.org/10.5281/zenodo.21961664). This article is a condensed, journal-length statement of the model.</w:t>
      </w:r>
    </w:p>
    <w:p w14:paraId="7AB9E011" w14:textId="77777777" w:rsidR="00BF2FC1" w:rsidRDefault="00356619">
      <w:pPr>
        <w:pStyle w:val="Heading1"/>
      </w:pPr>
      <w:r>
        <w:t>Abstract</w:t>
      </w:r>
    </w:p>
    <w:p w14:paraId="7AB9E012" w14:textId="77777777" w:rsidR="00BF2FC1" w:rsidRDefault="00356619">
      <w:pPr>
        <w:spacing w:after="200" w:line="276" w:lineRule="auto"/>
      </w:pPr>
      <w:r>
        <w:t>This article develops criminogenic embeddedness as a relational mechanism connecting strain, social control, social learning, and life-course change. It proposes the Criminogenic Embeddedness Model (CEM), which explains how network structure and network content work together to shape criminal adaptation. The model identifies four characteristic pathways and derives eight propositions concerning network position, control, learning, feedback, and desistance. A provisional Criminogenic Embeddedness Assessment Score (CEAS) is introduced as a measurement agenda only, not as a validated risk instrument. Drawing on recent advances in networked criminology, desistance research, and longitudinal network studies (2021–2026), the article argues that embeddedness earns its theoretical place by explaining why similar strains produce different outcomes, why some turning points fail to produce lasting desistance, and how lingering network configurations sustain risk after behavioral change. The conclusion outlines the key empirical tests needed to distinguish the model from established interactional and developmental theories.</w:t>
      </w:r>
    </w:p>
    <w:p w14:paraId="7AB9E013" w14:textId="77777777" w:rsidR="00BF2FC1" w:rsidRDefault="00356619">
      <w:pPr>
        <w:spacing w:after="200" w:line="276" w:lineRule="auto"/>
      </w:pPr>
      <w:r>
        <w:t>Keywords: criminogenic embeddedness; life-course criminology; general strain theory; social control; social learning; network criminology; desistance</w:t>
      </w:r>
    </w:p>
    <w:p w14:paraId="7AB9E014" w14:textId="77777777" w:rsidR="00BF2FC1" w:rsidRDefault="00356619">
      <w:pPr>
        <w:pStyle w:val="Heading1"/>
      </w:pPr>
      <w:r>
        <w:t>1. Introduction</w:t>
      </w:r>
    </w:p>
    <w:p w14:paraId="7AB9E015" w14:textId="77777777" w:rsidR="00BF2FC1" w:rsidRDefault="00356619">
      <w:pPr>
        <w:spacing w:after="200" w:line="276" w:lineRule="auto"/>
      </w:pPr>
      <w:r>
        <w:t>Criminological theories tend to illuminate different pieces of the same developmental puzzle. General strain theory explains how adverse experiences create pressure toward criminal coping (Agnew, 1992, 2001, 2006). Social control theory explains why attachments, commitments, involvement, and belief constrain offending, and why adult transitions can redirect trajectories (Hirschi, 1969; Sampson &amp; Laub, 1993; Laub &amp; Sampson, 2003). Differential association and social learning theories explain how definitions, techniques, models, and reinforcement are acquired through interaction (Sutherland, 1947; Akers, 1998). Life-course criminology contributes a temporal account of onset, persistence, change, and desistance (Farrington, 2003; Moffitt, 1993; Piquero, 2008).</w:t>
      </w:r>
    </w:p>
    <w:p w14:paraId="7AB9E016" w14:textId="01E2C43A" w:rsidR="00BF2FC1" w:rsidRDefault="00356619">
      <w:pPr>
        <w:spacing w:after="200" w:line="276" w:lineRule="auto"/>
      </w:pPr>
      <w:r>
        <w:t xml:space="preserve">These traditions have already been brought into conversation. Elliott et al. (1985) integrated strain, control, and learning; Thornberry and Krohn (2005) specified reciprocal relations among bonds, peer associations, and delinquency; and Bao et al. (2014) tested an integrated strain-control-learning model. More recent work continues this integrative impulse while highlighting the enduring importance of peer and wider-network processes for both continuity and change (Giordano, 2026; Chen, 2026). The theoretical problem is therefore not the absence of </w:t>
        <w:lastRenderedPageBreak/>
        <w:t>integration. It is the under-specification of the relational mechanism through which these processes become mutually reinforcing across time.</w:t>
      </w:r>
    </w:p>
    <w:p w14:paraId="7AB9E017" w14:textId="77777777" w:rsidR="00BF2FC1" w:rsidRDefault="00356619">
      <w:pPr>
        <w:spacing w:after="200" w:line="276" w:lineRule="auto"/>
      </w:pPr>
      <w:r>
        <w:t xml:space="preserve">This article proposes criminogenic embeddedness as that mechanism — drawing on Granovetter’s (1985) foundational account of embeddedness in social structure — developed here as the Criminogenic Embeddedness Model (CEM)</w:t>
      </w:r>
      <w:r>
        <w:rPr>
          <w:rStyle w:val="FootnoteReference"/>
        </w:rPr>
        <w:footnoteReference w:id="1"/>
      </w:r>
      <w:r>
        <w:t>. The concept does not mean simply having delinquent associates, experiencing strain, or lacking social bonds. It refers to a relational configuration in which network structure (position, isolation from conventional bridges, density of ties) and network content (definitions, models, reinforcement, and the ratio of deviant to conventional alters) together shape the meaning of strain, the effectiveness of control, the availability of criminal learning, and the durability of any subsequent change. Recent longitudinal and network studies make clear that desistance is rarely a purely individual achievement; it depends on the broader set of relationships that either keep the person enmeshed in criminal influence or open pathways toward conventional alternatives (Giordano, 2026; Martí et al., 2021).</w:t>
      </w:r>
    </w:p>
    <w:p w14:paraId="7AB9E018" w14:textId="77777777" w:rsidR="00BF2FC1" w:rsidRDefault="00356619">
      <w:pPr>
        <w:spacing w:after="200" w:line="276" w:lineRule="auto"/>
      </w:pPr>
      <w:r>
        <w:t>This article makes three deliberately limited contributions. First, it clarifies criminogenic embeddedness as a mechanism rather than presenting it as a new omnibus risk factor. Second, it gives network structure and social learning density equal theoretical weight alongside composition, distinguishing the mere presence of deviant associates from the active transmission and reinforcement of criminal behavior. Third, it derives comparative propositions and a provisional measurement agenda, while being transparent about the conditions under which the model would fail to improve on existing explanations.</w:t>
      </w:r>
    </w:p>
    <w:p w14:paraId="7AB9E019" w14:textId="77777777" w:rsidR="00BF2FC1" w:rsidRDefault="00356619">
      <w:pPr>
        <w:pStyle w:val="Heading1"/>
      </w:pPr>
      <w:r>
        <w:t>2. Theoretical Foundations</w:t>
      </w:r>
    </w:p>
    <w:p w14:paraId="7AB9E01A" w14:textId="77777777" w:rsidR="00BF2FC1" w:rsidRDefault="00356619">
      <w:pPr>
        <w:pStyle w:val="Heading2"/>
      </w:pPr>
      <w:r>
        <w:t>2.1 Strain, Control, and Learning as Relational Processes</w:t>
      </w:r>
    </w:p>
    <w:p w14:paraId="7AB9E01B" w14:textId="77777777" w:rsidR="00BF2FC1" w:rsidRDefault="00356619">
      <w:pPr>
        <w:spacing w:after="200" w:line="276" w:lineRule="auto"/>
      </w:pPr>
      <w:r>
        <w:t xml:space="preserve">GST identifies three main sources of strain: failing to achieve positively valued goals, losing positively valued stimuli, and encountering noxious stimuli (Agnew, 1992, 2006). Strains become more criminogenic when they are severe, recent, clustered together, perceived as unjust, and occur when legitimate coping resources are limited. These features are inherently relational: the availability of support, the credibility of alternative goals, and how injustice is interpreted all depend on who surrounds a person and what those relationships communicate.</w:t>
      </w:r>
    </w:p>
    <w:p w14:paraId="7AB9E01C" w14:textId="77777777" w:rsidR="00BF2FC1" w:rsidRDefault="00356619">
      <w:pPr>
        <w:spacing w:after="200" w:line="276" w:lineRule="auto"/>
      </w:pPr>
      <w:r>
        <w:t xml:space="preserve">Control is similarly relational. Hirschi’s (1969) social bonds constrain offending by raising the costs of crime and sustaining commitment to conventional behavior. Life-course research shows that employment, marriage, and military service can serve as turning points when they create lasting stakes in conformity (Sampson &amp; Laub, 1993; Laub &amp; Sampson, 2003). Recent research </w:t>
        <w:lastRenderedPageBreak/>
        <w:t>demonstrates, however, that the broader network of parents, peers, and partners continues to shape within-individual change even after controlling for traditional marital indicators (Giordano, 2026). Turning points work, in part, because they reorganize network exposure and communication.</w:t>
      </w:r>
    </w:p>
    <w:p w14:paraId="7AB9E01D" w14:textId="77777777" w:rsidR="00BF2FC1" w:rsidRDefault="00356619">
      <w:pPr>
        <w:spacing w:after="200" w:line="276" w:lineRule="auto"/>
      </w:pPr>
      <w:r>
        <w:t>Social learning theory specifies the cultural and behavioral content that flows through relationships. Differential association exposes people to definitions favorable or unfavorable to law violation; imitation and differential reinforcement then shape how behavior is acquired and maintained (Akers, 1998). Contemporary work further shows that online peer contexts can independently influence delinquency and can amplify offline peer effects (Weerman, 2011). Network composition alone is therefore insufficient; the intensity of active transmission, modeling, and reinforcement must also be measured.</w:t>
      </w:r>
    </w:p>
    <w:p w14:paraId="3B9FD362" w14:textId="77777777" w:rsidR="00FE6964" w:rsidRPr="00FE6964" w:rsidRDefault="00FE6964" w:rsidP="00FE6964">
      <w:pPr>
        <w:spacing w:after="200" w:line="276" w:lineRule="auto"/>
      </w:pPr>
      <w:r>
        <w:t>A further implication of viewing strain, control, and learning as relational processes is that their effects will not be distributed evenly across social contexts. People occupy networks that vary dramatically in size, density, stability, and access to institutional resources. As a result, the same event can carry very different criminogenic consequences depending on the relational environment in which it occurs. Job loss, for example, may register as a temporary setback when family members provide emotional support, financial help, and leads toward other work. The same event, however, can trigger a cascade of destabilizing consequences when a person is embedded in networks defined by unemployment, substance use, and limited access to institutions. The central point is that strain does not occur in a social vacuum. How adversity is understood, what options appear available, and whether conventional responses seem legitimate all emerge through interaction with others.</w:t>
      </w:r>
    </w:p>
    <w:p w14:paraId="7D7D3CA7" w14:textId="66A4CF2C" w:rsidR="00FE6964" w:rsidRPr="00FE6964" w:rsidRDefault="00FE6964" w:rsidP="00FE6964">
      <w:pPr>
        <w:spacing w:after="200" w:line="276" w:lineRule="auto"/>
      </w:pPr>
      <w:r>
        <w:t>This also points to the limits of purely individualistic explanations of offending. Research across criminological traditions has shown that personal traits and cognitive processes shape behavior, but those processes are typically activated and reinforced within social contexts. Emotional responses to strain, for example, depend heavily on how significant others interpret events. Anger can intensify when peers frame a situation as unjust victimization requiring retaliation, whereas the same experience may build resilience when trusted relationships encourage problem-solving and long-term thinking. Similarly, conventional bonds do not simply restrain conduct through external pressure; they also supply ongoing sources of identity, support, and validation. Social learning, in turn, provides both behavioral models and interpretive frameworks through which people make sense of their experiences.</w:t>
      </w:r>
    </w:p>
    <w:p w14:paraId="488CBBA4" w14:textId="6E132B05" w:rsidR="00FE6964" w:rsidRPr="00FE6964" w:rsidRDefault="00FE6964" w:rsidP="00FE6964">
      <w:pPr>
        <w:spacing w:after="200" w:line="276" w:lineRule="auto"/>
      </w:pPr>
      <w:r>
        <w:t>The relational perspective thus provides a bridge among previously distinct theoretical traditions. Rather than treating strain, control, and learning as competing accounts, it shows that each captures a different dimension of the same social process. People experience adverse circumstances, interpret them through their relationships, face varying degrees of social control, and learn behavioral responses from those around them. The cumulative result is a developmental pathway that is at once emotional, structural, cultural, and relational.</w:t>
      </w:r>
    </w:p>
    <w:p w14:paraId="0BAA177B" w14:textId="77777777" w:rsidR="00FE6964" w:rsidRDefault="00FE6964">
      <w:pPr>
        <w:spacing w:after="200" w:line="276" w:lineRule="auto"/>
      </w:pPr>
    </w:p>
    <w:p w14:paraId="7AB9E01E" w14:textId="77777777" w:rsidR="00BF2FC1" w:rsidRDefault="00356619">
      <w:pPr>
        <w:pStyle w:val="Heading2"/>
      </w:pPr>
      <w:r>
        <w:t>2.2 Relation to Prior Integrated Theories</w:t>
      </w:r>
    </w:p>
    <w:p w14:paraId="7AB9E01F" w14:textId="77777777" w:rsidR="00BF2FC1" w:rsidRDefault="00356619">
      <w:pPr>
        <w:spacing w:after="200" w:line="276" w:lineRule="auto"/>
      </w:pPr>
      <w:r>
        <w:t>The CEM is most closely related to interactional theory. Thornberry and Krohn (2005) describe reciprocal relationships among social bonds, delinquent associations, and delinquency across developmental stages. The present model accepts those reciprocal dynamics but introduces two specifications that interactional theory leaves relatively underdeveloped: (1) the structural position of the individual within networks (isolation from conventional bridges versus brokerage opportunities), and (2) the explicit separation of network composition from social learning density. These additions allow the model to generate predictions about residual risk after apparent desistance and about the conditions under which turning points fall short.</w:t>
      </w:r>
    </w:p>
    <w:p w14:paraId="7AB9E020" w14:textId="77777777" w:rsidR="00BF2FC1" w:rsidRDefault="00356619">
      <w:pPr>
        <w:spacing w:after="200" w:line="276" w:lineRule="auto"/>
      </w:pPr>
      <w:r>
        <w:t>The model also departs from a simple additive approach to integration. It treats the five dimensions as jointly shaping the probability of criminal adaptation, rather than as independent risk factors whose effects simply add up. Recent tests of GST in non-Western contexts continue to find that deviant peers intensify the translation of strain into negative emotion and aggression (Chen, 2026), consistent with the claim that network content conditions strain’s behavioral consequences.</w:t>
      </w:r>
    </w:p>
    <w:p w14:paraId="7AB9E021" w14:textId="77777777" w:rsidR="00BF2FC1" w:rsidRDefault="00356619">
      <w:pPr>
        <w:spacing w:before="200" w:after="120"/>
      </w:pPr>
      <w:r>
        <w:rPr>
          <w:i/>
          <w:iCs/>
          <w:sz w:val="20"/>
          <w:szCs w:val="20"/>
        </w:rPr>
        <w:t>Table 1. Theoretical position of the CEM relative to principal antecedents.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BF2FC1" w14:paraId="7AB9E025" w14:textId="77777777">
        <w:tc>
          <w:tcPr>
            <w:tcW w:w="2340" w:type="dxa"/>
            <w:tcBorders>
              <w:top w:val="single" w:sz="1" w:space="0" w:color="666666"/>
              <w:left w:val="single" w:sz="1" w:space="0" w:color="666666"/>
              <w:bottom w:val="single" w:sz="1" w:space="0" w:color="666666"/>
              <w:right w:val="single" w:sz="1" w:space="0" w:color="666666"/>
            </w:tcBorders>
            <w:shd w:val="clear" w:color="auto" w:fill="E8E8E8"/>
            <w:tcMar>
              <w:top w:w="60" w:type="dxa"/>
              <w:left w:w="80" w:type="dxa"/>
              <w:bottom w:w="60" w:type="dxa"/>
              <w:right w:w="80" w:type="dxa"/>
            </w:tcMar>
          </w:tcPr>
          <w:p w14:paraId="7AB9E022" w14:textId="77777777" w:rsidR="00BF2FC1" w:rsidRDefault="00356619">
            <w:r>
              <w:rPr>
                <w:b/>
                <w:bCs/>
                <w:sz w:val="18"/>
                <w:szCs w:val="18"/>
              </w:rPr>
              <w:t>Framework</w:t>
            </w:r>
          </w:p>
        </w:tc>
        <w:tc>
          <w:tcPr>
            <w:tcW w:w="3510" w:type="dxa"/>
            <w:tcBorders>
              <w:top w:val="single" w:sz="1" w:space="0" w:color="666666"/>
              <w:left w:val="single" w:sz="1" w:space="0" w:color="666666"/>
              <w:bottom w:val="single" w:sz="1" w:space="0" w:color="666666"/>
              <w:right w:val="single" w:sz="1" w:space="0" w:color="666666"/>
            </w:tcBorders>
            <w:shd w:val="clear" w:color="auto" w:fill="E8E8E8"/>
            <w:tcMar>
              <w:top w:w="60" w:type="dxa"/>
              <w:left w:w="80" w:type="dxa"/>
              <w:bottom w:w="60" w:type="dxa"/>
              <w:right w:w="80" w:type="dxa"/>
            </w:tcMar>
          </w:tcPr>
          <w:p w14:paraId="7AB9E023" w14:textId="77777777" w:rsidR="00BF2FC1" w:rsidRDefault="00356619">
            <w:r>
              <w:rPr>
                <w:b/>
                <w:bCs/>
                <w:sz w:val="18"/>
                <w:szCs w:val="18"/>
              </w:rPr>
              <w:t>Primary mechanism</w:t>
            </w:r>
          </w:p>
        </w:tc>
        <w:tc>
          <w:tcPr>
            <w:tcW w:w="3510" w:type="dxa"/>
            <w:tcBorders>
              <w:top w:val="single" w:sz="1" w:space="0" w:color="666666"/>
              <w:left w:val="single" w:sz="1" w:space="0" w:color="666666"/>
              <w:bottom w:val="single" w:sz="1" w:space="0" w:color="666666"/>
              <w:right w:val="single" w:sz="1" w:space="0" w:color="666666"/>
            </w:tcBorders>
            <w:shd w:val="clear" w:color="auto" w:fill="E8E8E8"/>
            <w:tcMar>
              <w:top w:w="60" w:type="dxa"/>
              <w:left w:w="80" w:type="dxa"/>
              <w:bottom w:w="60" w:type="dxa"/>
              <w:right w:w="80" w:type="dxa"/>
            </w:tcMar>
          </w:tcPr>
          <w:p w14:paraId="7AB9E024" w14:textId="77777777" w:rsidR="00BF2FC1" w:rsidRDefault="00356619">
            <w:r>
              <w:rPr>
                <w:b/>
                <w:bCs/>
                <w:sz w:val="18"/>
                <w:szCs w:val="18"/>
              </w:rPr>
              <w:t>What the CEM adds</w:t>
            </w:r>
          </w:p>
        </w:tc>
      </w:tr>
      <w:tr w:rsidR="00BF2FC1" w14:paraId="7AB9E029"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26" w14:textId="77777777" w:rsidR="00BF2FC1" w:rsidRDefault="00356619">
            <w:r>
              <w:rPr>
                <w:sz w:val="18"/>
                <w:szCs w:val="18"/>
              </w:rPr>
              <w:t>General strain theory</w:t>
            </w:r>
          </w:p>
        </w:tc>
        <w:tc>
          <w:tcPr>
            <w:tcW w:w="351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27" w14:textId="77777777" w:rsidR="00BF2FC1" w:rsidRDefault="00356619">
            <w:r>
              <w:rPr>
                <w:sz w:val="18"/>
                <w:szCs w:val="18"/>
              </w:rPr>
              <w:t>Strain creates pressure toward coping, including crime</w:t>
            </w:r>
          </w:p>
        </w:tc>
        <w:tc>
          <w:tcPr>
            <w:tcW w:w="351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28" w14:textId="77777777" w:rsidR="00BF2FC1" w:rsidRDefault="00356619">
            <w:r>
              <w:rPr>
                <w:sz w:val="18"/>
                <w:szCs w:val="18"/>
              </w:rPr>
              <w:t>Network position conditions access to coping resources and criminal alternatives</w:t>
            </w:r>
          </w:p>
        </w:tc>
      </w:tr>
      <w:tr w:rsidR="00BF2FC1" w14:paraId="7AB9E02D"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2A" w14:textId="77777777" w:rsidR="00BF2FC1" w:rsidRDefault="00356619">
            <w:r>
              <w:rPr>
                <w:sz w:val="18"/>
                <w:szCs w:val="18"/>
              </w:rPr>
              <w:t>Social control / life-course theory</w:t>
            </w:r>
          </w:p>
        </w:tc>
        <w:tc>
          <w:tcPr>
            <w:tcW w:w="351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2B" w14:textId="77777777" w:rsidR="00BF2FC1" w:rsidRDefault="00356619">
            <w:r>
              <w:rPr>
                <w:sz w:val="18"/>
                <w:szCs w:val="18"/>
              </w:rPr>
              <w:t>Bonds and turning points constrain or redirect offending</w:t>
            </w:r>
          </w:p>
        </w:tc>
        <w:tc>
          <w:tcPr>
            <w:tcW w:w="351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2C" w14:textId="77777777" w:rsidR="00BF2FC1" w:rsidRDefault="00356619">
            <w:r>
              <w:rPr>
                <w:sz w:val="18"/>
                <w:szCs w:val="18"/>
              </w:rPr>
              <w:t>Turning points matter partly insofar as they reorganize network ties and institutional bridges</w:t>
            </w:r>
          </w:p>
        </w:tc>
      </w:tr>
      <w:tr w:rsidR="00BF2FC1" w14:paraId="7AB9E031"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2E" w14:textId="77777777" w:rsidR="00BF2FC1" w:rsidRDefault="00356619">
            <w:r>
              <w:rPr>
                <w:sz w:val="18"/>
                <w:szCs w:val="18"/>
              </w:rPr>
              <w:t>Social learning theory</w:t>
            </w:r>
          </w:p>
        </w:tc>
        <w:tc>
          <w:tcPr>
            <w:tcW w:w="351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2F" w14:textId="77777777" w:rsidR="00BF2FC1" w:rsidRDefault="00356619">
            <w:r>
              <w:rPr>
                <w:sz w:val="18"/>
                <w:szCs w:val="18"/>
              </w:rPr>
              <w:t>Definitions, models, imitation, and reinforcement are learned</w:t>
            </w:r>
          </w:p>
        </w:tc>
        <w:tc>
          <w:tcPr>
            <w:tcW w:w="351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30" w14:textId="77777777" w:rsidR="00BF2FC1" w:rsidRDefault="00356619">
            <w:r>
              <w:rPr>
                <w:sz w:val="18"/>
                <w:szCs w:val="18"/>
              </w:rPr>
              <w:t>Learning density is separated from the mere presence of deviant alters</w:t>
            </w:r>
          </w:p>
        </w:tc>
      </w:tr>
      <w:tr w:rsidR="00BF2FC1" w14:paraId="7AB9E035"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32" w14:textId="77777777" w:rsidR="00BF2FC1" w:rsidRDefault="00356619">
            <w:r>
              <w:rPr>
                <w:sz w:val="18"/>
                <w:szCs w:val="18"/>
              </w:rPr>
              <w:t>Interactional theory</w:t>
            </w:r>
          </w:p>
        </w:tc>
        <w:tc>
          <w:tcPr>
            <w:tcW w:w="351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33" w14:textId="77777777" w:rsidR="00BF2FC1" w:rsidRDefault="00356619">
            <w:r>
              <w:rPr>
                <w:sz w:val="18"/>
                <w:szCs w:val="18"/>
              </w:rPr>
              <w:t>Bonds, peer associations, and delinquency reciprocally influence one another</w:t>
            </w:r>
          </w:p>
        </w:tc>
        <w:tc>
          <w:tcPr>
            <w:tcW w:w="351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34" w14:textId="77777777" w:rsidR="00BF2FC1" w:rsidRDefault="00356619">
            <w:r>
              <w:rPr>
                <w:sz w:val="18"/>
                <w:szCs w:val="18"/>
              </w:rPr>
              <w:t>Network structure and path-dependent embeddedness are specified as mechanisms of residual risk and failed turning points</w:t>
            </w:r>
          </w:p>
        </w:tc>
      </w:tr>
    </w:tbl>
    <w:p w14:paraId="10000001" w14:textId="77777777" w:rsidR="00BF2FC1" w:rsidRDefault="00356619">
      <w:pPr>
        <w:pStyle w:val="Heading2"/>
      </w:pPr>
      <w:r>
        <w:t>2.3 What Existing Integrated Theories Cannot Explain</w:t>
      </w:r>
    </w:p>
    <w:p w14:paraId="10000002" w14:textId="77777777" w:rsidR="00BF2FC1" w:rsidRDefault="00356619">
      <w:pPr>
        <w:spacing w:after="200" w:line="276" w:lineRule="auto"/>
      </w:pPr>
      <w:r>
        <w:t>An integrative construct justifies its existence only if it generates predictions that existing theories cannot produce on their own terms. Four points of divergence — each tied to the propositions developed below — illustrate what criminogenic embeddedness contributes beyond interactional theory, general strain theory, and turning-point models, whether applied individually or combined additively.</w:t>
      </w:r>
    </w:p>
    <w:p w14:paraId="10000003" w14:textId="77777777" w:rsidR="00BF2FC1" w:rsidRDefault="00356619">
      <w:pPr>
        <w:spacing w:after="200" w:line="276" w:lineRule="auto"/>
      </w:pPr>
      <w:r>
        <w:t xml:space="preserve">First, interactional theory (Thornberry &amp; Krohn, 2005) predicts that delinquent peer associations and weakened bonds reciprocally escalate offending during adolescence, but it treats network exposure as largely interchangeable: any tie to a delinquent peer carries similar theoretical weight, and the theory does not separately account for structural isolation from conventional </w:t>
        <w:lastRenderedPageBreak/>
        <w:t>bridges. The CEM predicts that two adolescents with statistically identical bond weakening and identical counts of delinquent peers will diverge sharply depending on structural position: only the adolescent who is structurally isolated from a reachable teacher, kin member, or mentor tie should show accelerating, self-reinforcing embeddedness, while the non-isolated adolescent's trajectory should remain buffered even though the interactional variables are matched. Interactional theory provides no principled basis for the two cases to diverge once bond weakening and peer counts are held constant; the CEM does.</w:t>
      </w:r>
    </w:p>
    <w:p w14:paraId="10000004" w14:textId="77777777" w:rsidR="00BF2FC1" w:rsidRDefault="00356619">
      <w:pPr>
        <w:spacing w:after="200" w:line="276" w:lineRule="auto"/>
      </w:pPr>
      <w:r>
        <w:t xml:space="preserve">Second, general strain theory predicts that severe, unjust, and clustered strain increases the probability of criminal coping, primarily through coping resources and negative emotion. The CEM predicts that the same strain profile will not produce offending when network content is conventional — even without formal coping resources — because everyday relational support can fill that gap. It also predicts offending under relatively modest strain when social learning density is high (Proposition 8): a person with weaker, less unjust strain but heavy exposure to active modeling and reinforcement of criminal responses should show higher rates of offending than a person facing more severe strain who is embedded in a low-learning-density network. GST alone would rank the second person as higher risk; the CEM reverses that ranking under these conditions.</w:t>
      </w:r>
    </w:p>
    <w:p w14:paraId="10000005" w14:textId="77777777" w:rsidR="00BF2FC1" w:rsidRDefault="00356619">
      <w:pPr>
        <w:spacing w:after="200" w:line="276" w:lineRule="auto"/>
      </w:pPr>
      <w:r>
        <w:t>Third, turning-point models predict that acquiring a conventional marker — marriage, employment, military service — is followed by desistance because the marker proxies for a bundle of restraints. The CEM predicts that the same marker will fail to produce lasting desistance when it does not reduce social learning density or reorganize network position — as when someone finds work without cutting co-offending ties or changing their daily routines. Among people who acquire a conventional marker, the CEM predicts that residual embeddedness — not the marker itself or self-reported motivation — will explain variation in relapse, and that markers accompanied by network reorganization will outperform markers that are not, holding motivation constant (Proposition 6).</w:t>
      </w:r>
    </w:p>
    <w:p w14:paraId="4B8EB902" w14:textId="77777777" w:rsidR="00BF2FC1" w:rsidRDefault="00356619">
      <w:pPr>
        <w:spacing w:after="200" w:line="276" w:lineRule="auto"/>
      </w:pPr>
      <w:r>
        <w:t xml:space="preserve">Fourth, Farrington's (2005) Integrated Cognitive Antisocial Potential (ICAP) theory models long-term antisocial potential as a function of individual difference, strain, and socialization, translated into offending through short-term situational and cognitive processes at the moment of a criminal event. ICAP integrates strain, attachment, and learning within a single person, and it accounts for stability and change through the gradual accumulation and updating of antisocial potential across the life course. The CEM differs from ICAP in where it locates the accumulating construct: ICAP's long-term antisocial potential is a property of the person, updated by life events and socialization, whereas criminogenic embeddedness is a property of the person-in-network, updated by structural position and the content of relationships. This generates a concrete distinguishing prediction. ICAP implies that two people with matched long-term antisocial potential should show similar offending probabilities once situational opportunity is held constant, regardless of the network configuration through which that potential developed. The CEM predicts they will diverge if their current network positions differ: the person </w:t>
        <w:lastRenderedPageBreak/>
        <w:t>embedded in a network with active criminal learning and structural isolation should show a higher offending probability than the person with matched antisocial potential but a conventional network position, because embeddedness continues to shape opportunity, reinforcement, and interpretation even after antisocial potential has already formed. Testing this divergence requires measuring network position independently of the individual-difference and early-socialization variables that ICAP already captures — which is precisely what the measurement agenda in Section 5 outlines.</w:t>
      </w:r>
    </w:p>
    <w:p w14:paraId="10000006" w14:textId="77777777" w:rsidR="00BF2FC1" w:rsidRDefault="00356619">
      <w:pPr>
        <w:spacing w:after="200" w:line="276" w:lineRule="auto"/>
      </w:pPr>
      <w:r>
        <w:t>None of these predictions follows, without modification, from interactional theory, general strain theory, or turning-point models applied individually or combined additively; each requires that structural position and learning density be measured and modeled separately from bond strength, strain, and peer count. The empirical burden on the CEM is therefore not merely to show that embeddedness correlates with offending — that much follows from the existing literature — but to demonstrate that these divergence predictions hold and to specify the conditions under which they would not.</w:t>
      </w:r>
    </w:p>
    <w:p w14:paraId="7AB9E036" w14:textId="77777777" w:rsidR="00BF2FC1" w:rsidRDefault="00356619">
      <w:pPr>
        <w:pStyle w:val="Heading1"/>
      </w:pPr>
      <w:r>
        <w:t>3. The Criminogenic Embeddedness Model</w:t>
      </w:r>
    </w:p>
    <w:p w14:paraId="7AB9E037" w14:textId="77777777" w:rsidR="00BF2FC1" w:rsidRDefault="00356619">
      <w:pPr>
        <w:pStyle w:val="Heading2"/>
      </w:pPr>
      <w:r>
        <w:t>3.1 Definition and Scope</w:t>
      </w:r>
    </w:p>
    <w:p w14:paraId="7AB9E038" w14:textId="77777777" w:rsidR="00BF2FC1" w:rsidRDefault="00356619">
      <w:pPr>
        <w:spacing w:after="200" w:line="276" w:lineRule="auto"/>
      </w:pPr>
      <w:r>
        <w:t>Criminogenic embeddedness refers to a configuration of relationships and institutional locations in which strain is high or poorly buffered, conventional control is weak, network composition favors deviant models, structural isolation from conventional bridges is high, and social learning processes actively transmit and reinforce criminal adaptations. It is a property of the person-in-network at a given time, not a fixed trait.</w:t>
      </w:r>
    </w:p>
    <w:p w14:paraId="7AB9E039" w14:textId="19B9684F" w:rsidR="00BF2FC1" w:rsidRDefault="00356619">
      <w:pPr>
        <w:spacing w:after="200" w:line="276" w:lineRule="auto"/>
      </w:pPr>
      <w:r>
        <w:t xml:space="preserve">The concept draws on Granovetter’s (1985) insight that economic and social action is embedded in ongoing networks of personal relations but redirects that insight toward the specific problem of criminal adaptation and trajectory. Dense, multiplex networks are not inherently criminogenic; they become so when their content normalizes or rewards law violation and when bridges to conventional institutions are absent or severed.</w:t>
      </w:r>
    </w:p>
    <w:p w14:paraId="3D5C709F" w14:textId="77777777" w:rsidR="00BF2FC1" w:rsidRDefault="00356619">
      <w:pPr>
        <w:spacing w:after="200" w:line="276" w:lineRule="auto"/>
      </w:pPr>
      <w:r>
        <w:t xml:space="preserve">To avoid conceptual stretching, criminogenic embeddedness is defined precisely as a higher-order relational condition that emerges from the interaction among the five dimensions, rather than as their simple sum or as a synonym for any one of them considered in isolation. Strain alone is not embeddedness, nor is weak control, deviant peer presence, structural isolation, or high learning density considered separately. Each dimension can vary independently, and several configurations meet none of the criteria for high embeddedness even when a single dimension is elevated: high strain paired with strong conventional control and low learning density, for example, describes a person under pressure who is not, in this framework's terms, criminogenically embedded. Embeddedness names the specific joint condition in which several dimensions co-occur and reinforce one another; a construct satisfied by any single elevated </w:t>
        <w:lastRenderedPageBreak/>
        <w:t>dimension would collapse into a redundant label for accumulated risk, and that formulation is explicitly rejected here.</w:t>
      </w:r>
    </w:p>
    <w:p w14:paraId="7AB9E03A" w14:textId="77777777" w:rsidR="00BF2FC1" w:rsidRDefault="00356619">
      <w:pPr>
        <w:pStyle w:val="Heading2"/>
      </w:pPr>
      <w:r>
        <w:t>3.2 Dynamic Architecture</w:t>
      </w:r>
    </w:p>
    <w:p w14:paraId="7AB9E03B" w14:textId="77777777" w:rsidR="00BF2FC1" w:rsidRDefault="00356619">
      <w:pPr>
        <w:spacing w:after="200" w:line="276" w:lineRule="auto"/>
      </w:pPr>
      <w:r>
        <w:t xml:space="preserve">For a person i observed at time t, the framework can be represented schematically as:</w:t>
      </w:r>
    </w:p>
    <w:p w14:paraId="7AB9E03C" w14:textId="77777777" w:rsidR="00BF2FC1" w:rsidRDefault="00356619">
      <w:pPr>
        <w:spacing w:before="120" w:after="120"/>
        <w:jc w:val="center"/>
      </w:pPr>
      <w:r>
        <w:rPr>
          <w:i/>
          <w:iCs/>
          <w:sz w:val="22"/>
          <w:szCs w:val="22"/>
        </w:rPr>
        <w:t xml:space="preserve">E_it = f(SL_it, CCD_it, NDR_it, SIB_it, SLD_it; developmental stage, institutional context)</w:t>
      </w:r>
    </w:p>
    <w:p w14:paraId="7AB9E03D" w14:textId="77777777" w:rsidR="00BF2FC1" w:rsidRDefault="00356619">
      <w:pPr>
        <w:spacing w:after="200" w:line="276" w:lineRule="auto"/>
      </w:pPr>
      <w:r>
        <w:t xml:space="preserve">where E_it is criminogenic embeddedness, SL is strain load, CCD is control-capital deficit, NDR is network deviance ratio, SIB is structural isolation from conventional bridges, and SLD is social learning density. The expression is intentionally functional rather than a fixed scoring equation. Theoretical integration does not by itself justify assigning numerical weights, linearity, or a particular interaction form. Those choices should be estimated and compared empirically.</w:t>
      </w:r>
    </w:p>
    <w:p w14:paraId="7AB9E03E" w14:textId="77777777" w:rsidR="00BF2FC1" w:rsidRDefault="00356619">
      <w:pPr>
        <w:spacing w:after="200" w:line="276" w:lineRule="auto"/>
      </w:pPr>
      <w:r>
        <w:t>The model specifies directional dynamics. Strain load should increase when adverse events are severe, clustered, enduring, or interpreted as unjust, and should decrease when coping resources and valued relationships are restored. Control-capital deficit should increase when conventional bonds are lost or weakened and decrease when durable conventional ties and institutional commitments are built. Network deviance ratio and structural isolation should change when people enter, leave, or are excluded from networks. Social learning density should increase when criminal conduct is modeled, rewarded, taught, or normalized, and decrease when repeated interaction exposes individuals to credible conventional counter-definitions and prosocial reinforcement.</w:t>
      </w:r>
    </w:p>
    <w:p w14:paraId="7AB9E03F" w14:textId="77777777" w:rsidR="00BF2FC1" w:rsidRDefault="00356619">
      <w:pPr>
        <w:spacing w:after="200" w:line="276" w:lineRule="auto"/>
      </w:pPr>
      <w:r>
        <w:t xml:space="preserve">Behavioral adaptation is the proximal outcome. The model does not imply that high embeddedness makes offending inevitable. Rather, it predicts a higher probability of criminal adaptation when strain is high, conventional control is weak, criminal learning is dense, and legitimate alternatives are inaccessible. Adaptation then feeds back into the next period by potentially producing stigma, lost opportunities, severed conventional ties, altered routines, and deeper involvement in criminal networks. The logic of path dependence follows directly from the feedback structure of the model: criminal adaptation generates stigma, severed conventional ties, and deeper involvement in criminal networks, each of which raises the embeddedness that shapes subsequent adaptation. Research on co-offending and multiplex network structures documents precisely this kind of structural persistence (Papachristos, 2011; Hsiao, Leverso &amp; Papachristos, 2023). The reverse process—network repair that reduces embeddedness—is possible but may be slower because new conventional ties must become durable enough to compete with established relationships and routines.</w:t>
      </w:r>
    </w:p>
    <w:p w14:paraId="1E595702" w14:textId="77777777" w:rsidR="00BF2FC1" w:rsidRDefault="00356619">
      <w:pPr>
        <w:spacing w:after="200" w:line="276" w:lineRule="auto"/>
        <w:jc w:val="center"/>
      </w:pPr>
      <w:r>
        <w:rPr>
          <w:b/>
          <w:bCs/>
        </w:rPr>
        <w:t>Figure 1. Causal ordering in the CEM feedback loop.</w:t>
      </w:r>
    </w:p>
    <w:p w14:paraId="646BB9FF" w14:textId="77777777" w:rsidR="00BF2FC1" w:rsidRDefault="00356619">
      <w:pPr>
        <w:spacing w:after="200" w:line="276" w:lineRule="auto"/>
        <w:jc w:val="center"/>
      </w:pPr>
      <w:r>
        <w:rPr>
          <w:i/>
          <w:iCs/>
        </w:rPr>
        <w:t>Strain → Embeddedness → Adaptation → Network Reorganization → Future Embeddedness</w:t>
      </w:r>
    </w:p>
    <w:p w14:paraId="13CB566A" w14:textId="77777777" w:rsidR="00BF2FC1" w:rsidRDefault="00356619">
      <w:pPr>
        <w:spacing w:after="200" w:line="276" w:lineRule="auto"/>
      </w:pPr>
      <w:r>
        <w:lastRenderedPageBreak/>
        <w:t>Each arrow denotes a distinct empirical claim requiring separate measurement occasions. Strain shapes embeddedness through strain load and control-capital deficit (Section 3.2); embeddedness shapes the probability of criminal adaptation through network deviance ratio and social learning density (Proposition 8); adaptation reorganizes the network itself through stigma, severed ties, and altered routines (Proposition 3); and the reorganized network becomes the embeddedness measured at the next observation, closing the loop. Because feedback is hypothesized to be asymmetric (Proposition 3), the loop is not symmetric: the return arrow from network reorganization to future embeddedness is expected to be steeper following criminal adaptation than the corresponding arrow following conventional adaptation. Distinguishing this ordering from reverse causation, in which prior offending selects people into criminogenic networks, or from simultaneity, requires the longitudinal and quasi-experimental designs discussed in Section 6.6; cross-sectional data cannot adjudicate among the three.</w:t>
      </w:r>
    </w:p>
    <w:p w14:paraId="6A6AED1F" w14:textId="77777777" w:rsidR="00FA7B95" w:rsidRPr="00FA7B95" w:rsidRDefault="00FA7B95" w:rsidP="00FA7B95">
      <w:pPr>
        <w:spacing w:after="200" w:line="276" w:lineRule="auto"/>
      </w:pPr>
      <w:r>
        <w:t>An important feature of the model is its emphasis on temporal sequencing. Criminogenic embeddedness is not conceived as a static condition but as an evolving configuration that changes as individuals interact with institutions, networks, and life events. Developmental trajectories emerge from the accumulation of small changes over time rather than from a single decisive cause. A youth experiencing moderate strain may initially remain largely conventional. However, repeated exposure to delinquent peers, weakening parental bonds, and increasing isolation from prosocial opportunities can gradually elevate embeddedness. By the time serious offending becomes visible, the relational foundation supporting that behavior may have been developing for years.</w:t>
      </w:r>
    </w:p>
    <w:p w14:paraId="23179FE5" w14:textId="77777777" w:rsidR="00FA7B95" w:rsidRPr="00FA7B95" w:rsidRDefault="00FA7B95" w:rsidP="00FA7B95">
      <w:pPr>
        <w:spacing w:after="200" w:line="276" w:lineRule="auto"/>
      </w:pPr>
      <w:r>
        <w:t>This temporal emphasis aligns with broader life-course perspectives emphasizing cumulative continuity. Early disadvantages can increase the likelihood of later disadvantages, while early advantages can facilitate access to additional resources. Embeddedness provides a mechanism through which such continuity operates. Exposure to criminally involved networks may reduce educational engagement, educational disengagement may limit employment opportunities, and employment instability may increase reliance on criminally involved associates. Each transition reinforces the next, creating a self-reinforcing trajectory that becomes increasingly difficult to reverse.</w:t>
      </w:r>
    </w:p>
    <w:p w14:paraId="5C5DE1AA" w14:textId="77777777" w:rsidR="00FA7B95" w:rsidRPr="00FA7B95" w:rsidRDefault="00FA7B95" w:rsidP="00FA7B95">
      <w:pPr>
        <w:spacing w:after="200" w:line="276" w:lineRule="auto"/>
      </w:pPr>
      <w:r>
        <w:t>At the same time, the model allows for abrupt changes when major disruptions alter network organization. Residential relocation, military service, educational transitions, intensive treatment participation, or significant family changes can rapidly restructure social relationships. Such events may weaken criminogenic influences, introduce new conventional ties, or alter daily routines. Whether these changes produce lasting effects depends on their ability to create durable network reorganization rather than temporary behavioral compliance.</w:t>
      </w:r>
    </w:p>
    <w:p w14:paraId="44E0D03A" w14:textId="77777777" w:rsidR="00FA7B95" w:rsidRDefault="00FA7B95">
      <w:pPr>
        <w:spacing w:after="200" w:line="276" w:lineRule="auto"/>
      </w:pPr>
    </w:p>
    <w:p w14:paraId="7AB9E040" w14:textId="77777777" w:rsidR="00BF2FC1" w:rsidRDefault="00356619">
      <w:pPr>
        <w:pStyle w:val="Heading2"/>
      </w:pPr>
      <w:r>
        <w:t>3.3 Ideal-Typical Pathways</w:t>
      </w:r>
    </w:p>
    <w:p w14:paraId="7AB9E041" w14:textId="77777777" w:rsidR="00BF2FC1" w:rsidRDefault="00356619">
      <w:pPr>
        <w:spacing w:after="200" w:line="276" w:lineRule="auto"/>
      </w:pPr>
      <w:r>
        <w:lastRenderedPageBreak/>
        <w:t>The four pathways are heuristic configurations, not latent classes or diagnostic categories. They are intended to generate comparative predictions about the timing and mechanism of embeddedness.</w:t>
      </w:r>
    </w:p>
    <w:p w14:paraId="7AB9E042" w14:textId="77777777" w:rsidR="00BF2FC1" w:rsidRDefault="00356619">
      <w:pPr>
        <w:spacing w:before="200" w:after="120"/>
      </w:pPr>
      <w:r>
        <w:rPr>
          <w:i/>
          <w:iCs/>
          <w:sz w:val="20"/>
          <w:szCs w:val="20"/>
        </w:rPr>
        <w:t>Table 2. Ideal-typical configurations generated by the CEM.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BF2FC1" w14:paraId="7AB9E046" w14:textId="77777777">
        <w:tc>
          <w:tcPr>
            <w:tcW w:w="2340" w:type="dxa"/>
            <w:tcBorders>
              <w:top w:val="single" w:sz="1" w:space="0" w:color="666666"/>
              <w:left w:val="single" w:sz="1" w:space="0" w:color="666666"/>
              <w:bottom w:val="single" w:sz="1" w:space="0" w:color="666666"/>
              <w:right w:val="single" w:sz="1" w:space="0" w:color="666666"/>
            </w:tcBorders>
            <w:shd w:val="clear" w:color="auto" w:fill="E8E8E8"/>
            <w:tcMar>
              <w:top w:w="60" w:type="dxa"/>
              <w:left w:w="80" w:type="dxa"/>
              <w:bottom w:w="60" w:type="dxa"/>
              <w:right w:w="80" w:type="dxa"/>
            </w:tcMar>
          </w:tcPr>
          <w:p w14:paraId="7AB9E043" w14:textId="77777777" w:rsidR="00BF2FC1" w:rsidRDefault="00356619">
            <w:r>
              <w:rPr>
                <w:b/>
                <w:bCs/>
                <w:sz w:val="18"/>
                <w:szCs w:val="18"/>
              </w:rPr>
              <w:t>Pathway</w:t>
            </w:r>
          </w:p>
        </w:tc>
        <w:tc>
          <w:tcPr>
            <w:tcW w:w="3510" w:type="dxa"/>
            <w:tcBorders>
              <w:top w:val="single" w:sz="1" w:space="0" w:color="666666"/>
              <w:left w:val="single" w:sz="1" w:space="0" w:color="666666"/>
              <w:bottom w:val="single" w:sz="1" w:space="0" w:color="666666"/>
              <w:right w:val="single" w:sz="1" w:space="0" w:color="666666"/>
            </w:tcBorders>
            <w:shd w:val="clear" w:color="auto" w:fill="E8E8E8"/>
            <w:tcMar>
              <w:top w:w="60" w:type="dxa"/>
              <w:left w:w="80" w:type="dxa"/>
              <w:bottom w:w="60" w:type="dxa"/>
              <w:right w:w="80" w:type="dxa"/>
            </w:tcMar>
          </w:tcPr>
          <w:p w14:paraId="7AB9E044" w14:textId="77777777" w:rsidR="00BF2FC1" w:rsidRDefault="00356619">
            <w:r>
              <w:rPr>
                <w:b/>
                <w:bCs/>
                <w:sz w:val="18"/>
                <w:szCs w:val="18"/>
              </w:rPr>
              <w:t>Dominant configuration</w:t>
            </w:r>
          </w:p>
        </w:tc>
        <w:tc>
          <w:tcPr>
            <w:tcW w:w="3510" w:type="dxa"/>
            <w:tcBorders>
              <w:top w:val="single" w:sz="1" w:space="0" w:color="666666"/>
              <w:left w:val="single" w:sz="1" w:space="0" w:color="666666"/>
              <w:bottom w:val="single" w:sz="1" w:space="0" w:color="666666"/>
              <w:right w:val="single" w:sz="1" w:space="0" w:color="666666"/>
            </w:tcBorders>
            <w:shd w:val="clear" w:color="auto" w:fill="E8E8E8"/>
            <w:tcMar>
              <w:top w:w="60" w:type="dxa"/>
              <w:left w:w="80" w:type="dxa"/>
              <w:bottom w:w="60" w:type="dxa"/>
              <w:right w:w="80" w:type="dxa"/>
            </w:tcMar>
          </w:tcPr>
          <w:p w14:paraId="7AB9E045" w14:textId="77777777" w:rsidR="00BF2FC1" w:rsidRDefault="00356619">
            <w:r>
              <w:rPr>
                <w:b/>
                <w:bCs/>
                <w:sz w:val="18"/>
                <w:szCs w:val="18"/>
              </w:rPr>
              <w:t>Expected transition</w:t>
            </w:r>
          </w:p>
        </w:tc>
      </w:tr>
      <w:tr w:rsidR="00BF2FC1" w14:paraId="7AB9E04A"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47" w14:textId="77777777" w:rsidR="00BF2FC1" w:rsidRDefault="00356619">
            <w:r>
              <w:rPr>
                <w:sz w:val="18"/>
                <w:szCs w:val="18"/>
              </w:rPr>
              <w:t>Early-onset persistent</w:t>
            </w:r>
          </w:p>
        </w:tc>
        <w:tc>
          <w:tcPr>
            <w:tcW w:w="351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48" w14:textId="77777777" w:rsidR="00BF2FC1" w:rsidRDefault="00356619">
            <w:r>
              <w:rPr>
                <w:sz w:val="18"/>
                <w:szCs w:val="18"/>
              </w:rPr>
              <w:t>Early, clustered strain; low conventional control; high family and peer learning density; early isolation from prosocial bridges</w:t>
            </w:r>
          </w:p>
        </w:tc>
        <w:tc>
          <w:tcPr>
            <w:tcW w:w="351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49" w14:textId="77777777" w:rsidR="00BF2FC1" w:rsidRDefault="00356619">
            <w:r>
              <w:rPr>
                <w:sz w:val="18"/>
                <w:szCs w:val="18"/>
              </w:rPr>
              <w:t>Feedback and cumulative disadvantage sustain high embeddedness across developmental stages</w:t>
            </w:r>
          </w:p>
        </w:tc>
      </w:tr>
      <w:tr w:rsidR="00BF2FC1" w14:paraId="7AB9E04E"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4B" w14:textId="77777777" w:rsidR="00BF2FC1" w:rsidRDefault="00356619">
            <w:r>
              <w:rPr>
                <w:sz w:val="18"/>
                <w:szCs w:val="18"/>
              </w:rPr>
              <w:t>Adolescence-limited with residual risk</w:t>
            </w:r>
          </w:p>
        </w:tc>
        <w:tc>
          <w:tcPr>
            <w:tcW w:w="351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4C" w14:textId="77777777" w:rsidR="00BF2FC1" w:rsidRDefault="00356619">
            <w:r>
              <w:rPr>
                <w:sz w:val="18"/>
                <w:szCs w:val="18"/>
              </w:rPr>
              <w:t>Adolescent rise in peer deviance and learning density after relatively adequate childhood control; later conventional opportunities expand for most</w:t>
            </w:r>
          </w:p>
        </w:tc>
        <w:tc>
          <w:tcPr>
            <w:tcW w:w="351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4D" w14:textId="77777777" w:rsidR="00BF2FC1" w:rsidRDefault="00356619">
            <w:r>
              <w:rPr>
                <w:sz w:val="18"/>
                <w:szCs w:val="18"/>
              </w:rPr>
              <w:t>Most individuals reduce embeddedness as conventional opportunities expand; some retain residual learning density and network ties that elevate later risk under renewed strain</w:t>
            </w:r>
          </w:p>
        </w:tc>
      </w:tr>
      <w:tr w:rsidR="00BF2FC1" w14:paraId="7AB9E052"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4F" w14:textId="77777777" w:rsidR="00BF2FC1" w:rsidRDefault="00356619">
            <w:r>
              <w:rPr>
                <w:sz w:val="18"/>
                <w:szCs w:val="18"/>
              </w:rPr>
              <w:t>Late-onset embedded</w:t>
            </w:r>
          </w:p>
        </w:tc>
        <w:tc>
          <w:tcPr>
            <w:tcW w:w="351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50" w14:textId="77777777" w:rsidR="00BF2FC1" w:rsidRDefault="00356619">
            <w:r>
              <w:rPr>
                <w:sz w:val="18"/>
                <w:szCs w:val="18"/>
              </w:rPr>
              <w:t>Adult structural disruption increases strain and reduces control; new ties provide criminal opportunities or models</w:t>
            </w:r>
          </w:p>
        </w:tc>
        <w:tc>
          <w:tcPr>
            <w:tcW w:w="351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51" w14:textId="77777777" w:rsidR="00BF2FC1" w:rsidRDefault="00356619">
            <w:r>
              <w:rPr>
                <w:sz w:val="18"/>
                <w:szCs w:val="18"/>
              </w:rPr>
              <w:t>Serious offending follows network reorganization rather than early persistent offending</w:t>
            </w:r>
          </w:p>
        </w:tc>
      </w:tr>
      <w:tr w:rsidR="00BF2FC1" w14:paraId="7AB9E056"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53" w14:textId="77777777" w:rsidR="00BF2FC1" w:rsidRDefault="00356619">
            <w:r>
              <w:rPr>
                <w:sz w:val="18"/>
                <w:szCs w:val="18"/>
              </w:rPr>
              <w:t>Socially learned chronic</w:t>
            </w:r>
          </w:p>
        </w:tc>
        <w:tc>
          <w:tcPr>
            <w:tcW w:w="351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54" w14:textId="77777777" w:rsidR="00BF2FC1" w:rsidRDefault="00356619">
            <w:r>
              <w:rPr>
                <w:sz w:val="18"/>
                <w:szCs w:val="18"/>
              </w:rPr>
              <w:t>Sustained high learning density and reinforcement with only moderate strain</w:t>
            </w:r>
          </w:p>
        </w:tc>
        <w:tc>
          <w:tcPr>
            <w:tcW w:w="351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55" w14:textId="77777777" w:rsidR="00BF2FC1" w:rsidRDefault="00356619">
            <w:r>
              <w:rPr>
                <w:sz w:val="18"/>
                <w:szCs w:val="18"/>
              </w:rPr>
              <w:t>Criminal adaptation persists because conduct is normalized and rewarded, even without extreme personal strain</w:t>
            </w:r>
          </w:p>
        </w:tc>
      </w:tr>
    </w:tbl>
    <w:p w14:paraId="7ABECDC3" w14:textId="77777777" w:rsidR="00BF2FC1" w:rsidRDefault="00356619">
      <w:pPr>
        <w:spacing w:after="200" w:line="276" w:lineRule="auto"/>
      </w:pPr>
      <w:r>
        <w:t>The resemblance between these four pathways and existing developmental taxonomies, particularly Moffitt's (1993) distinction between adolescence-limited and life-course-persistent offending, is intentional and worth stating precisely. The pathways are best understood as partial extensions of existing taxonomies rather than as alternatives to them: Moffitt's taxonomy classifies people by the observed shape of their offending trajectory, while the CEM pathways classify the relational configuration hypothesized to generate that shape. Early-onset persistent and adolescence-limited with residual risk are offered as relational specifications of, respectively, life-course-persistent and adolescence-limited patterns; they do not compete with Moffitt's descriptive categories but attempt to explain why some adolescence-limited cases retain residual risk that the original taxonomy does not anticipate. Late-onset embedded and socially learned chronic have no direct analogue in Moffitt's original two-category scheme; they are closer to extensions proposed in later developmental work on late-onset and low-level chronic offending, reframed here in relational rather than purely developmental terms. None of the four pathways is offered as a replacement diagnostic category, and none should be used to classify individuals; they remain heuristic devices for generating comparative predictions about the timing and mechanism of embeddedness.</w:t>
      </w:r>
    </w:p>
    <w:p w14:paraId="661CE680" w14:textId="77777777" w:rsidR="00B77FB1" w:rsidRPr="00B77FB1" w:rsidRDefault="00B77FB1" w:rsidP="00B77FB1">
      <w:pPr>
        <w:pStyle w:val="Heading2"/>
      </w:pPr>
      <w:r>
        <w:t>3.4 Identity, Meaning, and Cognitive Transformation</w:t>
      </w:r>
    </w:p>
    <w:p w14:paraId="7DC3B2F5" w14:textId="77777777" w:rsidR="00B77FB1" w:rsidRPr="00B77FB1" w:rsidRDefault="00B77FB1" w:rsidP="00B77FB1">
      <w:pPr>
        <w:spacing w:after="200" w:line="276" w:lineRule="auto"/>
      </w:pPr>
      <w:r>
        <w:t xml:space="preserve">Although the CEM emphasizes relational structure and social learning, it does not assume that individuals respond mechanically to network influences. Relationships carry influence partly by shaping identities, meanings, and how people define themselves. Contemporary desistance research has consistently found that behavioral change is often accompanied by cognitive transformation — adopting new identities, shifting future orientations, and reinterpreting past </w:t>
        <w:lastRenderedPageBreak/>
        <w:t>conduct. The present framework does not treat these processes as alternatives to embeddedness; rather, it sees them as partly emerging from networked interaction.</w:t>
      </w:r>
    </w:p>
    <w:p w14:paraId="57B567E0" w14:textId="77777777" w:rsidR="00B77FB1" w:rsidRPr="00B77FB1" w:rsidRDefault="00B77FB1" w:rsidP="00B77FB1">
      <w:pPr>
        <w:spacing w:after="200" w:line="276" w:lineRule="auto"/>
      </w:pPr>
      <w:r>
        <w:t>People develop their identities within relational environments. Significant others communicate expectations, assign social roles, and offer feedback about behavior. A young person embedded in a highly criminogenic network may come to see offending as normal, expected, or even admirable. Criminal conduct can become part of one's self-concept through repeated reinforcement and recognition by peers. Conversely, exposure to prosocial relationships can sustain alternative identities built around employment, parenthood, education, community membership, or other conventional roles. Embeddedness therefore shapes not only opportunities for action but also perceptions of who a person is and who they might become.</w:t>
      </w:r>
    </w:p>
    <w:p w14:paraId="655ED46A" w14:textId="77777777" w:rsidR="00B77FB1" w:rsidRPr="00B77FB1" w:rsidRDefault="00B77FB1" w:rsidP="00B77FB1">
      <w:pPr>
        <w:spacing w:after="200" w:line="276" w:lineRule="auto"/>
      </w:pPr>
      <w:r>
        <w:t>This perspective helps explain why behavioral change sometimes precedes cognitive change and sometimes follows it. For some people, entering a new social environment changes routines and relationships before attitudes shift meaningfully. For others, emerging aspirations and a shifting sense of self motivate the search for different relationships and opportunities. The causal direction may vary, but network relationships remain important because they provide the social validation that allows new identities to take hold. A conventional self-concept that lacks everyday social support can be hard to sustain when strain arises.</w:t>
      </w:r>
    </w:p>
    <w:p w14:paraId="0207D0C3" w14:textId="435B9F74" w:rsidR="00B77FB1" w:rsidRPr="00B77FB1" w:rsidRDefault="00B77FB1" w:rsidP="00B77FB1">
      <w:pPr>
        <w:spacing w:after="200" w:line="276" w:lineRule="auto"/>
      </w:pPr>
      <w:r>
        <w:t xml:space="preserve">The implication is that successful desistance involves more than simply stopping criminal behavior. It often requires moving from a criminogenic relational environment into one where conventional identity are recognized and reinforced. This transition may explain why some people sustain long-term change while others cycle back into offending despite genuinely wanting to desist. Motivation matters, but it operates within relational contexts that either support or undermine its realization.</w:t>
      </w:r>
    </w:p>
    <w:p w14:paraId="04E8A6F5" w14:textId="77777777" w:rsidR="00BF2FC1" w:rsidRDefault="00356619">
      <w:pPr>
        <w:pStyle w:val="Heading2"/>
      </w:pPr>
      <w:r>
        <w:t>3.5 Distinguishing Network Deviance Ratio from Social Learning Density</w:t>
      </w:r>
    </w:p>
    <w:p w14:paraId="6C59B4E1" w14:textId="77777777" w:rsidR="00BF2FC1" w:rsidRDefault="00356619">
      <w:pPr>
        <w:spacing w:after="200" w:line="276" w:lineRule="auto"/>
      </w:pPr>
      <w:r>
        <w:t xml:space="preserve">Because network deviance ratio (NDR) and social learning density (SLD) tend to be correlated in observational data, the distinction the model draws between them can seem abstract without concrete examples. The two dimensions answer different questions: NDR describes who is present in the network, while SLD describes what actually happens within it — whether criminal conduct is actively modeled, taught, rewarded, or normalized through interaction, regardless of how many network members have a criminal history. Table 3 illustrates the distinction with contrasting configurations that generate divergent predictions under Proposition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600"/>
        <w:gridCol w:w="3600"/>
      </w:tblGrid>
      <w:tr w:rsidR="00BF2FC1" w14:paraId="2211DA31" w14:textId="77777777">
        <w:tc>
          <w:tcPr>
            <w:tcW w:w="2160" w:type="dxa"/>
            <w:tcBorders>
              <w:top w:val="single" w:sz="1" w:space="0" w:color="666666"/>
              <w:left w:val="single" w:sz="1" w:space="0" w:color="666666"/>
              <w:bottom w:val="single" w:sz="1" w:space="0" w:color="666666"/>
              <w:right w:val="single" w:sz="1" w:space="0" w:color="666666"/>
            </w:tcBorders>
            <w:shd w:val="clear" w:color="auto" w:fill="E8E8E8"/>
            <w:tcMar>
              <w:top w:w="60" w:type="dxa"/>
              <w:left w:w="80" w:type="dxa"/>
              <w:bottom w:w="60" w:type="dxa"/>
              <w:right w:w="80" w:type="dxa"/>
            </w:tcMar>
          </w:tcPr>
          <w:p w14:paraId="487D1E90" w14:textId="77777777" w:rsidR="00BF2FC1" w:rsidRDefault="00356619">
            <w:r>
              <w:rPr>
                <w:b/>
                <w:bCs/>
                <w:sz w:val="18"/>
                <w:szCs w:val="18"/>
              </w:rPr>
              <w:t>Configuration</w:t>
            </w:r>
          </w:p>
        </w:tc>
        <w:tc>
          <w:tcPr>
            <w:tcW w:w="3600" w:type="dxa"/>
            <w:tcBorders>
              <w:top w:val="single" w:sz="1" w:space="0" w:color="666666"/>
              <w:left w:val="single" w:sz="1" w:space="0" w:color="666666"/>
              <w:bottom w:val="single" w:sz="1" w:space="0" w:color="666666"/>
              <w:right w:val="single" w:sz="1" w:space="0" w:color="666666"/>
            </w:tcBorders>
            <w:shd w:val="clear" w:color="auto" w:fill="E8E8E8"/>
            <w:tcMar>
              <w:top w:w="60" w:type="dxa"/>
              <w:left w:w="80" w:type="dxa"/>
              <w:bottom w:w="60" w:type="dxa"/>
              <w:right w:w="80" w:type="dxa"/>
            </w:tcMar>
          </w:tcPr>
          <w:p w14:paraId="030A59DA" w14:textId="77777777" w:rsidR="00BF2FC1" w:rsidRDefault="00356619">
            <w:r>
              <w:rPr>
                <w:b/>
                <w:bCs/>
                <w:sz w:val="18"/>
                <w:szCs w:val="18"/>
              </w:rPr>
              <w:t>Illustrative case</w:t>
            </w:r>
          </w:p>
        </w:tc>
        <w:tc>
          <w:tcPr>
            <w:tcW w:w="3600" w:type="dxa"/>
            <w:tcBorders>
              <w:top w:val="single" w:sz="1" w:space="0" w:color="666666"/>
              <w:left w:val="single" w:sz="1" w:space="0" w:color="666666"/>
              <w:bottom w:val="single" w:sz="1" w:space="0" w:color="666666"/>
              <w:right w:val="single" w:sz="1" w:space="0" w:color="666666"/>
            </w:tcBorders>
            <w:shd w:val="clear" w:color="auto" w:fill="E8E8E8"/>
            <w:tcMar>
              <w:top w:w="60" w:type="dxa"/>
              <w:left w:w="80" w:type="dxa"/>
              <w:bottom w:w="60" w:type="dxa"/>
              <w:right w:w="80" w:type="dxa"/>
            </w:tcMar>
          </w:tcPr>
          <w:p w14:paraId="3F25A403" w14:textId="77777777" w:rsidR="00BF2FC1" w:rsidRDefault="00356619">
            <w:r>
              <w:rPr>
                <w:b/>
                <w:bCs/>
                <w:sz w:val="18"/>
                <w:szCs w:val="18"/>
              </w:rPr>
              <w:t>Expected pattern</w:t>
            </w:r>
          </w:p>
        </w:tc>
      </w:tr>
      <w:tr w:rsidR="00BF2FC1" w14:paraId="10000007" w14:textId="77777777">
        <w:tc>
          <w:tcPr>
            <w:tcW w:w="216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10000008" w14:textId="77777777" w:rsidR="00BF2FC1" w:rsidRDefault="00356619">
            <w:r>
              <w:rPr>
                <w:sz w:val="18"/>
                <w:szCs w:val="18"/>
              </w:rPr>
              <w:t>High NDR, low SLD</w:t>
            </w:r>
          </w:p>
        </w:tc>
        <w:tc>
          <w:tcPr>
            <w:tcW w:w="36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10000009" w14:textId="77777777" w:rsidR="00BF2FC1" w:rsidRDefault="00356619">
            <w:r>
              <w:rPr>
                <w:sz w:val="18"/>
                <w:szCs w:val="18"/>
              </w:rPr>
              <w:t>Several household or kinship alters have past criminal-justice contact, but contact is incidental: those alters explicitly discourage the person's own involvement, model no current criminal conduct, and provide no reinforcement tied to offending.</w:t>
            </w:r>
          </w:p>
        </w:tc>
        <w:tc>
          <w:tcPr>
            <w:tcW w:w="36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1000000A" w14:textId="77777777" w:rsidR="00BF2FC1" w:rsidRDefault="00356619">
            <w:r>
              <w:rPr>
                <w:sz w:val="18"/>
                <w:szCs w:val="18"/>
              </w:rPr>
              <w:t xml:space="preserve">Composition alone should predict weakly. Exposure exists without active transmission, so the person is not expected to acquire definitions favorable to law violation from this network segment.</w:t>
            </w:r>
          </w:p>
        </w:tc>
      </w:tr>
      <w:tr w:rsidR="00BF2FC1" w14:paraId="1000000B" w14:textId="77777777">
        <w:tc>
          <w:tcPr>
            <w:tcW w:w="216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1000000C" w14:textId="77777777" w:rsidR="00BF2FC1" w:rsidRDefault="00356619">
            <w:r>
              <w:rPr>
                <w:sz w:val="18"/>
                <w:szCs w:val="18"/>
              </w:rPr>
              <w:lastRenderedPageBreak/>
              <w:t>Low NDR, high SLD</w:t>
            </w:r>
          </w:p>
        </w:tc>
        <w:tc>
          <w:tcPr>
            <w:tcW w:w="36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1000000D" w14:textId="77777777" w:rsidR="00BF2FC1" w:rsidRDefault="00356619">
            <w:r>
              <w:rPr>
                <w:sz w:val="18"/>
                <w:szCs w:val="18"/>
              </w:rPr>
              <w:t>Few or no alters have criminal-justice contact, but one or two highly influential ties, such as a mentor figure or a small number of high-status online contacts, actively teach technique, supply neutralizations, and reward specific acts.</w:t>
            </w:r>
          </w:p>
        </w:tc>
        <w:tc>
          <w:tcPr>
            <w:tcW w:w="36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1000000E" w14:textId="77777777" w:rsidR="00BF2FC1" w:rsidRDefault="00356619">
            <w:r>
              <w:rPr>
                <w:sz w:val="18"/>
                <w:szCs w:val="18"/>
              </w:rPr>
              <w:t>Composition alone should again predict weakly, but in the opposite direction. Proposition 8 predicts a probability of adaptation closer to high-NDR/high-SLD cases than to low-NDR/low-SLD cases, because active transmission substitutes for numerical exposure.</w:t>
            </w:r>
          </w:p>
        </w:tc>
      </w:tr>
    </w:tbl>
    <w:p w14:paraId="1000000F" w14:textId="77777777" w:rsidR="00BF2FC1" w:rsidRDefault="00356619">
      <w:pPr>
        <w:spacing w:after="200" w:line="276" w:lineRule="auto"/>
      </w:pPr>
      <w:r>
        <w:rPr>
          <w:i/>
          <w:iCs/>
        </w:rPr>
        <w:t>Table 3. Contrasting configurations of network deviance ratio and social learning density.</w:t>
      </w:r>
    </w:p>
    <w:p w14:paraId="10000010" w14:textId="77777777" w:rsidR="00BF2FC1" w:rsidRDefault="00356619">
      <w:pPr>
        <w:spacing w:after="200" w:line="276" w:lineRule="auto"/>
      </w:pPr>
      <w:r>
        <w:t>Measuring SLD independently of NDR is not straightforward. Name generators can readily identify who is in a network and can approximate tie strength and contact frequency, but they capture composition, not content. Measuring SLD requires items that ask about specific transmission events, such as whether a named alter has taught a technique, provided material reward for an offense, voiced neutralizations, or explicitly modeled criminal conduct in the respondent's presence, and ideally requires repeated measurement to distinguish incidental exposure from active reinforcement. Observational methods or experience-sampling, where feasible, provide a useful check on retrospective self-report, which is susceptible to memory decay and motivated recall. Until SLD items are validated against independent indicators, the dimension should be treated as a promising but unproven measurement target — not an established scale.</w:t>
      </w:r>
    </w:p>
    <w:p w14:paraId="7AB9E057" w14:textId="718BE6FC" w:rsidR="00BF2FC1" w:rsidRDefault="00356619">
      <w:pPr>
        <w:pStyle w:val="Heading1"/>
      </w:pPr>
      <w:r>
        <w:t>4. Propositions for Empirical Test</w:t>
      </w:r>
    </w:p>
    <w:p w14:paraId="7AB9E058" w14:textId="77777777" w:rsidR="00BF2FC1" w:rsidRDefault="00356619">
      <w:pPr>
        <w:spacing w:after="200" w:line="276" w:lineRule="auto"/>
      </w:pPr>
      <w:r>
        <w:t>The model generates eight propositions. Each is stated as a comparative prediction rather than an assumed empirical fact. The most theoretically distinctive claims involve residual embeddedness, asymmetric feedback, and the independent contribution of learning density beyond network composition.</w:t>
      </w:r>
    </w:p>
    <w:p w14:paraId="7AB9E059" w14:textId="77777777" w:rsidR="00BF2FC1" w:rsidRDefault="00356619">
      <w:pPr>
        <w:spacing w:after="200" w:line="276" w:lineRule="auto"/>
      </w:pPr>
      <w:r>
        <w:rPr>
          <w:b/>
          <w:bCs/>
        </w:rPr>
        <w:t xml:space="preserve">Proposition 1. </w:t>
      </w:r>
      <w:r>
        <w:t>The association between strain load and subsequent offending will be stronger among individuals with high network deviance ratios and high structural isolation from conventional bridges than among otherwise similar individuals with lower values on those dimensions.</w:t>
      </w:r>
    </w:p>
    <w:p w14:paraId="7AB9E05A" w14:textId="77777777" w:rsidR="00BF2FC1" w:rsidRDefault="00356619">
      <w:pPr>
        <w:spacing w:after="200" w:line="276" w:lineRule="auto"/>
      </w:pPr>
      <w:r>
        <w:rPr>
          <w:b/>
          <w:bCs/>
        </w:rPr>
        <w:t xml:space="preserve">Proposition 2. </w:t>
      </w:r>
      <w:r>
        <w:t>Declines in conventional control will mediate part of the association between adverse network change and subsequent offending, with the strength of mediation varying by developmental stage and institutional context.</w:t>
      </w:r>
    </w:p>
    <w:p w14:paraId="7AB9E05B" w14:textId="77777777" w:rsidR="00BF2FC1" w:rsidRDefault="00356619">
      <w:pPr>
        <w:spacing w:after="200" w:line="276" w:lineRule="auto"/>
      </w:pPr>
      <w:r>
        <w:rPr>
          <w:b/>
          <w:bCs/>
        </w:rPr>
        <w:t xml:space="preserve">Proposition 3. </w:t>
      </w:r>
      <w:r>
        <w:t xml:space="preserve">Criminal adaptation will, on average, produce larger and more persistent increases in criminogenic embeddedness than conventional adaptation produces decreases, once prior embeddedness and exposure to institutional barriers are taken into account.</w:t>
      </w:r>
    </w:p>
    <w:p w14:paraId="7AB9E05C" w14:textId="77777777" w:rsidR="00BF2FC1" w:rsidRDefault="00356619">
      <w:pPr>
        <w:spacing w:after="200" w:line="276" w:lineRule="auto"/>
      </w:pPr>
      <w:r>
        <w:rPr>
          <w:b/>
          <w:bCs/>
        </w:rPr>
        <w:t xml:space="preserve">Proposition 4. </w:t>
      </w:r>
      <w:r>
        <w:t xml:space="preserve">The relative predictive contribution of the five dimensions will vary over the life course: family strain and control deficits should be more consequential in childhood, network </w:t>
        <w:lastRenderedPageBreak/>
        <w:t>composition and learning density in adolescence, and institutional isolation and control deficits in adulthood.</w:t>
      </w:r>
    </w:p>
    <w:p w14:paraId="7AB9E05D" w14:textId="77777777" w:rsidR="00BF2FC1" w:rsidRDefault="00356619">
      <w:pPr>
        <w:spacing w:after="200" w:line="276" w:lineRule="auto"/>
      </w:pPr>
      <w:r>
        <w:rPr>
          <w:b/>
          <w:bCs/>
        </w:rPr>
        <w:t xml:space="preserve">Proposition 5. </w:t>
      </w:r>
      <w:r>
        <w:t>Interventions that create durable conventional ties and alter network position will reduce subsequent offending more than interventions that change individual coping skills without changing network exposure, particularly among persons with high baseline embeddedness.</w:t>
      </w:r>
    </w:p>
    <w:p w14:paraId="7AB9E05E" w14:textId="77777777" w:rsidR="00BF2FC1" w:rsidRDefault="00356619">
      <w:pPr>
        <w:spacing w:after="200" w:line="276" w:lineRule="auto"/>
      </w:pPr>
      <w:r>
        <w:rPr>
          <w:b/>
          <w:bCs/>
        </w:rPr>
        <w:t xml:space="preserve">Proposition 6. </w:t>
      </w:r>
      <w:r>
        <w:t>Residual embeddedness and learning density in early adulthood will predict renewed offending under later strain among people who otherwise meet conventional criteria for adolescent desistance.</w:t>
      </w:r>
    </w:p>
    <w:p w14:paraId="7AB9E05F" w14:textId="77777777" w:rsidR="00BF2FC1" w:rsidRDefault="00356619">
      <w:pPr>
        <w:spacing w:after="200" w:line="276" w:lineRule="auto"/>
      </w:pPr>
      <w:r>
        <w:rPr>
          <w:b/>
          <w:bCs/>
        </w:rPr>
        <w:t xml:space="preserve">Proposition 7. </w:t>
      </w:r>
      <w:r>
        <w:t xml:space="preserve">Late-onset serious offending will be more likely after major adult structural disruptions when individuals retain or rapidly acquire ties to people engaged in criminal or informal economic activity.</w:t>
      </w:r>
    </w:p>
    <w:p w14:paraId="7AB9E060" w14:textId="77777777" w:rsidR="00BF2FC1" w:rsidRDefault="00356619">
      <w:pPr>
        <w:spacing w:after="200" w:line="276" w:lineRule="auto"/>
      </w:pPr>
      <w:r>
        <w:rPr>
          <w:b/>
          <w:bCs/>
        </w:rPr>
        <w:t xml:space="preserve">Proposition 8. </w:t>
      </w:r>
      <w:r>
        <w:t>Among individuals with equivalent network deviance ratios, higher social learning density will be associated with higher probabilities of criminal adaptation, because active transmission and reinforcement should matter beyond network composition alone.</w:t>
      </w:r>
    </w:p>
    <w:p w14:paraId="659CE46B" w14:textId="77777777" w:rsidR="00B75BDD" w:rsidRPr="00B75BDD" w:rsidRDefault="00B75BDD" w:rsidP="00B75BDD">
      <w:pPr>
        <w:spacing w:after="200" w:line="276" w:lineRule="auto"/>
        <w:rPr>
          <w:b/>
          <w:bCs/>
        </w:rPr>
      </w:pPr>
      <w:r>
        <w:rPr>
          <w:b/>
          <w:bCs/>
        </w:rPr>
        <w:t>4.1: Micro-, Meso-, and Macro-Level Mechanisms</w:t>
      </w:r>
    </w:p>
    <w:p w14:paraId="4EF3B835" w14:textId="77777777" w:rsidR="00B75BDD" w:rsidRPr="00B75BDD" w:rsidRDefault="00B75BDD" w:rsidP="00B75BDD">
      <w:pPr>
        <w:spacing w:after="200" w:line="276" w:lineRule="auto"/>
      </w:pPr>
      <w:r>
        <w:t>Although criminogenic embeddedness is fundamentally a relational concept, it operates simultaneously across multiple levels of social life. At the micro level, embeddedness shapes perception, decision-making, and behavioral adaptation. People interpret their experiences through interactions with family members, friends, intimate partners, and other significant figures. These interactions shape what counts as acceptable conduct, what opportunities seem available, and how risk is evaluated. Micro-level mechanisms thus include reinforcement, modeling, emotional support, identity formation, and social influence.</w:t>
      </w:r>
    </w:p>
    <w:p w14:paraId="76EEB333" w14:textId="77777777" w:rsidR="00B75BDD" w:rsidRPr="00B75BDD" w:rsidRDefault="00B75BDD" w:rsidP="00B75BDD">
      <w:pPr>
        <w:spacing w:after="200" w:line="276" w:lineRule="auto"/>
      </w:pPr>
      <w:r>
        <w:t xml:space="preserve">At the meso level, embeddedness reflects the organization of social networks. Factors such as density, centrality, clustering, brokerage opportunities, and multiplexity shape how resources and information move through groups. A tightly clustered network can reinforce shared norms — whether those norms are conventional or criminal. Brokerage positions can expose people to diverse perspectives and alternative opportunities. Isolation from conventional network segments limits access to legitimate coping resources. The meso level thus constitutes the structural architecture within which social influence operates.</w:t>
      </w:r>
    </w:p>
    <w:p w14:paraId="3E5DA596" w14:textId="0CBC092E" w:rsidR="00B75BDD" w:rsidRPr="00B75BDD" w:rsidRDefault="00B75BDD" w:rsidP="00B75BDD">
      <w:pPr>
        <w:spacing w:after="200" w:line="276" w:lineRule="auto"/>
      </w:pPr>
      <w:r>
        <w:t>At the macro level, broader institutional arrangements shape the opportunities available to people and networks. Schools, labor markets, criminal justice systems, housing policies, and welfare institutions all influence how social ties form and persist. Structural inequalities can restrict access to conventional bridges while increasing exposure to criminogenic environments. Macro-</w:t>
        <w:lastRenderedPageBreak/>
        <w:t>level conditions do not directly determine individual behavior, but they define the network landscape within which adaptation unfolds.</w:t>
      </w:r>
    </w:p>
    <w:p w14:paraId="29A64149" w14:textId="6E971B46" w:rsidR="00B75BDD" w:rsidRPr="00B75BDD" w:rsidRDefault="00B75BDD" w:rsidP="00B75BDD">
      <w:pPr>
        <w:spacing w:after="200" w:line="276" w:lineRule="auto"/>
      </w:pPr>
      <w:r>
        <w:t>The CEM's contribution is to link these levels analytically. Individual responses to strain are embedded in network structures, which are themselves situated within larger institutional contexts. This multilevel approach avoids reducing crime either to personal characteristics or to broad social forces alone; instead, it understands criminal trajectories as emerging from ongoing interactions among individuals, networks, and institutions.</w:t>
      </w:r>
    </w:p>
    <w:p w14:paraId="7AB9E061" w14:textId="77777777" w:rsidR="00BF2FC1" w:rsidRDefault="00356619">
      <w:pPr>
        <w:pStyle w:val="Heading1"/>
      </w:pPr>
      <w:r>
        <w:t>5. Measurement Agenda: The CEAS as a Provisional Research Instrument</w:t>
      </w:r>
    </w:p>
    <w:p w14:paraId="7AB9E062" w14:textId="77777777" w:rsidR="00BF2FC1" w:rsidRDefault="00356619">
      <w:pPr>
        <w:spacing w:after="200" w:line="276" w:lineRule="auto"/>
      </w:pPr>
      <w:r>
        <w:t xml:space="preserve">At this stage, the Criminogenic Embeddedness Assessment Score (CEAS) should be understood as a measurement proposal, not a validated risk-assessment instrument. Its purpose is to make the theory empirically testable by organizing indicators across five dimensions: SL, CCD, NDR, SIB, and SLD. A rigorous development program would begin with construct definition and item generation, followed by cognitive interviewing, expert review, pilot testing, measurement-invariance analysis, and longitudinal validation. Predictive validity should be assessed against clearly specified outcomes and benchmarked against established instruments, not assumed on the basis of conceptual overlap.</w:t>
      </w:r>
    </w:p>
    <w:p w14:paraId="7AB9E063" w14:textId="77777777" w:rsidR="00BF2FC1" w:rsidRDefault="00356619">
      <w:pPr>
        <w:spacing w:before="200" w:after="120"/>
      </w:pPr>
      <w:r>
        <w:rPr>
          <w:i/>
          <w:iCs/>
          <w:sz w:val="20"/>
          <w:szCs w:val="20"/>
        </w:rPr>
        <w:t>Table 4. Proposed CEAS dimensions and research indicators.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BF2FC1" w14:paraId="7AB9E067" w14:textId="77777777">
        <w:tc>
          <w:tcPr>
            <w:tcW w:w="2340" w:type="dxa"/>
            <w:tcBorders>
              <w:top w:val="single" w:sz="1" w:space="0" w:color="666666"/>
              <w:left w:val="single" w:sz="1" w:space="0" w:color="666666"/>
              <w:bottom w:val="single" w:sz="1" w:space="0" w:color="666666"/>
              <w:right w:val="single" w:sz="1" w:space="0" w:color="666666"/>
            </w:tcBorders>
            <w:shd w:val="clear" w:color="auto" w:fill="E8E8E8"/>
            <w:tcMar>
              <w:top w:w="60" w:type="dxa"/>
              <w:left w:w="80" w:type="dxa"/>
              <w:bottom w:w="60" w:type="dxa"/>
              <w:right w:w="80" w:type="dxa"/>
            </w:tcMar>
          </w:tcPr>
          <w:p w14:paraId="7AB9E064" w14:textId="77777777" w:rsidR="00BF2FC1" w:rsidRDefault="00356619">
            <w:r>
              <w:rPr>
                <w:b/>
                <w:bCs/>
                <w:sz w:val="18"/>
                <w:szCs w:val="18"/>
              </w:rPr>
              <w:t>Dimension</w:t>
            </w:r>
          </w:p>
        </w:tc>
        <w:tc>
          <w:tcPr>
            <w:tcW w:w="3510" w:type="dxa"/>
            <w:tcBorders>
              <w:top w:val="single" w:sz="1" w:space="0" w:color="666666"/>
              <w:left w:val="single" w:sz="1" w:space="0" w:color="666666"/>
              <w:bottom w:val="single" w:sz="1" w:space="0" w:color="666666"/>
              <w:right w:val="single" w:sz="1" w:space="0" w:color="666666"/>
            </w:tcBorders>
            <w:shd w:val="clear" w:color="auto" w:fill="E8E8E8"/>
            <w:tcMar>
              <w:top w:w="60" w:type="dxa"/>
              <w:left w:w="80" w:type="dxa"/>
              <w:bottom w:w="60" w:type="dxa"/>
              <w:right w:w="80" w:type="dxa"/>
            </w:tcMar>
          </w:tcPr>
          <w:p w14:paraId="7AB9E065" w14:textId="77777777" w:rsidR="00BF2FC1" w:rsidRDefault="00356619">
            <w:r>
              <w:rPr>
                <w:b/>
                <w:bCs/>
                <w:sz w:val="18"/>
                <w:szCs w:val="18"/>
              </w:rPr>
              <w:t>Conceptual content</w:t>
            </w:r>
          </w:p>
        </w:tc>
        <w:tc>
          <w:tcPr>
            <w:tcW w:w="3510" w:type="dxa"/>
            <w:tcBorders>
              <w:top w:val="single" w:sz="1" w:space="0" w:color="666666"/>
              <w:left w:val="single" w:sz="1" w:space="0" w:color="666666"/>
              <w:bottom w:val="single" w:sz="1" w:space="0" w:color="666666"/>
              <w:right w:val="single" w:sz="1" w:space="0" w:color="666666"/>
            </w:tcBorders>
            <w:shd w:val="clear" w:color="auto" w:fill="E8E8E8"/>
            <w:tcMar>
              <w:top w:w="60" w:type="dxa"/>
              <w:left w:w="80" w:type="dxa"/>
              <w:bottom w:w="60" w:type="dxa"/>
              <w:right w:w="80" w:type="dxa"/>
            </w:tcMar>
          </w:tcPr>
          <w:p w14:paraId="7AB9E066" w14:textId="77777777" w:rsidR="00BF2FC1" w:rsidRDefault="00356619">
            <w:r>
              <w:rPr>
                <w:b/>
                <w:bCs/>
                <w:sz w:val="18"/>
                <w:szCs w:val="18"/>
              </w:rPr>
              <w:t>Example research indicators</w:t>
            </w:r>
          </w:p>
        </w:tc>
      </w:tr>
      <w:tr w:rsidR="00BF2FC1" w14:paraId="7AB9E06B"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68" w14:textId="77777777" w:rsidR="00BF2FC1" w:rsidRDefault="00356619">
            <w:r>
              <w:rPr>
                <w:sz w:val="18"/>
                <w:szCs w:val="18"/>
              </w:rPr>
              <w:t>Strain load (SL)</w:t>
            </w:r>
          </w:p>
        </w:tc>
        <w:tc>
          <w:tcPr>
            <w:tcW w:w="351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69" w14:textId="77777777" w:rsidR="00BF2FC1" w:rsidRDefault="00356619">
            <w:r>
              <w:rPr>
                <w:sz w:val="18"/>
                <w:szCs w:val="18"/>
              </w:rPr>
              <w:t>Severity, duration, clustering, recency, and perceived injustice of adverse experiences</w:t>
            </w:r>
          </w:p>
        </w:tc>
        <w:tc>
          <w:tcPr>
            <w:tcW w:w="351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6A" w14:textId="77777777" w:rsidR="00BF2FC1" w:rsidRDefault="00356619">
            <w:r>
              <w:rPr>
                <w:sz w:val="18"/>
                <w:szCs w:val="18"/>
              </w:rPr>
              <w:t>Repeated life-event and chronic-stressor measures; perceived injustice; domain-specific exposure</w:t>
            </w:r>
          </w:p>
        </w:tc>
      </w:tr>
      <w:tr w:rsidR="00BF2FC1" w14:paraId="7AB9E06F"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6C" w14:textId="77777777" w:rsidR="00BF2FC1" w:rsidRDefault="00356619">
            <w:r>
              <w:rPr>
                <w:sz w:val="18"/>
                <w:szCs w:val="18"/>
              </w:rPr>
              <w:t>Control-capital deficit (CCD)</w:t>
            </w:r>
          </w:p>
        </w:tc>
        <w:tc>
          <w:tcPr>
            <w:tcW w:w="351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6D" w14:textId="77777777" w:rsidR="00BF2FC1" w:rsidRDefault="00356619">
            <w:r>
              <w:rPr>
                <w:sz w:val="18"/>
                <w:szCs w:val="18"/>
              </w:rPr>
              <w:t>Weakness or absence of attachment, commitment, involvement, belief, support, and monitoring</w:t>
            </w:r>
          </w:p>
        </w:tc>
        <w:tc>
          <w:tcPr>
            <w:tcW w:w="351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6E" w14:textId="77777777" w:rsidR="00BF2FC1" w:rsidRDefault="00356619">
            <w:r>
              <w:rPr>
                <w:sz w:val="18"/>
                <w:szCs w:val="18"/>
              </w:rPr>
              <w:t>Bond measures; institutional commitment; reliable support; conventional routine activity</w:t>
            </w:r>
          </w:p>
        </w:tc>
      </w:tr>
      <w:tr w:rsidR="00BF2FC1" w14:paraId="7AB9E073"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70" w14:textId="77777777" w:rsidR="00BF2FC1" w:rsidRDefault="00356619">
            <w:r>
              <w:rPr>
                <w:sz w:val="18"/>
                <w:szCs w:val="18"/>
              </w:rPr>
              <w:t>Network deviance ratio (NDR)</w:t>
            </w:r>
          </w:p>
        </w:tc>
        <w:tc>
          <w:tcPr>
            <w:tcW w:w="351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71" w14:textId="77777777" w:rsidR="00BF2FC1" w:rsidRDefault="00356619">
            <w:r>
              <w:rPr>
                <w:sz w:val="18"/>
                <w:szCs w:val="18"/>
              </w:rPr>
              <w:t>Composition of alters and ties with criminal, heavy substance, or rule-violating involvement</w:t>
            </w:r>
          </w:p>
        </w:tc>
        <w:tc>
          <w:tcPr>
            <w:tcW w:w="351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72" w14:textId="77777777" w:rsidR="00BF2FC1" w:rsidRDefault="00356619">
            <w:r>
              <w:rPr>
                <w:sz w:val="18"/>
                <w:szCs w:val="18"/>
              </w:rPr>
              <w:t>Egocentric name generators and interpreters; tie strength; contact frequency</w:t>
            </w:r>
          </w:p>
        </w:tc>
      </w:tr>
      <w:tr w:rsidR="00BF2FC1" w14:paraId="7AB9E077"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74" w14:textId="77777777" w:rsidR="00BF2FC1" w:rsidRDefault="00356619">
            <w:r>
              <w:rPr>
                <w:sz w:val="18"/>
                <w:szCs w:val="18"/>
              </w:rPr>
              <w:t>Structural isolation (SIB)</w:t>
            </w:r>
          </w:p>
        </w:tc>
        <w:tc>
          <w:tcPr>
            <w:tcW w:w="351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75" w14:textId="77777777" w:rsidR="00BF2FC1" w:rsidRDefault="00356619">
            <w:r>
              <w:rPr>
                <w:sz w:val="18"/>
                <w:szCs w:val="18"/>
              </w:rPr>
              <w:t>Lack of bridges to conventional institutions and prosocial networks</w:t>
            </w:r>
          </w:p>
        </w:tc>
        <w:tc>
          <w:tcPr>
            <w:tcW w:w="351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76" w14:textId="77777777" w:rsidR="00BF2FC1" w:rsidRDefault="00356619">
            <w:r>
              <w:rPr>
                <w:sz w:val="18"/>
                <w:szCs w:val="18"/>
              </w:rPr>
              <w:t xml:space="preserve">Employment, education, community, kin, and mentor connections; brokerage and reachability</w:t>
            </w:r>
          </w:p>
        </w:tc>
      </w:tr>
      <w:tr w:rsidR="00BF2FC1" w14:paraId="7AB9E07B"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78" w14:textId="77777777" w:rsidR="00BF2FC1" w:rsidRDefault="00356619">
            <w:r>
              <w:rPr>
                <w:sz w:val="18"/>
                <w:szCs w:val="18"/>
              </w:rPr>
              <w:t>Social learning density (SLD)</w:t>
            </w:r>
          </w:p>
        </w:tc>
        <w:tc>
          <w:tcPr>
            <w:tcW w:w="351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79" w14:textId="77777777" w:rsidR="00BF2FC1" w:rsidRDefault="00356619">
            <w:r>
              <w:rPr>
                <w:sz w:val="18"/>
                <w:szCs w:val="18"/>
              </w:rPr>
              <w:t>Active transmission of definitions, models, techniques, neutralizations, and reinforcement</w:t>
            </w:r>
          </w:p>
        </w:tc>
        <w:tc>
          <w:tcPr>
            <w:tcW w:w="351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14:paraId="7AB9E07A" w14:textId="77777777" w:rsidR="00BF2FC1" w:rsidRDefault="00356619">
            <w:r>
              <w:rPr>
                <w:sz w:val="18"/>
                <w:szCs w:val="18"/>
              </w:rPr>
              <w:t>Definitions favorable to law violation; observed rewards; modeled behavior; neutralization frequency</w:t>
            </w:r>
          </w:p>
        </w:tc>
      </w:tr>
    </w:tbl>
    <w:p w14:paraId="7AB9E07C" w14:textId="77777777" w:rsidR="00BF2FC1" w:rsidRDefault="00356619">
      <w:pPr>
        <w:spacing w:after="200" w:line="276" w:lineRule="auto"/>
      </w:pPr>
      <w:r>
        <w:t xml:space="preserve">Several safeguards are essential. First, the dimensions should not be combined into a single score until their dimensionality, invariance, and incremental validity have been established. Second, structural disadvantage must not be mistaken for individual propensity: neighborhood deprivation, segregation, exclusion, and policing can shape network opportunities without constituting personal criminogenic risk. Third, collecting network data creates privacy obligations for the people who are named. Fourth, any applied use would require evidence that assessment actually improves decisions without increasing surveillance, net-widening, or </w:t>
        <w:lastRenderedPageBreak/>
        <w:t>racialized disadvantage. Until those conditions are met, the CEAS is best used to guide theory-driven measurement and intervention research — not to determine supervision intensity or legal outcomes.</w:t>
      </w:r>
    </w:p>
    <w:p w14:paraId="21EC3EC7" w14:textId="77777777" w:rsidR="00BF2FC1" w:rsidRDefault="00356619">
      <w:pPr>
        <w:pStyle w:val="Heading1"/>
      </w:pPr>
      <w:r>
        <w:t>6. Scope Conditions, Critiques, and Research Design</w:t>
      </w:r>
    </w:p>
    <w:p w14:paraId="7F311BE0" w14:textId="77777777" w:rsidR="00BF2FC1" w:rsidRDefault="00356619">
      <w:pPr>
        <w:pStyle w:val="Heading2"/>
      </w:pPr>
      <w:r>
        <w:t>6.1 What Embeddedness Explains that Additive Models Do Not</w:t>
      </w:r>
    </w:p>
    <w:p w14:paraId="1A075A70" w14:textId="77777777" w:rsidR="00BF2FC1" w:rsidRDefault="00356619">
      <w:pPr>
        <w:spacing w:after="200" w:line="276" w:lineRule="auto"/>
      </w:pPr>
      <w:r>
        <w:t>The value of criminogenic embeddedness depends on whether it explains variation that persists after the component theories are applied separately. An additive model treats strain, weak bonds, delinquent associations, and isolation as independent contributions to offending — a useful descriptive approach, but one that cannot explain why a given strain becomes criminogenic for one person and not another. The embeddedness framework makes the social organization of coping central: the meaning and consequences of strain depend on who is available, which institutions remain reachable, and what conduct is modeled and rewarded in the person's immediate network.</w:t>
      </w:r>
    </w:p>
    <w:p w14:paraId="27252A1E" w14:textId="77777777" w:rsidR="00BF2FC1" w:rsidRDefault="00356619">
      <w:pPr>
        <w:spacing w:after="200" w:line="276" w:lineRule="auto"/>
      </w:pPr>
      <w:r>
        <w:t>Recent network studies of school transitions illustrate the point. Normative school moves that merge students from multiple elementary schools into a single middle school can reduce the popularity and sociability of delinquent youth relative to those who remain in stable peer environments (McMillan &amp; Freelin, 2023), functioning as a structural opportunity to sever or dilute harmful ties — an effect invisible to models that treat peer delinquency solely as an individual attribute.</w:t>
      </w:r>
    </w:p>
    <w:p w14:paraId="57CD99EA" w14:textId="77777777" w:rsidR="00BF2FC1" w:rsidRDefault="00356619">
      <w:pPr>
        <w:pStyle w:val="Heading2"/>
      </w:pPr>
      <w:r>
        <w:t>6.2 Network Structure, Network Content, and Mechanisms of Influence</w:t>
      </w:r>
    </w:p>
    <w:p w14:paraId="059677C2" w14:textId="77777777" w:rsidR="00BF2FC1" w:rsidRDefault="00356619">
      <w:pPr>
        <w:spacing w:after="200" w:line="276" w:lineRule="auto"/>
      </w:pPr>
      <w:r>
        <w:t xml:space="preserve">Structure and content must be analyzed together. Dense networks can buffer strain when their content is conventional; that same density can accelerate criminal adaptation when learning density is high (Haynie, 2001). Papachristos and colleagues' work on co-offending networks and multiplex online–offline gang dynamics shows that ties are rarely single-stranded: geographic, conflict, and digital relationships interlock, producing patterns of violence diffusion that composition measures alone cannot capture (Hsiao, Leverso &amp; Papachristos, 2023).</w:t>
      </w:r>
    </w:p>
    <w:p w14:paraId="787D0778" w14:textId="77777777" w:rsidR="00BF2FC1" w:rsidRDefault="00356619">
      <w:pPr>
        <w:spacing w:after="200" w:line="276" w:lineRule="auto"/>
      </w:pPr>
      <w:r>
        <w:t>Selection and influence remain analytically distinct: people who offend may gravitate toward one another, and people may change their behavior after entering a network. Longitudinal network designs, fixed-effects strategies, and natural experiments involving network disruption — school transitions, residential moves, justice-system placements — are required to disentangle these processes. Online peer contexts complicate the picture further: perceived online support for delinquency can influence later self-reported delinquency independently of offline peers and can amplify offline influence.</w:t>
      </w:r>
    </w:p>
    <w:p w14:paraId="6F94770F" w14:textId="77777777" w:rsidR="00BF2FC1" w:rsidRDefault="00356619">
      <w:pPr>
        <w:pStyle w:val="Heading2"/>
      </w:pPr>
      <w:r>
        <w:t>6.3 Digital Networks and Contemporary Embeddedness</w:t>
      </w:r>
    </w:p>
    <w:p w14:paraId="2DA86D04" w14:textId="77777777" w:rsidR="00BF2FC1" w:rsidRDefault="00356619">
      <w:pPr>
        <w:spacing w:after="200" w:line="276" w:lineRule="auto"/>
      </w:pPr>
      <w:r>
        <w:lastRenderedPageBreak/>
        <w:t>Traditional peer-influence theories were built around face-to-face interaction, but contemporary networks increasingly blur the line between online and offline relationships. Criminogenic embeddedness accommodates this shift without requiring modification, since it does not assume that influence must operate through physical proximity: digital interaction can extend criminal learning independently of local peer groups, transmitting definitions, techniques, and reinforcement rapidly across distance, and can also intensify existing offline ties through constant communication and public reinforcement layered on top of face-to-face contact — raising learning density even when network size stays constant.</w:t>
      </w:r>
    </w:p>
    <w:p w14:paraId="316B01F4" w14:textId="77777777" w:rsidR="00BF2FC1" w:rsidRDefault="00356619">
      <w:pPr>
        <w:spacing w:after="200" w:line="276" w:lineRule="auto"/>
      </w:pPr>
      <w:r>
        <w:t xml:space="preserve">Digital environments are not inherently criminogenic or protective; what matters is the content transmitted and the relationships sustained, not the medium itself. The same features that allow online interaction to deepen criminal learning can equally supply conventional bridges, as mentoring, peer-support, and educational communities can operate online as readily as offline. The claim is narrow but necessary: embeddedness must be measured across both physical and virtual channels, without assuming a priori that either dominates.</w:t>
      </w:r>
    </w:p>
    <w:p w14:paraId="7136BCC3" w14:textId="77777777" w:rsidR="00BF2FC1" w:rsidRDefault="00356619">
      <w:pPr>
        <w:pStyle w:val="Heading2"/>
      </w:pPr>
      <w:r>
        <w:t>6.4 Developmental Timing and Life-Course Change</w:t>
      </w:r>
    </w:p>
    <w:p w14:paraId="5BF47DD9" w14:textId="77777777" w:rsidR="00BF2FC1" w:rsidRDefault="00356619">
      <w:pPr>
        <w:spacing w:after="200" w:line="276" w:lineRule="auto"/>
      </w:pPr>
      <w:r>
        <w:t xml:space="preserve">Developmental stage alters the opportunity structure of relationships and the costs of changing networks. A school transition can break up adolescent peer groups; employment can introduce conventional colleagues and routines; incarceration can sever some ties while deepening others. The model does not treat age as a biological cause of offending. Instead, residual embeddedness after apparent adolescent desistance is predicted to raise the risk of renewed offending under later adult strain — precisely the pattern that adolescence-limited accounts leave unexplained.</w:t>
      </w:r>
    </w:p>
    <w:p w14:paraId="4D8CD528" w14:textId="77777777" w:rsidR="00BF2FC1" w:rsidRDefault="00356619">
      <w:pPr>
        <w:spacing w:after="200" w:line="276" w:lineRule="auto"/>
      </w:pPr>
      <w:r>
        <w:t>This emphasis on residual risk after apparent desistance requires the model to engage with a longstanding methodological debate in developmental and life-course criminology: whether onset, persistence, and desistance are best represented as a small number of discrete trajectory groups — as in group-based trajectory modeling — or as a continuously varying developmental process, as in growth-curve and related approaches. The CEM takes no position on which statistical representation is correct, treating the debate as an empirical rather than definitional question. What the model does require is that desistance be measured as a process with duration and a possible endpoint for relapse — not as a single observed status at one follow-up wave — because Proposition 6 predicts variation in the durability of desistance as a function of residual embeddedness, not merely variation in whether desistance is observed at all. Under a trajectory-group representation, this means that people classified in the same desistance group can still differ in their probability of later reclassification depending on residual network position; under a continuous-change representation, it means that residual embeddedness should predict the slope or curvature of the post-desistance offending trajectory, not just its level. Either representation is compatible with the model's central claim; what would be incompatible is a finding that residual embeddedness adds nothing to either representation once prior offending history is controlled, which is the condition under which Proposition 6 would be disconfirmed.</w:t>
      </w:r>
    </w:p>
    <w:p w14:paraId="2EDA4BE1" w14:textId="77777777" w:rsidR="00BF2FC1" w:rsidRDefault="00356619">
      <w:pPr>
        <w:pStyle w:val="Heading2"/>
      </w:pPr>
      <w:r>
        <w:lastRenderedPageBreak/>
        <w:t>6.5 Desistance, Turning Points, and Network Repair</w:t>
      </w:r>
    </w:p>
    <w:p w14:paraId="079DC33E" w14:textId="77777777" w:rsidR="00BF2FC1" w:rsidRDefault="00356619">
      <w:pPr>
        <w:spacing w:after="200" w:line="276" w:lineRule="auto"/>
      </w:pPr>
      <w:r>
        <w:t>Life-course theory has established the importance of turning points, but the mechanism by which a turning point produces lasting change remains open to specification. The CEM proposes that a turning point produces durable desistance primarily when it reorganizes network position and reduces learning density — not simply when it changes individual attitudes or coping skills. Giordano's (2026) analysis of the broader network of social relationships shows that partner and peer criminal behavior continue to predict within-individual variation in crime even after controlling for traditional marriage indicators, and that communication processes within these ties — co-constructing meanings, reinforcing hooks for change, presenting a united front — help explain why some relationships support desistance while others work against it.</w:t>
      </w:r>
    </w:p>
    <w:p w14:paraId="4A57E675" w14:textId="77777777" w:rsidR="00BF2FC1" w:rsidRDefault="00356619">
      <w:pPr>
        <w:spacing w:after="200" w:line="276" w:lineRule="auto"/>
      </w:pPr>
      <w:r>
        <w:t xml:space="preserve">Network repair is also likely to be asymmetric. Criminal involvement can quickly sever educational and employment opportunities, destabilize housing, increase surveillance, and deepen ties to criminal associates. Building lasting conventional bridges typically requires sustained access to legitimate opportunities and repeated positive interaction — resources that are not equally available. Interventions that ignore this asymmetry risk producing short-term behavioral change followed by residual embeddedness and eventual relapse.</w:t>
      </w:r>
    </w:p>
    <w:p w14:paraId="2930F48A" w14:textId="77777777" w:rsidR="00BF2FC1" w:rsidRDefault="00356619">
      <w:pPr>
        <w:pStyle w:val="Heading2"/>
      </w:pPr>
      <w:r>
        <w:t>6.6 Research Designs Capable of Testing the Model</w:t>
      </w:r>
    </w:p>
    <w:p w14:paraId="56222A66" w14:textId="77777777" w:rsidR="00BF2FC1" w:rsidRDefault="00356619">
      <w:pPr>
        <w:spacing w:after="200" w:line="276" w:lineRule="auto"/>
      </w:pPr>
      <w:r>
        <w:t>Testing the CEM requires designs that can observe change over time. Cross-sectional surveys can estimate associations among strain, bonds, network composition, and learning, but they cannot adequately separate selection from influence or establish the temporal ordering of feedback effects. A first test should pit four models against one another: an additive risk model; a model with a strain-by-control interaction; a model with network composition; and the full CEM including structural position, social learning density, and feedback terms — judged by improvement in explanation and out-of-sample prediction, not statistical significance alone. A second test should disentangle selection from influence using repeated network observations and, where possible, exogenous network shocks such as school transitions, residential moves, or program-induced routine changes. A third test should examine intervention mechanisms directly — specifying which ties or bridges an intervention alters and whether effects concentrate among those with high baseline embeddedness — with pre-registration of expected timing and heterogeneous effects. Two estimation strategies fit these tests naturally: random-intercept cross-lagged panel models are well suited to the asymmetric feedback claim, since they separate within-person change from stable between-person differences across repeated embeddedness and offending waves; and stochastic actor-oriented models such as SIENA are well suited to the second test, since they estimate network tie formation and behavioral change jointly and can therefore separate selection from influence directly rather than relying solely on design.</w:t>
      </w:r>
    </w:p>
    <w:p w14:paraId="77C163D7" w14:textId="77777777" w:rsidR="00BF2FC1" w:rsidRDefault="00356619">
      <w:pPr>
        <w:spacing w:after="200" w:line="276" w:lineRule="auto"/>
      </w:pPr>
      <w:r>
        <w:t xml:space="preserve">These tests do not require new data collection to get started. Proposition 8 could be evaluated using existing egocentric network modules such as those fielded in the National Longitudinal </w:t>
        <w:lastRenderedPageBreak/>
        <w:t>Study of Adolescent to Adult Health, which include both peer nomination and content-relevant items on delinquent behavior and substance use among named alters. Proposition 6 is well suited to cohorts that follow participants past adolescence into early adulthood, such as the Rochester Youth Development Study or the Cambridge Study in Delinquent Development, and to the Pathways to Desistance study for justice-involved samples specifically. None of these datasets were designed to measure social learning density as defined here, so a first test would rely on proxy indicators — contact frequency and duration, co-offending records, self-reported exposure to definitions favorable to law violation — rather than the full construct, but each offers a credible starting point without requiring new data collection.</w:t>
      </w:r>
    </w:p>
    <w:p w14:paraId="512038AC" w14:textId="77777777" w:rsidR="00BF2FC1" w:rsidRDefault="00356619">
      <w:pPr>
        <w:spacing w:after="200" w:line="276" w:lineRule="auto"/>
      </w:pPr>
      <w:r>
        <w:rPr>
          <w:b/>
          <w:bCs/>
        </w:rPr>
        <w:t>A Hypothetical Illustration of Proposition 8</w:t>
      </w:r>
    </w:p>
    <w:p w14:paraId="5C2B0B34" w14:textId="77777777" w:rsidR="00BF2FC1" w:rsidRDefault="00356619">
      <w:pPr>
        <w:spacing w:after="200" w:line="276" w:lineRule="auto"/>
      </w:pPr>
      <w:r>
        <w:t>Before any such test is conducted, it helps to show concretely what Proposition 8 predicts and why it differs from a model that measures network composition alone. The illustration below uses hypothetical parameter values chosen solely for clarity; it is not an empirical result and should not be read as one. What the illustration demonstrates is the qualitative pattern implied by Proposition 8 — that SLD can outweigh NDR in shaping predicted risk, and that a composition-only model will therefore misclassify people at both ends of the true distribution. The specific magnitudes of β1 and β2 were chosen to make that pattern clear and carry no evidentiary weight on their own.</w:t>
      </w:r>
    </w:p>
    <w:p w14:paraId="7A59B93B" w14:textId="77777777" w:rsidR="00BF2FC1" w:rsidRDefault="00356619">
      <w:pPr>
        <w:spacing w:after="200" w:line="276" w:lineRule="auto"/>
      </w:pPr>
      <w:r>
        <w:t>Consider a simple logistic model of the probability of criminal adaptation, P(adaptation), as a function of two binary indicators, high network deviance ratio (NDR = 1 if high, 0 if low) and high social learning density (SLD = 1 if high, 0 if low):</w:t>
      </w:r>
    </w:p>
    <w:p w14:paraId="5F24097D" w14:textId="77777777" w:rsidR="00BF2FC1" w:rsidRPr="00B5287D" w:rsidRDefault="00356619">
      <w:pPr>
        <w:spacing w:after="200" w:line="276" w:lineRule="auto"/>
        <w:jc w:val="center"/>
        <w:rPr>
          <w:lang w:val="fr-FR"/>
        </w:rPr>
      </w:pPr>
      <w:r>
        <w:rPr>
          <w:i/>
          <w:iCs/>
          <w:lang w:val="fr-FR"/>
        </w:rPr>
        <w:t xml:space="preserve">logit[P(adaptation)] = </w:t>
      </w:r>
      <w:r>
        <w:rPr>
          <w:i/>
          <w:iCs/>
        </w:rPr>
        <w:t>β</w:t>
      </w:r>
      <w:r>
        <w:rPr>
          <w:i/>
          <w:iCs/>
          <w:lang w:val="fr-FR"/>
        </w:rPr>
        <w:t xml:space="preserve">0 + </w:t>
      </w:r>
      <w:r>
        <w:rPr>
          <w:i/>
          <w:iCs/>
        </w:rPr>
        <w:t>β</w:t>
      </w:r>
      <w:r>
        <w:rPr>
          <w:i/>
          <w:iCs/>
          <w:lang w:val="fr-FR"/>
        </w:rPr>
        <w:t xml:space="preserve">1·NDR + </w:t>
      </w:r>
      <w:r>
        <w:rPr>
          <w:i/>
          <w:iCs/>
        </w:rPr>
        <w:t>β</w:t>
      </w:r>
      <w:r>
        <w:rPr>
          <w:i/>
          <w:iCs/>
          <w:lang w:val="fr-FR"/>
        </w:rPr>
        <w:t>2·SLD</w:t>
      </w:r>
    </w:p>
    <w:p w14:paraId="048CE066" w14:textId="77777777" w:rsidR="00BF2FC1" w:rsidRDefault="00356619">
      <w:pPr>
        <w:spacing w:after="200" w:line="276" w:lineRule="auto"/>
      </w:pPr>
      <w:r>
        <w:t xml:space="preserve">Assign illustrative values consistent with Proposition 8's claim that SLD carries more weight than NDR: β0 = −2.0 (baseline log-odds when both are low), β1 = 0.5 (a modest NDR effect), and β2 = 1.8 (a substantially larger SLD effect, reflecting the claim that active transmission matters more than composition). Converting the resulting log-odds to probabilities with P = 1 / (1 + e⁻ˡᵒᵍᴵᵀ) gives the following predictions for the four configurations introduced in Table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BF2FC1" w14:paraId="68A12F7A" w14:textId="77777777">
        <w:tc>
          <w:tcPr>
            <w:tcW w:w="5400" w:type="dxa"/>
            <w:tcBorders>
              <w:top w:val="single" w:sz="1" w:space="0" w:color="666666"/>
              <w:left w:val="single" w:sz="1" w:space="0" w:color="666666"/>
              <w:bottom w:val="single" w:sz="1" w:space="0" w:color="666666"/>
              <w:right w:val="single" w:sz="1" w:space="0" w:color="666666"/>
            </w:tcBorders>
            <w:shd w:val="clear" w:color="auto" w:fill="E8E8E8"/>
            <w:tcMar>
              <w:top w:w="60" w:type="dxa"/>
              <w:left w:w="80" w:type="dxa"/>
              <w:bottom w:w="60" w:type="dxa"/>
              <w:right w:w="80" w:type="dxa"/>
            </w:tcMar>
          </w:tcPr>
          <w:p w14:paraId="2B895052" w14:textId="77777777" w:rsidR="00BF2FC1" w:rsidRDefault="00356619">
            <w:r>
              <w:rPr>
                <w:b/>
                <w:bCs/>
                <w:sz w:val="18"/>
                <w:szCs w:val="18"/>
              </w:rPr>
              <w:t>Configuration</w:t>
            </w:r>
          </w:p>
        </w:tc>
        <w:tc>
          <w:tcPr>
            <w:tcW w:w="3960" w:type="dxa"/>
            <w:tcBorders>
              <w:top w:val="single" w:sz="1" w:space="0" w:color="666666"/>
              <w:left w:val="single" w:sz="1" w:space="0" w:color="666666"/>
              <w:bottom w:val="single" w:sz="1" w:space="0" w:color="666666"/>
              <w:right w:val="single" w:sz="1" w:space="0" w:color="666666"/>
            </w:tcBorders>
            <w:shd w:val="clear" w:color="auto" w:fill="E8E8E8"/>
            <w:tcMar>
              <w:top w:w="60" w:type="dxa"/>
              <w:left w:w="80" w:type="dxa"/>
              <w:bottom w:w="60" w:type="dxa"/>
              <w:right w:w="80" w:type="dxa"/>
            </w:tcMar>
          </w:tcPr>
          <w:p w14:paraId="4DDB1428" w14:textId="77777777" w:rsidR="00BF2FC1" w:rsidRDefault="00356619">
            <w:r>
              <w:rPr>
                <w:b/>
                <w:bCs/>
                <w:sz w:val="18"/>
                <w:szCs w:val="18"/>
              </w:rPr>
              <w:t>Predicted P(adaptation)</w:t>
            </w:r>
          </w:p>
        </w:tc>
      </w:tr>
      <w:tr w:rsidR="00BF2FC1" w14:paraId="5ECDE529" w14:textId="77777777">
        <w:tc>
          <w:tcPr>
            <w:tcW w:w="54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0AA73936" w14:textId="77777777" w:rsidR="00BF2FC1" w:rsidRDefault="00356619">
            <w:r>
              <w:rPr>
                <w:sz w:val="18"/>
                <w:szCs w:val="18"/>
              </w:rPr>
              <w:t>Low NDR, low SLD</w:t>
            </w:r>
          </w:p>
        </w:tc>
        <w:tc>
          <w:tcPr>
            <w:tcW w:w="396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4C4A7095" w14:textId="77777777" w:rsidR="00BF2FC1" w:rsidRDefault="00356619">
            <w:r>
              <w:rPr>
                <w:sz w:val="18"/>
                <w:szCs w:val="18"/>
              </w:rPr>
              <w:t>0.12</w:t>
            </w:r>
          </w:p>
        </w:tc>
      </w:tr>
      <w:tr w:rsidR="00BF2FC1" w14:paraId="10C7A219" w14:textId="77777777">
        <w:tc>
          <w:tcPr>
            <w:tcW w:w="54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1BDD385A" w14:textId="77777777" w:rsidR="00BF2FC1" w:rsidRDefault="00356619">
            <w:r>
              <w:rPr>
                <w:sz w:val="18"/>
                <w:szCs w:val="18"/>
              </w:rPr>
              <w:t>High NDR, low SLD</w:t>
            </w:r>
          </w:p>
        </w:tc>
        <w:tc>
          <w:tcPr>
            <w:tcW w:w="396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10000011" w14:textId="77777777" w:rsidR="00BF2FC1" w:rsidRDefault="00356619">
            <w:r>
              <w:rPr>
                <w:sz w:val="18"/>
                <w:szCs w:val="18"/>
              </w:rPr>
              <w:t>0.18</w:t>
            </w:r>
          </w:p>
        </w:tc>
      </w:tr>
      <w:tr w:rsidR="00BF2FC1" w14:paraId="10000012" w14:textId="77777777">
        <w:tc>
          <w:tcPr>
            <w:tcW w:w="54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10000013" w14:textId="77777777" w:rsidR="00BF2FC1" w:rsidRDefault="00356619">
            <w:r>
              <w:rPr>
                <w:sz w:val="18"/>
                <w:szCs w:val="18"/>
              </w:rPr>
              <w:t>Low NDR, high SLD</w:t>
            </w:r>
          </w:p>
        </w:tc>
        <w:tc>
          <w:tcPr>
            <w:tcW w:w="396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10000014" w14:textId="77777777" w:rsidR="00BF2FC1" w:rsidRDefault="00356619">
            <w:r>
              <w:rPr>
                <w:sz w:val="18"/>
                <w:szCs w:val="18"/>
              </w:rPr>
              <w:t>0.45</w:t>
            </w:r>
          </w:p>
        </w:tc>
      </w:tr>
      <w:tr w:rsidR="00BF2FC1" w14:paraId="10000015" w14:textId="77777777">
        <w:tc>
          <w:tcPr>
            <w:tcW w:w="540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10000016" w14:textId="77777777" w:rsidR="00BF2FC1" w:rsidRDefault="00356619">
            <w:r>
              <w:rPr>
                <w:sz w:val="18"/>
                <w:szCs w:val="18"/>
              </w:rPr>
              <w:t>High NDR, high SLD</w:t>
            </w:r>
          </w:p>
        </w:tc>
        <w:tc>
          <w:tcPr>
            <w:tcW w:w="3960" w:type="dxa"/>
            <w:tcBorders>
              <w:top w:val="single" w:sz="1" w:space="0" w:color="666666"/>
              <w:left w:val="single" w:sz="1" w:space="0" w:color="666666"/>
              <w:bottom w:val="single" w:sz="1" w:space="0" w:color="666666"/>
              <w:right w:val="single" w:sz="1" w:space="0" w:color="666666"/>
            </w:tcBorders>
            <w:tcMar>
              <w:top w:w="60" w:type="dxa"/>
              <w:left w:w="80" w:type="dxa"/>
              <w:bottom w:w="60" w:type="dxa"/>
              <w:right w:w="80" w:type="dxa"/>
            </w:tcMar>
          </w:tcPr>
          <w:p w14:paraId="10000017" w14:textId="77777777" w:rsidR="00BF2FC1" w:rsidRDefault="00356619">
            <w:r>
              <w:rPr>
                <w:sz w:val="18"/>
                <w:szCs w:val="18"/>
              </w:rPr>
              <w:t>0.57</w:t>
            </w:r>
          </w:p>
        </w:tc>
      </w:tr>
    </w:tbl>
    <w:p w14:paraId="10000018" w14:textId="77777777" w:rsidR="00BF2FC1" w:rsidRDefault="00356619">
      <w:pPr>
        <w:spacing w:after="200" w:line="276" w:lineRule="auto"/>
      </w:pPr>
      <w:r>
        <w:rPr>
          <w:i/>
          <w:iCs/>
        </w:rPr>
        <w:t>Table 5. Hypothetical predicted probabilities under an NDR- and SLD-sensitive model. Values are illustrative, not estimated.</w:t>
      </w:r>
    </w:p>
    <w:p w14:paraId="10000019" w14:textId="77777777" w:rsidR="00BF2FC1" w:rsidRDefault="00356619">
      <w:pPr>
        <w:spacing w:after="200" w:line="276" w:lineRule="auto"/>
      </w:pPr>
      <w:r>
        <w:t xml:space="preserve">Two results follow directly from these figures and illustrate why the distinction in Table 3 matters empirically, not just conceptually. First, holding NDR constant at its low value, moving </w:t>
        <w:lastRenderedPageBreak/>
        <w:t xml:space="preserve">from low to high SLD nearly quadruples the predicted probability of adaptation (from 0.12 to 0.45) — that is the numerical content of Proposition 8: among people with equivalent network composition, learning density carries most of the explanatory weight. Second, and more importantly for measurement, a model that observes only NDR and never measures SLD cannot recover these two values separately. Such a model is forced to pool across the unobserved SLD split, predicting the same probability for every low-NDR case — an average of (0.12 + 0.45) / 2 = 0.28. That pooled estimate overstates risk for genuinely low-SLD individuals by more than double (0.28 versus a true 0.12) and understates it for genuinely high-SLD individuals by more than a third (0.28 versus a true 0.45). The same pooling problem appears among high-NDR cases, where the composition-only prediction of (0.18 + 0.57) / 2 = 0.38 falls between the true values of 0.18 and 0.57 without matching either one. This is the quantitative version of the measurement concern raised in Section 3.5: omitting SLD does not merely cost precision at the margins — it systematically misclassifies people at both ends of the true risk distribution, in a direction and magnitude that a real test using the datasets described above could estimate directly.</w:t>
      </w:r>
    </w:p>
    <w:p w14:paraId="55A264E9" w14:textId="77777777" w:rsidR="00BF2FC1" w:rsidRDefault="00356619">
      <w:pPr>
        <w:pStyle w:val="Heading2"/>
      </w:pPr>
      <w:r>
        <w:t>6.7 Boundaries, Equity, and Scope Conditions</w:t>
      </w:r>
    </w:p>
    <w:p w14:paraId="52061197" w14:textId="77777777" w:rsidR="00BF2FC1" w:rsidRDefault="00356619">
      <w:pPr>
        <w:spacing w:after="200" w:line="276" w:lineRule="auto"/>
      </w:pPr>
      <w:r>
        <w:t>Gender, race, and institutional context shape every dimension of the model, not just its outcomes: strain sources, network exposure, learning processes, and access to conventional bridges all vary systematically by gender and social location (Haynie et al., 2014; Odgers et al., 2008), and racialized residential inequality and differential policing shape observed network composition and justice-system outcomes independently of individual behavior. Measurement invariance and differential item functioning must be examined before any CEAS score is treated as comparable across groups — this is not optional.</w:t>
      </w:r>
    </w:p>
    <w:p w14:paraId="4DDDAA9E" w14:textId="7A87A0AE" w:rsidR="00BF2FC1" w:rsidRDefault="00356619">
      <w:pPr>
        <w:spacing w:after="200" w:line="276" w:lineRule="auto"/>
      </w:pPr>
      <w:r>
        <w:t xml:space="preserve">The model is also bound by offense type and context. Its central mechanisms are most visible where relationships, institutional access, and learning environments can be measured over time. The networks that sustain occupational or organized offending differ substantially from those sustaining adolescent street crime, so comparative designs across offense types are needed before any general claims can be made. Ethically, the overarching goal is to expand access to safe, voluntary, and materially viable conventional relationships — not to engineer social isolation. Network data create privacy obligations for the people named within them, and any move from research instrument to applied tool would require evidence that assessment improves decisions without increasing surveillance, net-widening, or racialized disadvantage.</w:t>
      </w:r>
    </w:p>
    <w:p w14:paraId="4BE7444B" w14:textId="77777777" w:rsidR="00BF2FC1" w:rsidRDefault="00356619">
      <w:pPr>
        <w:pStyle w:val="Heading2"/>
      </w:pPr>
      <w:r>
        <w:t>6.8 Comparative and Cross-National Implications</w:t>
      </w:r>
    </w:p>
    <w:p w14:paraId="0233C35F" w14:textId="08C41828" w:rsidR="00BF2FC1" w:rsidRDefault="00356619">
      <w:pPr>
        <w:spacing w:after="200" w:line="276" w:lineRule="auto"/>
      </w:pPr>
      <w:r>
        <w:t xml:space="preserve">Cross-national research matters because the consequences of strain and network isolation depend heavily on welfare institutions, labor markets, policing practices, and access to public services. Job loss creates very different pressures where income support and retraining are available compared to where it leads immediately to housing insecurity; similarly, contact with the </w:t>
        <w:lastRenderedPageBreak/>
        <w:t xml:space="preserve">criminal justice system carries different network consequences depending on how strong formal stigma is and how well community reintegration is supported. These are not incidental background conditions; they plausibly moderate the model's core parameters and should be modeled as such rather than adjusted away as controls. In strongly decommodified welfare regimes, the control-capital deficit produced by job loss should be smaller and more easily reversed, because institutional bridges remain reachable after disruption; in residual welfare regimes, the same job loss is more likely to cascade into housing instability and elevated structural isolation, amplifying the strain-to-embeddedness pathway. Policing intensity should be similarly moderate structural isolation: minor justice-system contact that triggers exclusion from housing or employment should produce larger, more persistent increases in embeddedness than contact with fewer collateral consequences (Proposition 3). Comparative tests should treat national context as a moderator whose strength is itself a test of the model: if these pathways prove no stronger in residual than in decommodified regimes, that finding is evidence against the institutional account offered here — not merely a boundary condition to be set aside.</w:t>
      </w:r>
    </w:p>
    <w:p w14:paraId="16DAC9FD" w14:textId="77777777" w:rsidR="00BF2FC1" w:rsidRDefault="00356619">
      <w:pPr>
        <w:pStyle w:val="Heading2"/>
      </w:pPr>
      <w:r>
        <w:t>6.9 Theoretical Payoff and Conditions of Failure</w:t>
      </w:r>
    </w:p>
    <w:p w14:paraId="6283A469" w14:textId="77777777" w:rsidR="00BF2FC1" w:rsidRDefault="00356619">
      <w:pPr>
        <w:spacing w:after="200" w:line="276" w:lineRule="auto"/>
      </w:pPr>
      <w:r>
        <w:t xml:space="preserve">The framework could fail in several ways. Social learning density may add little beyond peer delinquency and definitions; structural position may be too unstable or difficult to measure reliably; feedback may prove symmetric rather than asymmetric; or individual-level traits and institutional contexts may account for the observed relationships more effectively. These are not threats to explain away — they are empirical conditions under which the model should be narrowed, revised, or rejected. A theory that cannot lose is not strengthened by adding more constructs.</w:t>
      </w:r>
    </w:p>
    <w:p w14:paraId="6F473525" w14:textId="77777777" w:rsidR="00BF2FC1" w:rsidRDefault="00356619">
      <w:pPr>
        <w:spacing w:after="200" w:line="276" w:lineRule="auto"/>
      </w:pPr>
      <w:r>
        <w:t>The CEM would make a meaningful contribution if it can explain three empirical patterns better than existing theories: why comparable strains lead to divergent trajectories when network structure and learning differ, why some turning points produce durable desistance while others produce only temporary change, and what feedback processes link criminal adaptation to later opportunities and relationships. These tests require direct comparison with established developmental and interactional models — not simply confirming that the proposed dimensions correlate with offending.</w:t>
      </w:r>
    </w:p>
    <w:p w14:paraId="19CEC6F4" w14:textId="77777777" w:rsidR="00BF2FC1" w:rsidRDefault="00356619">
      <w:pPr>
        <w:pStyle w:val="Heading2"/>
      </w:pPr>
      <w:r>
        <w:t>6.10 Policy Implications</w:t>
      </w:r>
    </w:p>
    <w:p w14:paraId="2CB33185" w14:textId="77777777" w:rsidR="00BF2FC1" w:rsidRDefault="00356619">
      <w:pPr>
        <w:spacing w:after="200" w:line="276" w:lineRule="auto"/>
      </w:pPr>
      <w:r>
        <w:t>A network-focused account reframes the intervention question. Instead of asking only whether someone has changed their attitudes or coping skills, it asks whether their opportunity structure and learning environment have changed — and it predicts that interventions creating durable conventional ties and altering network position will outperform those targeting individual skills alone, particularly among people with high baseline embeddedness (Proposition 5), consistent with gang disengagement research on the importance of building prosocial relationships for sustained change.</w:t>
      </w:r>
    </w:p>
    <w:p w14:paraId="717F7B9A" w14:textId="1762D5F7" w:rsidR="00BF2FC1" w:rsidRDefault="00356619">
      <w:pPr>
        <w:spacing w:after="200" w:line="276" w:lineRule="auto"/>
      </w:pPr>
      <w:r>
        <w:lastRenderedPageBreak/>
        <w:t xml:space="preserve">This reframing carries three practical implications. In reentry programming, barriers to employment, housing, and education after incarceration can inadvertently deepen reliance on existing criminal networks; interventions that build employment connections, mentoring, and community support should therefore reduce embeddedness more effectively than cognitive-change programs delivered into unchanged network environments. In youth prevention, school-based programs that increase cross-group interaction, strengthen bonds with teachers and mentors, and foster prosocial peer connections should outperform those targeting individual attitudes alone. At the community level, neighborhood organizations, workforce development programs, and social service agencies can serve as institutional bridges that directly reshape network configurations.</w:t>
      </w:r>
    </w:p>
    <w:p w14:paraId="42B5BD4E" w14:textId="77777777" w:rsidR="00BF2FC1" w:rsidRDefault="00356619">
      <w:pPr>
        <w:spacing w:after="200" w:line="276" w:lineRule="auto"/>
      </w:pPr>
      <w:r>
        <w:t xml:space="preserve">None of this implies coercive manipulation of personal relationships. People maintain legitimate emotional, familial, and cultural connections that should not be disrupted on the basis of statistical risk scores; the preferred approach is expanding opportunities and relationships, not forcibly eliminating existing ties. Sustainable desistance is more likely when people voluntarily develop alternative networks that provide meaningful support, identity, and opportunity.</w:t>
      </w:r>
    </w:p>
    <w:p w14:paraId="7AB9E09A" w14:textId="77777777" w:rsidR="00BF2FC1" w:rsidRDefault="00356619">
      <w:pPr>
        <w:pStyle w:val="Heading1"/>
      </w:pPr>
      <w:r>
        <w:t>7. Conclusion</w:t>
      </w:r>
    </w:p>
    <w:p w14:paraId="7AB9E09B" w14:textId="77777777" w:rsidR="00BF2FC1" w:rsidRDefault="00356619">
      <w:pPr>
        <w:spacing w:after="200" w:line="276" w:lineRule="auto"/>
      </w:pPr>
      <w:r>
        <w:t xml:space="preserve">Criminogenic embeddedness offers a focused mechanism for integrating strain, control, social learning, and life-course criminology. Its central claim is relational: offending risk is shaped not only by adverse experiences, weak bonds, or delinquent associates considered in isolation, but by configurations in which networks intensify strain, narrow conventional alternatives, and actively transmit and reward criminal behavior. This formulation helps explain why similar strains can produce different outcomes, why some turning points fail to generate lasting desistance, and why lingering network configurations can sustain risk even after behavioral change has begun.</w:t>
      </w:r>
    </w:p>
    <w:p w14:paraId="7AB9E09C" w14:textId="77777777" w:rsidR="00BF2FC1" w:rsidRDefault="00356619">
      <w:pPr>
        <w:spacing w:after="200" w:line="276" w:lineRule="auto"/>
      </w:pPr>
      <w:r>
        <w:t>Recent research on the broader network of relationships in desistance (Giordano, 2026), on school transitions as network-altering turning points, on multiplex online–offline criminal ties, and on the reciprocal dynamics of victimization and network expansion supplies both supporting evidence and sharper tests. The CEM should be judged by whether it produces testable gains over existing theories. The most important empirical tests will determine whether network structure adds explanatory power beyond network composition, whether social learning density captures something beyond peer delinquency, whether feedback is genuinely asymmetric, and whether durable changes in conventional network position precede sustained desistance. The CEAS is useful only insofar as it supports those tests and remains subordinate to measurement validation and ethical constraint. The theoretical contribution, therefore, is the mechanism of criminogenic embeddedness—not the premature creation of a new score.</w:t>
      </w:r>
    </w:p>
    <w:p w14:paraId="104349BF" w14:textId="77777777" w:rsidR="00F720A3" w:rsidRPr="00F720A3" w:rsidRDefault="00F720A3" w:rsidP="00F720A3">
      <w:pPr>
        <w:spacing w:after="200" w:line="276" w:lineRule="auto"/>
      </w:pPr>
      <w:r>
        <w:t xml:space="preserve">More broadly, criminogenic embeddedness reframes criminal behavior as a product of relational positioning within evolving social systems. The framework shifts attention from isolated risk factors toward the interplay of network structure, network content, institutional access, and </w:t>
        <w:lastRenderedPageBreak/>
        <w:t>developmental change. In doing so, it extends an ongoing dialogue between criminology and relational sociology, bringing concepts such as embeddedness, brokerage, and multiplexity — long central to sociological analysis — into closer contact with developmental and life-course theory. By emphasizing how social relationships simultaneously shape coping, learning, opportunity, and control, the CEM encourages criminological research to examine pathways rather than variables in isolation. Future scholarship should therefore ask not only whether strain, bonds, or peer influences matter, but how these factors become organized within networks over time. If supported empirically, criminogenic embeddedness may provide a useful bridge connecting developmental criminology, social network analysis, desistance research, and broader sociological theories of social action. Such integration would deepen our understanding of both persistence and change in criminal behavior while opening new directions for research, prevention, and intervention.</w:t>
      </w:r>
    </w:p>
    <w:p w14:paraId="151A4EAA" w14:textId="77777777" w:rsidR="00F720A3" w:rsidRDefault="00F720A3">
      <w:pPr>
        <w:spacing w:after="200" w:line="276" w:lineRule="auto"/>
      </w:pPr>
    </w:p>
    <w:p w14:paraId="7AB9E09D" w14:textId="77777777" w:rsidR="00BF2FC1" w:rsidRDefault="00356619">
      <w:pPr>
        <w:pStyle w:val="Heading1"/>
      </w:pPr>
      <w:r>
        <w:t>References</w:t>
      </w:r>
    </w:p>
    <w:p w14:paraId="7AB9E09E" w14:textId="77777777" w:rsidR="00BF2FC1" w:rsidRDefault="00356619">
      <w:pPr>
        <w:spacing w:after="200" w:line="276" w:lineRule="auto"/>
      </w:pPr>
      <w:r>
        <w:t>Agnew, R. (1992). Foundation for a general strain theory of crime and delinquency. Criminology, 30(1), 47–87.</w:t>
      </w:r>
    </w:p>
    <w:p w14:paraId="7AB9E09F" w14:textId="77777777" w:rsidR="00BF2FC1" w:rsidRDefault="00356619">
      <w:pPr>
        <w:spacing w:after="200" w:line="276" w:lineRule="auto"/>
      </w:pPr>
      <w:r>
        <w:t>Agnew, R. (2001). Building on the foundation of general strain theory. Journal of Research in Crime and Delinquency, 38(4), 319–361.</w:t>
      </w:r>
    </w:p>
    <w:p w14:paraId="7AB9E0A0" w14:textId="77777777" w:rsidR="00BF2FC1" w:rsidRDefault="00356619">
      <w:pPr>
        <w:spacing w:after="200" w:line="276" w:lineRule="auto"/>
      </w:pPr>
      <w:r>
        <w:t>Agnew, R. (2006). Pressured into crime: An overview of general strain theory. Roxbury Publishing.</w:t>
      </w:r>
    </w:p>
    <w:p w14:paraId="7AB9E0A1" w14:textId="77777777" w:rsidR="00BF2FC1" w:rsidRDefault="00356619">
      <w:pPr>
        <w:spacing w:after="200" w:line="276" w:lineRule="auto"/>
      </w:pPr>
      <w:r>
        <w:t>Akers, R. L. (1998). Social learning and social structure: A general theory of crime and deviance. Northeastern University Press.</w:t>
      </w:r>
    </w:p>
    <w:p w14:paraId="7AB9E0A2" w14:textId="77777777" w:rsidR="00BF2FC1" w:rsidRDefault="00356619">
      <w:pPr>
        <w:spacing w:after="200" w:line="276" w:lineRule="auto"/>
      </w:pPr>
      <w:r>
        <w:t>Bao, W. N., Haas, A., Chen, X., &amp; Pi, Y. (2014). Repeated strains, social control, social learning, and delinquency: Testing an integrated model of general strain theory in China. Youth &amp; Society, 46(3), 402–424. https://doi.org/10.1177/0044118X11436189</w:t>
      </w:r>
    </w:p>
    <w:p>
      <w:pPr>
        <w:spacing w:after="200" w:line="276" w:lineRule="auto"/>
      </w:pPr>
      <w:r>
        <w:t xml:space="preserve">Bowen, D. (2026). Criminogenic embeddedness and criminal trajectories: A life-course model of strain, control, and social learning. Independently published. https://doi.org/10.5281/zenodo.21961664</w:t>
      </w:r>
    </w:p>
    <w:p w14:paraId="7AB9E0A3" w14:textId="77777777" w:rsidR="00BF2FC1" w:rsidRDefault="00356619">
      <w:pPr>
        <w:spacing w:after="200" w:line="276" w:lineRule="auto"/>
      </w:pPr>
      <w:r>
        <w:t xml:space="preserve">Chen, X. (2026). Strain, social bonds, deviant peers and aggression among Chinese adolescents: An empirical test and extension of general strain theory. Behavioral Sciences &amp; the Law. Advance online publication. https://doi.org/10.1002/bsl.70062</w:t>
      </w:r>
    </w:p>
    <w:p w14:paraId="7AB9E0A4" w14:textId="77777777" w:rsidR="00BF2FC1" w:rsidRDefault="00356619">
      <w:pPr>
        <w:spacing w:after="200" w:line="276" w:lineRule="auto"/>
      </w:pPr>
      <w:r>
        <w:rPr>
          <w:lang w:val="fr-FR"/>
        </w:rPr>
        <w:t xml:space="preserve">Elliott, D. S., Huizinga, D., &amp; Ageton, S. S. (1985). </w:t>
      </w:r>
      <w:r>
        <w:t>Explaining delinquency and drug use. Sage.</w:t>
      </w:r>
    </w:p>
    <w:p w14:paraId="7AB9E0A5" w14:textId="77777777" w:rsidR="00BF2FC1" w:rsidRDefault="00356619">
      <w:pPr>
        <w:spacing w:after="200" w:line="276" w:lineRule="auto"/>
      </w:pPr>
      <w:r>
        <w:t>Farrington, D. P. (2003). Developmental and life-course criminology. Criminology, 41(2), 221–256.</w:t>
      </w:r>
    </w:p>
    <w:p w14:paraId="512C24A3" w14:textId="77777777" w:rsidR="00BF2FC1" w:rsidRDefault="00356619">
      <w:pPr>
        <w:spacing w:after="200" w:line="276" w:lineRule="auto"/>
      </w:pPr>
      <w:r>
        <w:lastRenderedPageBreak/>
        <w:t>Farrington, D. P. (2005). The integrated cognitive antisocial potential (ICAP) theory. In D. P. Farrington (Ed.), Integrated developmental and life-course theories of offending (pp. 73–92). Transaction.</w:t>
      </w:r>
    </w:p>
    <w:p w14:paraId="7AB9E0A7" w14:textId="77777777" w:rsidR="00BF2FC1" w:rsidRDefault="00356619">
      <w:pPr>
        <w:spacing w:after="200" w:line="276" w:lineRule="auto"/>
      </w:pPr>
      <w:r>
        <w:t>Giordano, P. C., Copp, J. E., Swinehart, M., Manning, W. D., &amp; Longmore, M. A. (2026). The wider network of social relationships and desistance from crime. Criminology. Advance online publication. https://doi.org/10.1111/1745-9125.70057</w:t>
      </w:r>
    </w:p>
    <w:p w14:paraId="7AB9E0A8" w14:textId="77777777" w:rsidR="00BF2FC1" w:rsidRDefault="00356619">
      <w:pPr>
        <w:spacing w:after="200" w:line="276" w:lineRule="auto"/>
      </w:pPr>
      <w:r>
        <w:t>Granovetter, M. (1985). Economic action and social structure: The problem of embeddedness. American Journal of Sociology, 91(3), 481–510.</w:t>
      </w:r>
    </w:p>
    <w:p w14:paraId="7AB9E0A9" w14:textId="77777777" w:rsidR="00BF2FC1" w:rsidRDefault="00356619">
      <w:pPr>
        <w:spacing w:after="200" w:line="276" w:lineRule="auto"/>
      </w:pPr>
      <w:r>
        <w:t>Haynie, D. L. (2001). Delinquent peers revisited: Does network structure matter? American Journal of Sociology, 106(4), 1013–1057.</w:t>
      </w:r>
    </w:p>
    <w:p w14:paraId="7AB9E0AA" w14:textId="77777777" w:rsidR="00BF2FC1" w:rsidRDefault="00356619">
      <w:pPr>
        <w:spacing w:after="200" w:line="276" w:lineRule="auto"/>
      </w:pPr>
      <w:r>
        <w:t>Haynie, D. L., Doogan, N. J., &amp; Soller, B. (2014). Gender, friendship networks, and delinquency: A dynamic network approach. Criminology, 52(4), 688–722. https://doi.org/10.1111/1745-9125.12052</w:t>
      </w:r>
    </w:p>
    <w:p w14:paraId="7AB9E0AB" w14:textId="77777777" w:rsidR="00BF2FC1" w:rsidRDefault="00356619">
      <w:pPr>
        <w:spacing w:after="200" w:line="276" w:lineRule="auto"/>
      </w:pPr>
      <w:r>
        <w:t>Hirschi, T. (1969). Causes of delinquency. University of California Press.</w:t>
      </w:r>
    </w:p>
    <w:p w14:paraId="7AB9E0AC" w14:textId="77777777" w:rsidR="00BF2FC1" w:rsidRDefault="00356619">
      <w:pPr>
        <w:spacing w:after="200" w:line="276" w:lineRule="auto"/>
      </w:pPr>
      <w:r>
        <w:rPr>
          <w:lang w:val="pt-BR"/>
        </w:rPr>
        <w:t xml:space="preserve">Hsiao, Y., Leverso, J., &amp; Papachristos, A. V. (2023). </w:t>
      </w:r>
      <w:r>
        <w:t>The corner, the crew, and the digital street: Multiplex networks of gang online-offline conflict dynamics in the digital age. American Sociological Review, 88(4), 709–741.</w:t>
      </w:r>
    </w:p>
    <w:p w14:paraId="7AB9E0AD" w14:textId="77777777" w:rsidR="00BF2FC1" w:rsidRDefault="00356619">
      <w:pPr>
        <w:spacing w:after="200" w:line="276" w:lineRule="auto"/>
      </w:pPr>
      <w:r>
        <w:t>Laub, J. H., &amp; Sampson, R. J. (2003). Shared beginnings, divergent lives: Delinquent boys to age 70. Harvard University Press.</w:t>
      </w:r>
    </w:p>
    <w:p w14:paraId="7AB9E0AE" w14:textId="77777777" w:rsidR="00BF2FC1" w:rsidRDefault="00356619">
      <w:pPr>
        <w:spacing w:after="200" w:line="276" w:lineRule="auto"/>
      </w:pPr>
      <w:r>
        <w:t xml:space="preserve">Martí, J., Albani, E., Ibàñez, A., &amp; Cid, J. (2021). Personal networks and desistance from crime in young offenders. European Journal of Criminology, 18(2), 235–253. https://doi.org/10.1177/1477370819842207</w:t>
      </w:r>
    </w:p>
    <w:p w14:paraId="2586701C" w14:textId="77777777" w:rsidR="00BF2FC1" w:rsidRDefault="00356619">
      <w:pPr>
        <w:spacing w:after="200" w:line="276" w:lineRule="auto"/>
      </w:pPr>
      <w:r>
        <w:t>McMillan, C., &amp; Freelin, B. N. (2023). School transitions, peer processes, and delinquency: A social network approach to turning points in adolescence. Journal of Research in Crime and Delinquency, 61(5), 689–726. https://doi.org/10.1177/00224278231167841</w:t>
      </w:r>
    </w:p>
    <w:p w14:paraId="7AB9E0AF" w14:textId="77777777" w:rsidR="00BF2FC1" w:rsidRDefault="00356619">
      <w:pPr>
        <w:spacing w:after="200" w:line="276" w:lineRule="auto"/>
      </w:pPr>
      <w:r>
        <w:t>Moffitt, T. E. (1993). Adolescence-limited and life-course-persistent antisocial behavior: A developmental taxonomy. Psychological Review, 100(4), 674–701.</w:t>
      </w:r>
    </w:p>
    <w:p w14:paraId="7AB9E0B0" w14:textId="77777777" w:rsidR="00BF2FC1" w:rsidRDefault="00356619">
      <w:pPr>
        <w:spacing w:after="200" w:line="276" w:lineRule="auto"/>
      </w:pPr>
      <w:r>
        <w:t>Odgers, C. L., Moffitt, T. E., Broadbent, J. M., Dickson, N., Hancox, R. J., Harrington, H., Poulton, R., Sears, M. R., Thomson, W. M., &amp; Caspi, A. (2008). Female and male antisocial trajectories: From childhood origins to adult outcomes. Development and Psychopathology, 20(2), 673–716. https://doi.org/10.1017/S0954579408000333</w:t>
      </w:r>
    </w:p>
    <w:p w14:paraId="7AB9E0B1" w14:textId="77777777" w:rsidR="00BF2FC1" w:rsidRDefault="00356619">
      <w:pPr>
        <w:spacing w:after="200" w:line="276" w:lineRule="auto"/>
      </w:pPr>
      <w:r>
        <w:t>Papachristos, A. V. (2011). The coming of a networked criminology? In J. MacDonald (Ed.), Measuring crime and criminality (Vol. 17, pp. 101–140). Transaction.</w:t>
      </w:r>
    </w:p>
    <w:p w14:paraId="7AB9E0B2" w14:textId="77777777" w:rsidR="00BF2FC1" w:rsidRDefault="00356619">
      <w:pPr>
        <w:spacing w:after="200" w:line="276" w:lineRule="auto"/>
      </w:pPr>
      <w:r>
        <w:lastRenderedPageBreak/>
        <w:t>Piquero, A. R. (2008). Taking stock of developmental trajectories of criminal activity over the life course. In A. M. Liberman (Ed.), The long view of crime (pp. 23–78). Springer.</w:t>
      </w:r>
    </w:p>
    <w:p w14:paraId="7AB9E0B3" w14:textId="77777777" w:rsidR="00BF2FC1" w:rsidRDefault="00356619">
      <w:pPr>
        <w:spacing w:after="200" w:line="276" w:lineRule="auto"/>
      </w:pPr>
      <w:r>
        <w:t>Sampson, R. J., &amp; Laub, J. H. (1993). Crime in the making: Pathways and turning points through life. Harvard University Press.</w:t>
      </w:r>
    </w:p>
    <w:p w14:paraId="7AB9E0B4" w14:textId="77777777" w:rsidR="00BF2FC1" w:rsidRDefault="00356619">
      <w:pPr>
        <w:spacing w:after="200" w:line="276" w:lineRule="auto"/>
      </w:pPr>
      <w:r>
        <w:t>Sutherland, E. H. (1947). Principles of criminology (4th ed.). Lippincott.</w:t>
      </w:r>
    </w:p>
    <w:p w14:paraId="7AB9E0B5" w14:textId="77777777" w:rsidR="00BF2FC1" w:rsidRDefault="00356619">
      <w:pPr>
        <w:spacing w:after="200" w:line="276" w:lineRule="auto"/>
      </w:pPr>
      <w:r>
        <w:t>Thornberry, T. P., &amp; Krohn, M. D. (2005). Applying interactional theory to the explanation of continuity and change in antisocial behavior. In D. P. Farrington (Ed.), Integrated developmental and life-course theories of offending (pp. 183–209). Transaction.</w:t>
      </w:r>
    </w:p>
    <w:p w14:paraId="7AB9E0B6" w14:textId="77777777" w:rsidR="00BF2FC1" w:rsidRDefault="00356619">
      <w:pPr>
        <w:spacing w:after="200" w:line="276" w:lineRule="auto"/>
      </w:pPr>
      <w:r>
        <w:t>Weerman, F. M. (2011). Delinquent peers in context: A longitudinal network analysis of selection and influence effects. Criminology, 49(1), 253–286.</w:t>
      </w:r>
    </w:p>
    <w:p w14:paraId="7AB9E0C3" w14:textId="65DF6F53" w:rsidR="00BF2FC1" w:rsidRDefault="00BF2FC1">
      <w:pPr>
        <w:spacing w:after="200" w:line="276" w:lineRule="auto"/>
      </w:pPr>
    </w:p>
    <w:sectPr w:rsidR="00BF2FC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3E85C" w14:textId="77777777" w:rsidR="00603EDC" w:rsidRDefault="00603EDC">
      <w:r>
        <w:separator/>
      </w:r>
    </w:p>
  </w:endnote>
  <w:endnote w:type="continuationSeparator" w:id="0">
    <w:p w14:paraId="3CD9ED3F" w14:textId="77777777" w:rsidR="00603EDC" w:rsidRDefault="00603E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9E0C5" w14:textId="223FB600" w:rsidR="00BF2FC1" w:rsidRDefault="00356619">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1769E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38186" w14:textId="77777777" w:rsidR="00603EDC" w:rsidRDefault="00603EDC">
      <w:r>
        <w:separator/>
      </w:r>
    </w:p>
  </w:footnote>
  <w:footnote w:type="continuationSeparator" w:id="0">
    <w:p w14:paraId="6C6D96D7" w14:textId="77777777" w:rsidR="00603EDC" w:rsidRDefault="00603EDC">
      <w:r>
        <w:continuationSeparator/>
      </w:r>
    </w:p>
  </w:footnote>
  <w:footnote w:id="1">
    <w:p w14:paraId="10000101" w14:textId="77777777" w:rsidR="00BF2FC1" w:rsidRDefault="00356619">
      <w:pPr>
        <w:pStyle w:val="FootnoteText"/>
      </w:pPr>
      <w:r>
        <w:rPr>
          <w:rStyle w:val="FootnoteReference"/>
        </w:rPr>
        <w:footnoteRef/>
      </w:r>
      <w:r>
        <w:t xml:space="preserve"> The abbreviation CEM is used here for the Criminogenic Embeddedness Model only and is unrelated to other uses of this acronym in adjacent literatures (for example, coarsened exact matching in causal inference or cognitive-emotional models in psychology); no connection to those usages is intended.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9E0C4" w14:textId="77777777" w:rsidR="00BF2FC1" w:rsidRDefault="00356619">
    <w:r>
      <w:rPr>
        <w:i/>
        <w:iCs/>
        <w:color w:val="666666"/>
        <w:sz w:val="18"/>
        <w:szCs w:val="18"/>
      </w:rPr>
      <w:t>Criminogenic Embeddedness (</w:t>
    </w:r>
    <w:proofErr w:type="gramStart"/>
    <w:r>
      <w:rPr>
        <w:i/>
        <w:iCs/>
        <w:color w:val="666666"/>
        <w:sz w:val="18"/>
        <w:szCs w:val="18"/>
      </w:rPr>
      <w:t>CEM) —</w:t>
    </w:r>
    <w:proofErr w:type="gramEnd"/>
    <w:r>
      <w:rPr>
        <w:i/>
        <w:iCs/>
        <w:color w:val="666666"/>
        <w:sz w:val="18"/>
        <w:szCs w:val="18"/>
      </w:rPr>
      <w:t xml:space="preserve"> Preprint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B0349"/>
    <w:multiLevelType w:val="multilevel"/>
    <w:tmpl w:val="78E0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A7D72"/>
    <w:multiLevelType w:val="multilevel"/>
    <w:tmpl w:val="C79EA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174FD6"/>
    <w:multiLevelType w:val="multilevel"/>
    <w:tmpl w:val="1156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3C4664"/>
    <w:multiLevelType w:val="multilevel"/>
    <w:tmpl w:val="59C8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AF0166"/>
    <w:multiLevelType w:val="hybridMultilevel"/>
    <w:tmpl w:val="CDC22E9C"/>
    <w:lvl w:ilvl="0" w:tplc="75D86B58">
      <w:start w:val="1"/>
      <w:numFmt w:val="bullet"/>
      <w:lvlText w:val="•"/>
      <w:lvlJc w:val="left"/>
      <w:pPr>
        <w:ind w:left="720" w:hanging="360"/>
      </w:pPr>
    </w:lvl>
    <w:lvl w:ilvl="1" w:tplc="6B806D78">
      <w:numFmt w:val="decimal"/>
      <w:lvlText w:val=""/>
      <w:lvlJc w:val="left"/>
    </w:lvl>
    <w:lvl w:ilvl="2" w:tplc="FAA4F5D8">
      <w:numFmt w:val="decimal"/>
      <w:lvlText w:val=""/>
      <w:lvlJc w:val="left"/>
    </w:lvl>
    <w:lvl w:ilvl="3" w:tplc="E44CC468">
      <w:numFmt w:val="decimal"/>
      <w:lvlText w:val=""/>
      <w:lvlJc w:val="left"/>
    </w:lvl>
    <w:lvl w:ilvl="4" w:tplc="643A86CC">
      <w:numFmt w:val="decimal"/>
      <w:lvlText w:val=""/>
      <w:lvlJc w:val="left"/>
    </w:lvl>
    <w:lvl w:ilvl="5" w:tplc="AE0A2CBC">
      <w:numFmt w:val="decimal"/>
      <w:lvlText w:val=""/>
      <w:lvlJc w:val="left"/>
    </w:lvl>
    <w:lvl w:ilvl="6" w:tplc="80002568">
      <w:numFmt w:val="decimal"/>
      <w:lvlText w:val=""/>
      <w:lvlJc w:val="left"/>
    </w:lvl>
    <w:lvl w:ilvl="7" w:tplc="6B260F28">
      <w:numFmt w:val="decimal"/>
      <w:lvlText w:val=""/>
      <w:lvlJc w:val="left"/>
    </w:lvl>
    <w:lvl w:ilvl="8" w:tplc="C5CCBD4A">
      <w:numFmt w:val="decimal"/>
      <w:lvlText w:val=""/>
      <w:lvlJc w:val="left"/>
    </w:lvl>
  </w:abstractNum>
  <w:abstractNum w:abstractNumId="5" w15:restartNumberingAfterBreak="0">
    <w:nsid w:val="31E71F50"/>
    <w:multiLevelType w:val="multilevel"/>
    <w:tmpl w:val="11A8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D56F8F"/>
    <w:multiLevelType w:val="hybridMultilevel"/>
    <w:tmpl w:val="5B2ADEB6"/>
    <w:lvl w:ilvl="0" w:tplc="67D27C5A">
      <w:start w:val="1"/>
      <w:numFmt w:val="bullet"/>
      <w:lvlText w:val="●"/>
      <w:lvlJc w:val="left"/>
      <w:pPr>
        <w:ind w:left="720" w:hanging="360"/>
      </w:pPr>
    </w:lvl>
    <w:lvl w:ilvl="1" w:tplc="27D8116E">
      <w:start w:val="1"/>
      <w:numFmt w:val="bullet"/>
      <w:lvlText w:val="○"/>
      <w:lvlJc w:val="left"/>
      <w:pPr>
        <w:ind w:left="1440" w:hanging="360"/>
      </w:pPr>
    </w:lvl>
    <w:lvl w:ilvl="2" w:tplc="11F40616">
      <w:start w:val="1"/>
      <w:numFmt w:val="bullet"/>
      <w:lvlText w:val="■"/>
      <w:lvlJc w:val="left"/>
      <w:pPr>
        <w:ind w:left="2160" w:hanging="360"/>
      </w:pPr>
    </w:lvl>
    <w:lvl w:ilvl="3" w:tplc="D1F8D0AA">
      <w:start w:val="1"/>
      <w:numFmt w:val="bullet"/>
      <w:lvlText w:val="●"/>
      <w:lvlJc w:val="left"/>
      <w:pPr>
        <w:ind w:left="2880" w:hanging="360"/>
      </w:pPr>
    </w:lvl>
    <w:lvl w:ilvl="4" w:tplc="82300DD0">
      <w:start w:val="1"/>
      <w:numFmt w:val="bullet"/>
      <w:lvlText w:val="○"/>
      <w:lvlJc w:val="left"/>
      <w:pPr>
        <w:ind w:left="3600" w:hanging="360"/>
      </w:pPr>
    </w:lvl>
    <w:lvl w:ilvl="5" w:tplc="659C6CD0">
      <w:start w:val="1"/>
      <w:numFmt w:val="bullet"/>
      <w:lvlText w:val="■"/>
      <w:lvlJc w:val="left"/>
      <w:pPr>
        <w:ind w:left="4320" w:hanging="360"/>
      </w:pPr>
    </w:lvl>
    <w:lvl w:ilvl="6" w:tplc="C85AD44A">
      <w:start w:val="1"/>
      <w:numFmt w:val="bullet"/>
      <w:lvlText w:val="●"/>
      <w:lvlJc w:val="left"/>
      <w:pPr>
        <w:ind w:left="5040" w:hanging="360"/>
      </w:pPr>
    </w:lvl>
    <w:lvl w:ilvl="7" w:tplc="A0DE0CE0">
      <w:start w:val="1"/>
      <w:numFmt w:val="bullet"/>
      <w:lvlText w:val="●"/>
      <w:lvlJc w:val="left"/>
      <w:pPr>
        <w:ind w:left="5760" w:hanging="360"/>
      </w:pPr>
    </w:lvl>
    <w:lvl w:ilvl="8" w:tplc="49548EBC">
      <w:start w:val="1"/>
      <w:numFmt w:val="bullet"/>
      <w:lvlText w:val="●"/>
      <w:lvlJc w:val="left"/>
      <w:pPr>
        <w:ind w:left="6480" w:hanging="360"/>
      </w:pPr>
    </w:lvl>
  </w:abstractNum>
  <w:abstractNum w:abstractNumId="7" w15:restartNumberingAfterBreak="0">
    <w:nsid w:val="57D37451"/>
    <w:multiLevelType w:val="multilevel"/>
    <w:tmpl w:val="4208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221971"/>
    <w:multiLevelType w:val="multilevel"/>
    <w:tmpl w:val="6E28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680A1A"/>
    <w:multiLevelType w:val="multilevel"/>
    <w:tmpl w:val="4C9EA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B179AE"/>
    <w:multiLevelType w:val="multilevel"/>
    <w:tmpl w:val="9BFE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8340930">
    <w:abstractNumId w:val="6"/>
    <w:lvlOverride w:ilvl="0">
      <w:startOverride w:val="1"/>
    </w:lvlOverride>
  </w:num>
  <w:num w:numId="2" w16cid:durableId="1148939649">
    <w:abstractNumId w:val="8"/>
  </w:num>
  <w:num w:numId="3" w16cid:durableId="1654214019">
    <w:abstractNumId w:val="3"/>
  </w:num>
  <w:num w:numId="4" w16cid:durableId="1829057682">
    <w:abstractNumId w:val="7"/>
  </w:num>
  <w:num w:numId="5" w16cid:durableId="1369915175">
    <w:abstractNumId w:val="1"/>
  </w:num>
  <w:num w:numId="6" w16cid:durableId="278531889">
    <w:abstractNumId w:val="9"/>
  </w:num>
  <w:num w:numId="7" w16cid:durableId="1478182714">
    <w:abstractNumId w:val="2"/>
  </w:num>
  <w:num w:numId="8" w16cid:durableId="518664079">
    <w:abstractNumId w:val="0"/>
  </w:num>
  <w:num w:numId="9" w16cid:durableId="1461609901">
    <w:abstractNumId w:val="5"/>
  </w:num>
  <w:num w:numId="10" w16cid:durableId="20808991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FC1"/>
    <w:rsid w:val="00100339"/>
    <w:rsid w:val="0010298C"/>
    <w:rsid w:val="001769EE"/>
    <w:rsid w:val="001B5A23"/>
    <w:rsid w:val="00286B1F"/>
    <w:rsid w:val="00297DD7"/>
    <w:rsid w:val="002E4262"/>
    <w:rsid w:val="00356619"/>
    <w:rsid w:val="005D359F"/>
    <w:rsid w:val="00603EDC"/>
    <w:rsid w:val="00682AAA"/>
    <w:rsid w:val="0071359A"/>
    <w:rsid w:val="00713CD9"/>
    <w:rsid w:val="0075693A"/>
    <w:rsid w:val="007D38E2"/>
    <w:rsid w:val="007F13C1"/>
    <w:rsid w:val="00837DE4"/>
    <w:rsid w:val="008D2FC4"/>
    <w:rsid w:val="00A17DD3"/>
    <w:rsid w:val="00B5287D"/>
    <w:rsid w:val="00B75BDD"/>
    <w:rsid w:val="00B77FB1"/>
    <w:rsid w:val="00BA5EDA"/>
    <w:rsid w:val="00BF2FC1"/>
    <w:rsid w:val="00E8207C"/>
    <w:rsid w:val="00F16089"/>
    <w:rsid w:val="00F720A3"/>
    <w:rsid w:val="00FA7B95"/>
    <w:rsid w:val="00FE6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9E010"/>
  <w15:docId w15:val="{49965EEB-5D2A-4DF3-AA62-3A0C63E8B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28"/>
      <w:szCs w:val="28"/>
    </w:rPr>
  </w:style>
  <w:style w:type="paragraph" w:styleId="Heading2">
    <w:name w:val="heading 2"/>
    <w:uiPriority w:val="9"/>
    <w:unhideWhenUsed/>
    <w:qFormat/>
    <w:pPr>
      <w:spacing w:before="280" w:after="180"/>
      <w:outlineLvl w:val="1"/>
    </w:pPr>
    <w:rPr>
      <w:b/>
      <w:bCs/>
      <w:sz w:val="26"/>
      <w:szCs w:val="26"/>
    </w:rPr>
  </w:style>
  <w:style w:type="paragraph" w:styleId="Heading3">
    <w:name w:val="heading 3"/>
    <w:uiPriority w:val="9"/>
    <w:semiHidden/>
    <w:unhideWhenUsed/>
    <w:qFormat/>
    <w:pPr>
      <w:spacing w:before="240" w:after="16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135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Relationships xmlns="http://schemas.openxmlformats.org/package/2006/relationships"><Relationship Id="rId1" Target="numbering.xml" Type="http://schemas.openxmlformats.org/officeDocument/2006/relationships/numbering"/><Relationship Id="rId10"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eader1.xml" Type="http://schemas.openxmlformats.org/officeDocument/2006/relationships/header"/><Relationship Id="rId8" Target="footer1.xml" Type="http://schemas.openxmlformats.org/officeDocument/2006/relationships/foot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9968</Words>
  <Characters>56824</Characters>
  <Application>Microsoft Office Word</Application>
  <DocSecurity>0</DocSecurity>
  <Lines>473</Lines>
  <Paragraphs>133</Paragraphs>
  <ScaleCrop>false</ScaleCrop>
  <Company/>
  <LinksUpToDate>false</LinksUpToDate>
  <CharactersWithSpaces>66659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2026-08-17T12:34:00Z</dcterms:created>
  <dcterms:modified xsi:type="dcterms:W3CDTF">2026-08-17T12:34:00Z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919b123a-eb99-4dd3-b1cd-3af1982cb3ea</vt:lpwstr>
  </property>
</Properties>
</file>