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A72986" w14:textId="77777777" w:rsidR="00C405A9" w:rsidRDefault="00C405A9" w:rsidP="00C405A9">
      <w:r>
        <w:t>To:</w:t>
      </w:r>
      <w:r>
        <w:tab/>
      </w:r>
      <w:r>
        <w:tab/>
        <w:t>Kevin Willens</w:t>
      </w:r>
    </w:p>
    <w:p w14:paraId="27F0AEE1" w14:textId="77777777" w:rsidR="00C405A9" w:rsidRDefault="00C405A9" w:rsidP="00C405A9">
      <w:r>
        <w:t>From:</w:t>
      </w:r>
      <w:r>
        <w:tab/>
      </w:r>
      <w:r>
        <w:tab/>
        <w:t>Don Boyd</w:t>
      </w:r>
    </w:p>
    <w:p w14:paraId="5771C63B" w14:textId="35C55B5F" w:rsidR="00C405A9" w:rsidRDefault="00C405A9" w:rsidP="00C405A9">
      <w:r>
        <w:t xml:space="preserve">Date: </w:t>
      </w:r>
      <w:r>
        <w:tab/>
      </w:r>
      <w:r>
        <w:tab/>
        <w:t>December 1</w:t>
      </w:r>
      <w:r w:rsidR="006D70A1">
        <w:t>7</w:t>
      </w:r>
      <w:r>
        <w:t>, 2024</w:t>
      </w:r>
    </w:p>
    <w:p w14:paraId="42CE9844" w14:textId="48C7C03F" w:rsidR="00C405A9" w:rsidRDefault="00C405A9" w:rsidP="00C405A9">
      <w:pPr>
        <w:pBdr>
          <w:bottom w:val="single" w:sz="12" w:space="1" w:color="auto"/>
        </w:pBdr>
      </w:pPr>
      <w:r>
        <w:t xml:space="preserve">Subject: </w:t>
      </w:r>
      <w:r>
        <w:tab/>
      </w:r>
      <w:r w:rsidR="003976CC">
        <w:t>Studies on w</w:t>
      </w:r>
      <w:r w:rsidR="00F5151F">
        <w:t xml:space="preserve">here </w:t>
      </w:r>
      <w:r w:rsidR="003976CC">
        <w:t xml:space="preserve">federal, state, and MTA </w:t>
      </w:r>
      <w:r w:rsidR="00F5151F">
        <w:t>revenue comes from and goes</w:t>
      </w:r>
      <w:r w:rsidR="003976CC">
        <w:t xml:space="preserve"> to</w:t>
      </w:r>
    </w:p>
    <w:p w14:paraId="0AB44E29" w14:textId="77777777" w:rsidR="00C405A9" w:rsidRDefault="00C405A9" w:rsidP="00C405A9"/>
    <w:p w14:paraId="7B04D327" w14:textId="09A71FED" w:rsidR="00F5151F" w:rsidRDefault="000B5F38" w:rsidP="003321BA">
      <w:r>
        <w:t xml:space="preserve">You asked for </w:t>
      </w:r>
      <w:r w:rsidR="003321BA">
        <w:t xml:space="preserve">past </w:t>
      </w:r>
      <w:r>
        <w:t xml:space="preserve">analyses of </w:t>
      </w:r>
      <w:r w:rsidR="00F5151F">
        <w:t>(1) where the federal budget comes from and where it goes to, by state, (2) where the state budget comes from and where it goes to, by county or region, and (3) where the MTA budget comes from and where it goes to, by county.</w:t>
      </w:r>
    </w:p>
    <w:p w14:paraId="668DC2BE" w14:textId="11D23A60" w:rsidR="00BD6386" w:rsidRDefault="003321BA" w:rsidP="003321BA">
      <w:r>
        <w:t xml:space="preserve">The table below summarizes and provides links </w:t>
      </w:r>
      <w:r w:rsidR="00140A82">
        <w:t xml:space="preserve">(where available) </w:t>
      </w:r>
      <w:r>
        <w:t>for the most recent versions of each kind that I have found. I attach the reports as well.</w:t>
      </w:r>
    </w:p>
    <w:p w14:paraId="7709460F" w14:textId="491D02A3" w:rsidR="003321BA" w:rsidRDefault="003321BA" w:rsidP="003321BA">
      <w:r>
        <w:t xml:space="preserve">I </w:t>
      </w:r>
      <w:r w:rsidR="00140A82">
        <w:t>offer</w:t>
      </w:r>
      <w:r>
        <w:t xml:space="preserve"> </w:t>
      </w:r>
      <w:proofErr w:type="gramStart"/>
      <w:r>
        <w:t>a few</w:t>
      </w:r>
      <w:proofErr w:type="gramEnd"/>
      <w:r>
        <w:t xml:space="preserve"> comments after the table.</w:t>
      </w:r>
    </w:p>
    <w:p w14:paraId="1784B4C8" w14:textId="6026F919" w:rsidR="003321BA" w:rsidRDefault="003321BA" w:rsidP="003321BA">
      <w:r>
        <w:t>In the interest of speed and given that you</w:t>
      </w:r>
      <w:r w:rsidR="00453F07">
        <w:t>r inner nerd</w:t>
      </w:r>
      <w:r>
        <w:t xml:space="preserve"> plan</w:t>
      </w:r>
      <w:r w:rsidR="00453F07">
        <w:t>s</w:t>
      </w:r>
      <w:r>
        <w:t xml:space="preserve"> to read the reports, I have not summarized or compared methodologies but can if you want.</w:t>
      </w:r>
    </w:p>
    <w:p w14:paraId="1F2F090F" w14:textId="77777777" w:rsidR="000B5F38" w:rsidRDefault="000B5F38" w:rsidP="00C405A9"/>
    <w:p w14:paraId="5CC10341" w14:textId="77777777" w:rsidR="006D70A1" w:rsidRDefault="006D70A1" w:rsidP="00F5151F">
      <w:pPr>
        <w:pStyle w:val="Heading1"/>
        <w:sectPr w:rsidR="006D70A1">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docGrid w:linePitch="360"/>
        </w:sectPr>
      </w:pPr>
    </w:p>
    <w:p w14:paraId="746E3E3E" w14:textId="3DAFCB46" w:rsidR="00F5151F" w:rsidRDefault="00DD28E0" w:rsidP="00F5151F">
      <w:pPr>
        <w:pStyle w:val="Heading1"/>
      </w:pPr>
      <w:r>
        <w:lastRenderedPageBreak/>
        <w:t>Summary</w:t>
      </w:r>
    </w:p>
    <w:tbl>
      <w:tblPr>
        <w:tblStyle w:val="TableGrid"/>
        <w:tblW w:w="11250" w:type="dxa"/>
        <w:tblInd w:w="-185" w:type="dxa"/>
        <w:tblLook w:val="04A0" w:firstRow="1" w:lastRow="0" w:firstColumn="1" w:lastColumn="0" w:noHBand="0" w:noVBand="1"/>
      </w:tblPr>
      <w:tblGrid>
        <w:gridCol w:w="3330"/>
        <w:gridCol w:w="1170"/>
        <w:gridCol w:w="3241"/>
        <w:gridCol w:w="3509"/>
      </w:tblGrid>
      <w:tr w:rsidR="00020E02" w14:paraId="16CCD20C" w14:textId="77777777" w:rsidTr="004949DC">
        <w:trPr>
          <w:cantSplit/>
          <w:tblHeader/>
        </w:trPr>
        <w:tc>
          <w:tcPr>
            <w:tcW w:w="3330" w:type="dxa"/>
            <w:vAlign w:val="bottom"/>
          </w:tcPr>
          <w:p w14:paraId="5FC4F544" w14:textId="71307368" w:rsidR="00020E02" w:rsidRPr="00DD28E0" w:rsidRDefault="00020E02" w:rsidP="000C5E2C">
            <w:pPr>
              <w:rPr>
                <w:b/>
                <w:bCs/>
              </w:rPr>
            </w:pPr>
            <w:r w:rsidRPr="00DD28E0">
              <w:rPr>
                <w:b/>
                <w:bCs/>
              </w:rPr>
              <w:t>Analyses</w:t>
            </w:r>
          </w:p>
        </w:tc>
        <w:tc>
          <w:tcPr>
            <w:tcW w:w="1170" w:type="dxa"/>
            <w:vAlign w:val="bottom"/>
          </w:tcPr>
          <w:p w14:paraId="22022312" w14:textId="03A1FE98" w:rsidR="00020E02" w:rsidRPr="00DD28E0" w:rsidRDefault="00020E02" w:rsidP="000C5E2C">
            <w:pPr>
              <w:rPr>
                <w:b/>
                <w:bCs/>
              </w:rPr>
            </w:pPr>
            <w:r w:rsidRPr="00DD28E0">
              <w:rPr>
                <w:b/>
                <w:bCs/>
              </w:rPr>
              <w:t>Budget period</w:t>
            </w:r>
          </w:p>
        </w:tc>
        <w:tc>
          <w:tcPr>
            <w:tcW w:w="3241" w:type="dxa"/>
            <w:vAlign w:val="bottom"/>
          </w:tcPr>
          <w:p w14:paraId="47083C8F" w14:textId="31EDBEFD" w:rsidR="00020E02" w:rsidRPr="00DD28E0" w:rsidRDefault="00020E02" w:rsidP="000C5E2C">
            <w:pPr>
              <w:rPr>
                <w:b/>
                <w:bCs/>
              </w:rPr>
            </w:pPr>
            <w:r w:rsidRPr="00DD28E0">
              <w:rPr>
                <w:b/>
                <w:bCs/>
              </w:rPr>
              <w:t>Key conclusion</w:t>
            </w:r>
            <w:r>
              <w:rPr>
                <w:b/>
                <w:bCs/>
              </w:rPr>
              <w:t>s</w:t>
            </w:r>
          </w:p>
        </w:tc>
        <w:tc>
          <w:tcPr>
            <w:tcW w:w="3509" w:type="dxa"/>
            <w:vAlign w:val="bottom"/>
          </w:tcPr>
          <w:p w14:paraId="2C676CFC" w14:textId="5BE2322E" w:rsidR="00020E02" w:rsidRPr="000C5E2C" w:rsidRDefault="00020E02" w:rsidP="000C5E2C">
            <w:pPr>
              <w:rPr>
                <w:b/>
                <w:bCs/>
              </w:rPr>
            </w:pPr>
            <w:r w:rsidRPr="000C5E2C">
              <w:rPr>
                <w:b/>
                <w:bCs/>
              </w:rPr>
              <w:t>Comments</w:t>
            </w:r>
          </w:p>
        </w:tc>
      </w:tr>
      <w:tr w:rsidR="006D70A1" w14:paraId="0CF223C8" w14:textId="77777777" w:rsidTr="004949DC">
        <w:tc>
          <w:tcPr>
            <w:tcW w:w="11250" w:type="dxa"/>
            <w:gridSpan w:val="4"/>
          </w:tcPr>
          <w:p w14:paraId="15CA4CD4" w14:textId="43E10B31" w:rsidR="006D70A1" w:rsidRPr="00DD28E0" w:rsidRDefault="006D70A1" w:rsidP="006D70A1">
            <w:pPr>
              <w:rPr>
                <w:b/>
                <w:bCs/>
              </w:rPr>
            </w:pPr>
            <w:r w:rsidRPr="00DD28E0">
              <w:rPr>
                <w:b/>
                <w:bCs/>
              </w:rPr>
              <w:t>Federal budget and the states</w:t>
            </w:r>
          </w:p>
        </w:tc>
      </w:tr>
      <w:tr w:rsidR="00020E02" w14:paraId="69D9D051" w14:textId="77777777" w:rsidTr="004949DC">
        <w:tc>
          <w:tcPr>
            <w:tcW w:w="3330" w:type="dxa"/>
          </w:tcPr>
          <w:p w14:paraId="61A692E1" w14:textId="4E5DA7F1" w:rsidR="00020E02" w:rsidRDefault="00020E02" w:rsidP="006D70A1">
            <w:r w:rsidRPr="00711609">
              <w:t xml:space="preserve">Holland, </w:t>
            </w:r>
            <w:proofErr w:type="gramStart"/>
            <w:r w:rsidRPr="00711609">
              <w:t>Lynn</w:t>
            </w:r>
            <w:proofErr w:type="gramEnd"/>
            <w:r w:rsidRPr="00711609">
              <w:t xml:space="preserve"> and Patrick Schumacher. “</w:t>
            </w:r>
            <w:hyperlink r:id="rId14" w:history="1">
              <w:r w:rsidRPr="00711609">
                <w:rPr>
                  <w:rStyle w:val="Hyperlink"/>
                </w:rPr>
                <w:t>Giving or Getting? New York’s Balance of Payments with the Federal Government, 2024 Report.</w:t>
              </w:r>
            </w:hyperlink>
            <w:r w:rsidRPr="00711609">
              <w:t>” Rockefeller Institute of Government, July 2024.</w:t>
            </w:r>
          </w:p>
          <w:p w14:paraId="43028385" w14:textId="13589645" w:rsidR="00020E02" w:rsidRDefault="00020E02" w:rsidP="006D70A1"/>
        </w:tc>
        <w:tc>
          <w:tcPr>
            <w:tcW w:w="1170" w:type="dxa"/>
          </w:tcPr>
          <w:p w14:paraId="527C4CDF" w14:textId="05053E3B" w:rsidR="00020E02" w:rsidRDefault="00020E02" w:rsidP="006D70A1">
            <w:r>
              <w:t>FFY 2022</w:t>
            </w:r>
          </w:p>
        </w:tc>
        <w:tc>
          <w:tcPr>
            <w:tcW w:w="3241" w:type="dxa"/>
          </w:tcPr>
          <w:p w14:paraId="2BE094FD" w14:textId="77777777" w:rsidR="000027B7" w:rsidRDefault="00020E02" w:rsidP="006D70A1">
            <w:r>
              <w:t xml:space="preserve">NY </w:t>
            </w:r>
            <w:r w:rsidRPr="00711609">
              <w:t xml:space="preserve">net </w:t>
            </w:r>
            <w:r w:rsidRPr="00020E02">
              <w:rPr>
                <w:b/>
                <w:bCs/>
              </w:rPr>
              <w:t>negative</w:t>
            </w:r>
            <w:r w:rsidRPr="00711609">
              <w:t xml:space="preserve"> </w:t>
            </w:r>
            <w:r>
              <w:t xml:space="preserve">$19.4b </w:t>
            </w:r>
            <w:r w:rsidRPr="00711609">
              <w:t>balance of payments</w:t>
            </w:r>
            <w:r>
              <w:t>, 5</w:t>
            </w:r>
            <w:r w:rsidRPr="00711609">
              <w:rPr>
                <w:vertAlign w:val="superscript"/>
              </w:rPr>
              <w:t>th</w:t>
            </w:r>
            <w:r>
              <w:t xml:space="preserve"> worst in nation</w:t>
            </w:r>
            <w:r w:rsidR="000027B7">
              <w:t>.</w:t>
            </w:r>
          </w:p>
          <w:p w14:paraId="323301C7" w14:textId="77777777" w:rsidR="000027B7" w:rsidRDefault="000027B7" w:rsidP="006D70A1"/>
          <w:p w14:paraId="059DF2C3" w14:textId="1CBB735E" w:rsidR="00020E02" w:rsidRDefault="003463D1" w:rsidP="006D70A1">
            <w:r w:rsidRPr="003463D1">
              <w:t>NY had positive balance in 2020 and 2021 due to COVID relief.</w:t>
            </w:r>
          </w:p>
        </w:tc>
        <w:tc>
          <w:tcPr>
            <w:tcW w:w="3509" w:type="dxa"/>
          </w:tcPr>
          <w:p w14:paraId="256BACF6" w14:textId="77777777" w:rsidR="00020E02" w:rsidRDefault="00020E02" w:rsidP="006D70A1">
            <w:hyperlink r:id="rId15" w:history="1">
              <w:r w:rsidRPr="00730B69">
                <w:rPr>
                  <w:rStyle w:val="Hyperlink"/>
                </w:rPr>
                <w:t>Landing page</w:t>
              </w:r>
            </w:hyperlink>
          </w:p>
          <w:p w14:paraId="43277A3C" w14:textId="77777777" w:rsidR="00020E02" w:rsidRDefault="00020E02" w:rsidP="006D70A1">
            <w:hyperlink r:id="rId16" w:history="1">
              <w:r w:rsidRPr="00730B69">
                <w:rPr>
                  <w:rStyle w:val="Hyperlink"/>
                </w:rPr>
                <w:t>Interactive map</w:t>
              </w:r>
            </w:hyperlink>
          </w:p>
          <w:p w14:paraId="462DE5E8" w14:textId="520A694C" w:rsidR="00020E02" w:rsidRDefault="00020E02" w:rsidP="006D70A1"/>
        </w:tc>
      </w:tr>
      <w:tr w:rsidR="00020E02" w14:paraId="52326B0A" w14:textId="77777777" w:rsidTr="004949DC">
        <w:tc>
          <w:tcPr>
            <w:tcW w:w="3330" w:type="dxa"/>
          </w:tcPr>
          <w:p w14:paraId="15012794" w14:textId="1A3567E9" w:rsidR="00020E02" w:rsidRPr="00020E02" w:rsidRDefault="00020E02" w:rsidP="00020E02">
            <w:r w:rsidRPr="00020E02">
              <w:t>DiNapoli, Thomas P. “</w:t>
            </w:r>
            <w:hyperlink r:id="rId17" w:history="1">
              <w:r w:rsidRPr="00020E02">
                <w:rPr>
                  <w:rStyle w:val="Hyperlink"/>
                </w:rPr>
                <w:t>New York’s Balance of Payments in the Federal Budget: Federal Fiscal Year 2022</w:t>
              </w:r>
            </w:hyperlink>
            <w:r w:rsidRPr="00020E02">
              <w:t xml:space="preserve">.” Office of the State Comptroller, New York, April 2024. </w:t>
            </w:r>
          </w:p>
          <w:p w14:paraId="7ACB54B0" w14:textId="77777777" w:rsidR="00020E02" w:rsidRDefault="00020E02" w:rsidP="006D70A1"/>
        </w:tc>
        <w:tc>
          <w:tcPr>
            <w:tcW w:w="1170" w:type="dxa"/>
          </w:tcPr>
          <w:p w14:paraId="657CD48E" w14:textId="733A521F" w:rsidR="00020E02" w:rsidRDefault="00020E02" w:rsidP="006D70A1">
            <w:r>
              <w:t>FFY 2022</w:t>
            </w:r>
          </w:p>
        </w:tc>
        <w:tc>
          <w:tcPr>
            <w:tcW w:w="3241" w:type="dxa"/>
          </w:tcPr>
          <w:p w14:paraId="00F325BB" w14:textId="3C27544B" w:rsidR="00020E02" w:rsidRDefault="00020E02" w:rsidP="006D70A1">
            <w:r>
              <w:t xml:space="preserve">NY net </w:t>
            </w:r>
            <w:r w:rsidRPr="00020E02">
              <w:rPr>
                <w:b/>
                <w:bCs/>
              </w:rPr>
              <w:t>positive</w:t>
            </w:r>
            <w:r>
              <w:t xml:space="preserve"> $21.2 b balance of payments, </w:t>
            </w:r>
            <w:r w:rsidR="000027B7">
              <w:t>due to COVID relief.</w:t>
            </w:r>
          </w:p>
        </w:tc>
        <w:tc>
          <w:tcPr>
            <w:tcW w:w="3509" w:type="dxa"/>
          </w:tcPr>
          <w:p w14:paraId="4B6A8D55" w14:textId="77777777" w:rsidR="00020E02" w:rsidRDefault="00020E02" w:rsidP="006D70A1">
            <w:hyperlink r:id="rId18" w:history="1">
              <w:r w:rsidRPr="00020E02">
                <w:rPr>
                  <w:rStyle w:val="Hyperlink"/>
                </w:rPr>
                <w:t>Interactive map and data</w:t>
              </w:r>
            </w:hyperlink>
          </w:p>
          <w:p w14:paraId="5DCB1005" w14:textId="5C3835DD" w:rsidR="006B7222" w:rsidRDefault="006B7222" w:rsidP="006D70A1">
            <w:r>
              <w:t xml:space="preserve">Difference vs. Rockefeller </w:t>
            </w:r>
            <w:proofErr w:type="gramStart"/>
            <w:r w:rsidR="004949DC">
              <w:t xml:space="preserve">probably </w:t>
            </w:r>
            <w:r>
              <w:t>driven</w:t>
            </w:r>
            <w:proofErr w:type="gramEnd"/>
            <w:r>
              <w:t xml:space="preserve"> by treatment of federal COVID relief.</w:t>
            </w:r>
            <w:r w:rsidR="003463D1">
              <w:t xml:space="preserve"> See comments after table.</w:t>
            </w:r>
          </w:p>
        </w:tc>
      </w:tr>
      <w:tr w:rsidR="006D70A1" w14:paraId="59974A4C" w14:textId="77777777" w:rsidTr="004949DC">
        <w:tc>
          <w:tcPr>
            <w:tcW w:w="11250" w:type="dxa"/>
            <w:gridSpan w:val="4"/>
          </w:tcPr>
          <w:p w14:paraId="0FB2CE0C" w14:textId="0F0AE2A7" w:rsidR="006D70A1" w:rsidRPr="006D70A1" w:rsidRDefault="006D70A1" w:rsidP="006D70A1">
            <w:pPr>
              <w:rPr>
                <w:b/>
                <w:bCs/>
              </w:rPr>
            </w:pPr>
            <w:r w:rsidRPr="006D70A1">
              <w:rPr>
                <w:b/>
                <w:bCs/>
              </w:rPr>
              <w:t>NY state budget and its regions and counties</w:t>
            </w:r>
          </w:p>
        </w:tc>
      </w:tr>
      <w:tr w:rsidR="00020E02" w14:paraId="42BD5CDE" w14:textId="77777777" w:rsidTr="004949DC">
        <w:tc>
          <w:tcPr>
            <w:tcW w:w="3330" w:type="dxa"/>
          </w:tcPr>
          <w:p w14:paraId="28041C8E" w14:textId="1C2E332E" w:rsidR="00020E02" w:rsidRPr="006D70A1" w:rsidRDefault="00020E02" w:rsidP="006D70A1">
            <w:r w:rsidRPr="006D70A1">
              <w:t>Robert Ward. “</w:t>
            </w:r>
            <w:hyperlink r:id="rId19" w:history="1">
              <w:r w:rsidRPr="006D70A1">
                <w:rPr>
                  <w:rStyle w:val="Hyperlink"/>
                </w:rPr>
                <w:t>Giving and Getting: Regional Distribution of Revenue and Spending in the New York State Budget, 2009-2010.</w:t>
              </w:r>
            </w:hyperlink>
            <w:r w:rsidRPr="006D70A1">
              <w:t>” Rockefeller Institute of Government, December 2011.</w:t>
            </w:r>
          </w:p>
          <w:p w14:paraId="770AB25B" w14:textId="77777777" w:rsidR="00020E02" w:rsidRDefault="00020E02" w:rsidP="006D70A1"/>
        </w:tc>
        <w:tc>
          <w:tcPr>
            <w:tcW w:w="1170" w:type="dxa"/>
          </w:tcPr>
          <w:p w14:paraId="70693BCD" w14:textId="0D103B01" w:rsidR="00020E02" w:rsidRDefault="00020E02" w:rsidP="006D70A1">
            <w:r>
              <w:t>SFY 2010</w:t>
            </w:r>
          </w:p>
        </w:tc>
        <w:tc>
          <w:tcPr>
            <w:tcW w:w="3241" w:type="dxa"/>
          </w:tcPr>
          <w:p w14:paraId="1028134C" w14:textId="6DD586AE" w:rsidR="00020E02" w:rsidRDefault="00020E02" w:rsidP="006D70A1">
            <w:r>
              <w:t>NYC</w:t>
            </w:r>
            <w:r w:rsidRPr="000C5E2C">
              <w:t xml:space="preserve"> and </w:t>
            </w:r>
            <w:r>
              <w:t>d</w:t>
            </w:r>
            <w:r w:rsidRPr="000C5E2C">
              <w:t xml:space="preserve">ownstate </w:t>
            </w:r>
            <w:r>
              <w:t>s</w:t>
            </w:r>
            <w:r w:rsidRPr="000C5E2C">
              <w:t>uburbs “give” far more to Albany in revenue than they “get” in state-funded expenditures. Capital Region and Rest of State</w:t>
            </w:r>
            <w:r>
              <w:t xml:space="preserve"> </w:t>
            </w:r>
            <w:r w:rsidRPr="000C5E2C">
              <w:t>get significantly more than they give.</w:t>
            </w:r>
          </w:p>
        </w:tc>
        <w:tc>
          <w:tcPr>
            <w:tcW w:w="3509" w:type="dxa"/>
          </w:tcPr>
          <w:p w14:paraId="7AEBCA50" w14:textId="4C06975C" w:rsidR="00020E02" w:rsidRDefault="00020E02" w:rsidP="006D70A1">
            <w:hyperlink r:id="rId20" w:history="1">
              <w:r w:rsidRPr="007E10A5">
                <w:rPr>
                  <w:rStyle w:val="Hyperlink"/>
                </w:rPr>
                <w:t>Blog</w:t>
              </w:r>
            </w:hyperlink>
          </w:p>
        </w:tc>
      </w:tr>
      <w:tr w:rsidR="006B7222" w14:paraId="57E1039F" w14:textId="77777777" w:rsidTr="004949DC">
        <w:tc>
          <w:tcPr>
            <w:tcW w:w="11250" w:type="dxa"/>
            <w:gridSpan w:val="4"/>
          </w:tcPr>
          <w:p w14:paraId="2255FD3E" w14:textId="1A0508EF" w:rsidR="006B7222" w:rsidRPr="006B7222" w:rsidRDefault="006B7222" w:rsidP="006D70A1">
            <w:pPr>
              <w:rPr>
                <w:b/>
                <w:bCs/>
              </w:rPr>
            </w:pPr>
            <w:r>
              <w:rPr>
                <w:b/>
                <w:bCs/>
              </w:rPr>
              <w:t>MTA revenue and spending and the 12 counties</w:t>
            </w:r>
          </w:p>
        </w:tc>
      </w:tr>
      <w:tr w:rsidR="006B7222" w14:paraId="2B8F8D56" w14:textId="77777777" w:rsidTr="004949DC">
        <w:tc>
          <w:tcPr>
            <w:tcW w:w="3330" w:type="dxa"/>
          </w:tcPr>
          <w:p w14:paraId="10F3504F" w14:textId="16D47E68" w:rsidR="006B7222" w:rsidRDefault="00FD6275" w:rsidP="006D70A1">
            <w:r>
              <w:t>David Keller, “</w:t>
            </w:r>
            <w:r w:rsidRPr="00FD6275">
              <w:t>MTA County Payment Ratio Analysis</w:t>
            </w:r>
            <w:proofErr w:type="gramStart"/>
            <w:r>
              <w:t>”,</w:t>
            </w:r>
            <w:proofErr w:type="gramEnd"/>
            <w:r>
              <w:t xml:space="preserve"> January 2019.</w:t>
            </w:r>
          </w:p>
        </w:tc>
        <w:tc>
          <w:tcPr>
            <w:tcW w:w="1170" w:type="dxa"/>
          </w:tcPr>
          <w:p w14:paraId="615C90E2" w14:textId="6CD38160" w:rsidR="006B7222" w:rsidRDefault="00FD6275" w:rsidP="006D70A1">
            <w:r w:rsidRPr="00FD6275">
              <w:t>2005, 2011 and 2016</w:t>
            </w:r>
          </w:p>
        </w:tc>
        <w:tc>
          <w:tcPr>
            <w:tcW w:w="3241" w:type="dxa"/>
          </w:tcPr>
          <w:p w14:paraId="372F120F" w14:textId="2622FEDC" w:rsidR="006B7222" w:rsidRDefault="00B11574" w:rsidP="006D70A1">
            <w:r>
              <w:t>MTA region</w:t>
            </w:r>
            <w:r w:rsidR="00FD6275">
              <w:t xml:space="preserve"> g</w:t>
            </w:r>
            <w:r w:rsidR="004949DC">
              <w:t>ets</w:t>
            </w:r>
            <w:r w:rsidR="00FD6275">
              <w:t xml:space="preserve"> more than </w:t>
            </w:r>
            <w:r>
              <w:t>it</w:t>
            </w:r>
            <w:r w:rsidR="00FD6275">
              <w:t xml:space="preserve"> spen</w:t>
            </w:r>
            <w:r w:rsidR="004949DC">
              <w:t>ds</w:t>
            </w:r>
            <w:r w:rsidR="00FD6275">
              <w:t xml:space="preserve"> because feds and </w:t>
            </w:r>
            <w:r w:rsidR="004949DC">
              <w:t>NYS</w:t>
            </w:r>
            <w:r w:rsidR="00FD6275">
              <w:t xml:space="preserve"> fund significant capital</w:t>
            </w:r>
            <w:r>
              <w:t>. Orange and Rockland got less than they spent, Nassau and Putnam got more.</w:t>
            </w:r>
            <w:r w:rsidR="005824F9">
              <w:t xml:space="preserve"> </w:t>
            </w:r>
            <w:proofErr w:type="gramStart"/>
            <w:r w:rsidR="005824F9">
              <w:t>Important changes</w:t>
            </w:r>
            <w:proofErr w:type="gramEnd"/>
            <w:r w:rsidR="005824F9">
              <w:t xml:space="preserve"> over time.</w:t>
            </w:r>
          </w:p>
        </w:tc>
        <w:tc>
          <w:tcPr>
            <w:tcW w:w="3509" w:type="dxa"/>
          </w:tcPr>
          <w:p w14:paraId="35903FA0" w14:textId="77777777" w:rsidR="006B7222" w:rsidRDefault="005824F9" w:rsidP="006D70A1">
            <w:r>
              <w:t xml:space="preserve">Not sure if </w:t>
            </w:r>
            <w:r>
              <w:t>this analysis</w:t>
            </w:r>
            <w:r>
              <w:t xml:space="preserve"> was </w:t>
            </w:r>
            <w:proofErr w:type="gramStart"/>
            <w:r>
              <w:t>publicly released</w:t>
            </w:r>
            <w:proofErr w:type="gramEnd"/>
            <w:r>
              <w:t>.</w:t>
            </w:r>
          </w:p>
          <w:p w14:paraId="7BA07F4C" w14:textId="77777777" w:rsidR="005116F5" w:rsidRDefault="005116F5" w:rsidP="006D70A1"/>
          <w:p w14:paraId="23D488C4" w14:textId="5531655B" w:rsidR="005116F5" w:rsidRDefault="005116F5" w:rsidP="006D70A1"/>
        </w:tc>
      </w:tr>
      <w:tr w:rsidR="006B7222" w14:paraId="0AC86E04" w14:textId="77777777" w:rsidTr="004949DC">
        <w:tc>
          <w:tcPr>
            <w:tcW w:w="3330" w:type="dxa"/>
          </w:tcPr>
          <w:p w14:paraId="0B0363CC" w14:textId="160BCAC1" w:rsidR="006B7222" w:rsidRDefault="0021615D" w:rsidP="006D70A1">
            <w:r>
              <w:t>Boyd, County analysis of MTA revenue</w:t>
            </w:r>
          </w:p>
        </w:tc>
        <w:tc>
          <w:tcPr>
            <w:tcW w:w="1170" w:type="dxa"/>
          </w:tcPr>
          <w:p w14:paraId="1C1849B3" w14:textId="55A9E5E0" w:rsidR="006B7222" w:rsidRDefault="0021615D" w:rsidP="006D70A1">
            <w:r>
              <w:t>2016-202</w:t>
            </w:r>
            <w:r w:rsidR="004949DC">
              <w:t>2</w:t>
            </w:r>
          </w:p>
        </w:tc>
        <w:tc>
          <w:tcPr>
            <w:tcW w:w="3241" w:type="dxa"/>
          </w:tcPr>
          <w:p w14:paraId="6AD02188" w14:textId="4F4B70AB" w:rsidR="006B7222" w:rsidRPr="004949DC" w:rsidRDefault="004949DC" w:rsidP="006D70A1">
            <w:r w:rsidRPr="004949DC">
              <w:t xml:space="preserve">2022 per-capita tax payments </w:t>
            </w:r>
            <w:r>
              <w:t>greatest for NYC, Suffolk, Westchester, and Nassau</w:t>
            </w:r>
            <w:r w:rsidR="001D7599">
              <w:t>. L</w:t>
            </w:r>
            <w:r>
              <w:t>owest for Rockland, Putnam, Dutchess, and Orange</w:t>
            </w:r>
          </w:p>
        </w:tc>
        <w:tc>
          <w:tcPr>
            <w:tcW w:w="3509" w:type="dxa"/>
          </w:tcPr>
          <w:p w14:paraId="4DA33F83" w14:textId="4C8DE804" w:rsidR="006B7222" w:rsidRDefault="0021615D" w:rsidP="006D70A1">
            <w:r>
              <w:t>I allocated approximately 10 MTA tax sources to the 12 counties for each year from 2016-202</w:t>
            </w:r>
            <w:r w:rsidR="004949DC">
              <w:t>2</w:t>
            </w:r>
            <w:r>
              <w:t>.</w:t>
            </w:r>
            <w:r w:rsidR="004949DC">
              <w:t xml:space="preserve"> </w:t>
            </w:r>
            <w:proofErr w:type="gramStart"/>
            <w:r w:rsidR="004949DC">
              <w:t>I think the press of other things</w:t>
            </w:r>
            <w:proofErr w:type="gramEnd"/>
            <w:r w:rsidR="004949DC">
              <w:t xml:space="preserve"> kept us from in-depth discussion of this.</w:t>
            </w:r>
          </w:p>
        </w:tc>
      </w:tr>
    </w:tbl>
    <w:p w14:paraId="2084BC07" w14:textId="77777777" w:rsidR="006D70A1" w:rsidRPr="00DD28E0" w:rsidRDefault="006D70A1" w:rsidP="00DD28E0"/>
    <w:p w14:paraId="73A6B831" w14:textId="77777777" w:rsidR="006D70A1" w:rsidRDefault="006D70A1" w:rsidP="00C405A9">
      <w:pPr>
        <w:sectPr w:rsidR="006D70A1" w:rsidSect="004949DC">
          <w:pgSz w:w="12240" w:h="15840"/>
          <w:pgMar w:top="432" w:right="720" w:bottom="432" w:left="720" w:header="720" w:footer="720" w:gutter="0"/>
          <w:cols w:space="720"/>
          <w:docGrid w:linePitch="360"/>
        </w:sectPr>
      </w:pPr>
    </w:p>
    <w:p w14:paraId="7D9CFBBC" w14:textId="0834E6C3" w:rsidR="00421836" w:rsidRDefault="00421836" w:rsidP="00BD6386">
      <w:pPr>
        <w:pStyle w:val="Heading1"/>
      </w:pPr>
      <w:r>
        <w:lastRenderedPageBreak/>
        <w:t>Overarching conceptual and measurement issues</w:t>
      </w:r>
    </w:p>
    <w:p w14:paraId="4D4A74BC" w14:textId="04CB2B09" w:rsidR="00421836" w:rsidRDefault="00421836" w:rsidP="00421836">
      <w:r>
        <w:t xml:space="preserve">These studies always raise big challenges. Here are </w:t>
      </w:r>
      <w:proofErr w:type="gramStart"/>
      <w:r>
        <w:t>a few</w:t>
      </w:r>
      <w:proofErr w:type="gramEnd"/>
      <w:r>
        <w:t>:</w:t>
      </w:r>
    </w:p>
    <w:p w14:paraId="59DA0C61" w14:textId="4E66EF8D" w:rsidR="00421836" w:rsidRDefault="00421836" w:rsidP="00421836">
      <w:pPr>
        <w:pStyle w:val="ListParagraph"/>
        <w:numPr>
          <w:ilvl w:val="0"/>
          <w:numId w:val="3"/>
        </w:numPr>
      </w:pPr>
      <w:r w:rsidRPr="00421836">
        <w:rPr>
          <w:b/>
          <w:bCs/>
        </w:rPr>
        <w:t xml:space="preserve">Spending by place is </w:t>
      </w:r>
      <w:proofErr w:type="gramStart"/>
      <w:r w:rsidRPr="00421836">
        <w:rPr>
          <w:b/>
          <w:bCs/>
        </w:rPr>
        <w:t>not the same as</w:t>
      </w:r>
      <w:proofErr w:type="gramEnd"/>
      <w:r w:rsidRPr="00421836">
        <w:rPr>
          <w:b/>
          <w:bCs/>
        </w:rPr>
        <w:t xml:space="preserve"> benefit by place</w:t>
      </w:r>
      <w:r>
        <w:t xml:space="preserve">. If the state spends </w:t>
      </w:r>
      <w:proofErr w:type="gramStart"/>
      <w:r>
        <w:t>a lot</w:t>
      </w:r>
      <w:proofErr w:type="gramEnd"/>
      <w:r>
        <w:t xml:space="preserve"> on upstate prisons is that benefiting the downstate region, which disproportionately sends prisoners upstate? Is it benefiting the local communities upstate, which have high-paying prison jobs they otherwise would not have?</w:t>
      </w:r>
      <w:r w:rsidR="000027B7">
        <w:t xml:space="preserve"> Does university spending benefit where the students are from or where the campuses are? More generally, should state payroll be allocated to where the jobs are or to where the workers live?</w:t>
      </w:r>
    </w:p>
    <w:p w14:paraId="5D6A9B76" w14:textId="70277579" w:rsidR="00421836" w:rsidRDefault="00421836" w:rsidP="00421836">
      <w:pPr>
        <w:pStyle w:val="ListParagraph"/>
        <w:numPr>
          <w:ilvl w:val="0"/>
          <w:numId w:val="3"/>
        </w:numPr>
      </w:pPr>
      <w:r>
        <w:rPr>
          <w:b/>
          <w:bCs/>
        </w:rPr>
        <w:t xml:space="preserve">Revenue from a place is </w:t>
      </w:r>
      <w:proofErr w:type="gramStart"/>
      <w:r>
        <w:rPr>
          <w:b/>
          <w:bCs/>
        </w:rPr>
        <w:t>not the same as</w:t>
      </w:r>
      <w:proofErr w:type="gramEnd"/>
      <w:r>
        <w:rPr>
          <w:b/>
          <w:bCs/>
        </w:rPr>
        <w:t xml:space="preserve"> the burden on a place</w:t>
      </w:r>
      <w:r w:rsidRPr="00421836">
        <w:t>.</w:t>
      </w:r>
      <w:r>
        <w:t xml:space="preserve"> </w:t>
      </w:r>
      <w:proofErr w:type="gramStart"/>
      <w:r>
        <w:t>It’s</w:t>
      </w:r>
      <w:proofErr w:type="gramEnd"/>
      <w:r>
        <w:t xml:space="preserve"> traditional to allocate income taxes to the residents of a place, and sales taxes to where the sales are made or possibly to the residents of a place. The income tax is generally consistent with economic incidence </w:t>
      </w:r>
      <w:proofErr w:type="gramStart"/>
      <w:r>
        <w:t>literature;</w:t>
      </w:r>
      <w:proofErr w:type="gramEnd"/>
      <w:r>
        <w:t xml:space="preserve"> the sales tax not so much. Where does the corporate income tax come from by state or county</w:t>
      </w:r>
      <w:proofErr w:type="gramStart"/>
      <w:r>
        <w:t xml:space="preserve">?  </w:t>
      </w:r>
      <w:proofErr w:type="gramEnd"/>
      <w:r>
        <w:t xml:space="preserve">No one knows. Is it where the employers are? Where the owners are, which could be anywhere in the world? </w:t>
      </w:r>
      <w:proofErr w:type="gramStart"/>
      <w:r>
        <w:t>Where</w:t>
      </w:r>
      <w:proofErr w:type="gramEnd"/>
      <w:r>
        <w:t xml:space="preserve"> </w:t>
      </w:r>
      <w:proofErr w:type="gramStart"/>
      <w:r>
        <w:t>the</w:t>
      </w:r>
      <w:proofErr w:type="gramEnd"/>
      <w:r>
        <w:t xml:space="preserve"> </w:t>
      </w:r>
      <w:r w:rsidR="00AD7ED7">
        <w:t xml:space="preserve">workers live? </w:t>
      </w:r>
      <w:proofErr w:type="gramStart"/>
      <w:r w:rsidR="00AD7ED7">
        <w:t>There’s</w:t>
      </w:r>
      <w:proofErr w:type="gramEnd"/>
      <w:r w:rsidR="00AD7ED7">
        <w:t xml:space="preserve"> no clear single concept and relatively little useful data for several of the competing concepts.</w:t>
      </w:r>
    </w:p>
    <w:p w14:paraId="423493BC" w14:textId="5D97500B" w:rsidR="00421836" w:rsidRDefault="00421836" w:rsidP="00421836">
      <w:pPr>
        <w:pStyle w:val="ListParagraph"/>
        <w:numPr>
          <w:ilvl w:val="0"/>
          <w:numId w:val="3"/>
        </w:numPr>
      </w:pPr>
      <w:r>
        <w:rPr>
          <w:b/>
          <w:bCs/>
        </w:rPr>
        <w:t>What to do about the federal budget deficit</w:t>
      </w:r>
      <w:r w:rsidRPr="0021615D">
        <w:t>?</w:t>
      </w:r>
      <w:r>
        <w:t xml:space="preserve"> If the federal budget always spends more than it receives</w:t>
      </w:r>
      <w:r w:rsidR="00AD7ED7">
        <w:t>, absent adjustments</w:t>
      </w:r>
      <w:r>
        <w:t>, these studies can show that all regions “receive” more spending than they pay for, year after year.</w:t>
      </w:r>
    </w:p>
    <w:p w14:paraId="550081C9" w14:textId="77777777" w:rsidR="00EB0157" w:rsidRDefault="00EB0157" w:rsidP="00EB0157">
      <w:pPr>
        <w:pStyle w:val="ListParagraph"/>
        <w:numPr>
          <w:ilvl w:val="0"/>
          <w:numId w:val="3"/>
        </w:numPr>
      </w:pPr>
      <w:r>
        <w:rPr>
          <w:b/>
          <w:bCs/>
        </w:rPr>
        <w:t>How to treat aid from other governments?</w:t>
      </w:r>
      <w:r>
        <w:t xml:space="preserve"> For the state and for MTA, if spending of aid from other governments </w:t>
      </w:r>
      <w:proofErr w:type="gramStart"/>
      <w:r>
        <w:t>is counted</w:t>
      </w:r>
      <w:proofErr w:type="gramEnd"/>
      <w:r>
        <w:t>, but the corresponding revenue from other governments is not counted, then what each county “gets” in spending can be greater than what it “gives” through taxes.</w:t>
      </w:r>
    </w:p>
    <w:p w14:paraId="4C80F4B4" w14:textId="63675970" w:rsidR="00AD7ED7" w:rsidRDefault="00AD7ED7" w:rsidP="00421836">
      <w:pPr>
        <w:pStyle w:val="ListParagraph"/>
        <w:numPr>
          <w:ilvl w:val="0"/>
          <w:numId w:val="3"/>
        </w:numPr>
      </w:pPr>
      <w:r>
        <w:rPr>
          <w:b/>
          <w:bCs/>
        </w:rPr>
        <w:t>What to do about income taxes paid by nonresidents?</w:t>
      </w:r>
      <w:r>
        <w:t xml:space="preserve"> For example, where should the NYS income tax paid by commuters from CT or NJ be allocated?</w:t>
      </w:r>
    </w:p>
    <w:p w14:paraId="53EAFADD" w14:textId="5827BE64" w:rsidR="0071253E" w:rsidRDefault="0071253E" w:rsidP="00421836">
      <w:pPr>
        <w:pStyle w:val="ListParagraph"/>
        <w:numPr>
          <w:ilvl w:val="0"/>
          <w:numId w:val="3"/>
        </w:numPr>
      </w:pPr>
      <w:r>
        <w:rPr>
          <w:b/>
          <w:bCs/>
        </w:rPr>
        <w:t>How to treat capital spending and debt service?</w:t>
      </w:r>
      <w:r>
        <w:t xml:space="preserve"> If you count both, then you’re </w:t>
      </w:r>
      <w:proofErr w:type="gramStart"/>
      <w:r>
        <w:t>double-counting</w:t>
      </w:r>
      <w:proofErr w:type="gramEnd"/>
      <w:r>
        <w:t xml:space="preserve"> some spending. (When debt service is paying for </w:t>
      </w:r>
      <w:proofErr w:type="gramStart"/>
      <w:r>
        <w:t>some of</w:t>
      </w:r>
      <w:proofErr w:type="gramEnd"/>
      <w:r>
        <w:t xml:space="preserve"> the capital spending.) And where should the spending be allocated?</w:t>
      </w:r>
    </w:p>
    <w:p w14:paraId="07EE42A6" w14:textId="29649F4A" w:rsidR="00421836" w:rsidRPr="00421836" w:rsidRDefault="00421836" w:rsidP="00421836">
      <w:r>
        <w:t xml:space="preserve">For these and other reasons, the studies are </w:t>
      </w:r>
      <w:proofErr w:type="gramStart"/>
      <w:r>
        <w:t>generally a</w:t>
      </w:r>
      <w:r w:rsidR="0071253E">
        <w:t>n</w:t>
      </w:r>
      <w:proofErr w:type="gramEnd"/>
      <w:r w:rsidR="0071253E">
        <w:t xml:space="preserve"> unprincipled</w:t>
      </w:r>
      <w:r>
        <w:t xml:space="preserve"> mix of approaches and </w:t>
      </w:r>
      <w:r w:rsidR="0071253E">
        <w:t>concepts</w:t>
      </w:r>
      <w:r>
        <w:t xml:space="preserve"> made possible by available data and time, rather than having a single underlying principle driving how the numbers are produced.</w:t>
      </w:r>
      <w:r w:rsidR="000027B7">
        <w:t xml:space="preserve"> </w:t>
      </w:r>
      <w:r w:rsidR="008A632C">
        <w:t>T</w:t>
      </w:r>
      <w:r w:rsidR="000027B7">
        <w:t>he challenges for allocating state and MTA budgets are</w:t>
      </w:r>
      <w:r w:rsidR="00A53079">
        <w:t xml:space="preserve"> </w:t>
      </w:r>
      <w:proofErr w:type="gramStart"/>
      <w:r w:rsidR="00A53079">
        <w:t>probably</w:t>
      </w:r>
      <w:r w:rsidR="000027B7">
        <w:t xml:space="preserve"> greater</w:t>
      </w:r>
      <w:proofErr w:type="gramEnd"/>
      <w:r w:rsidR="000027B7">
        <w:t xml:space="preserve"> than for allocating the federal budget.</w:t>
      </w:r>
    </w:p>
    <w:p w14:paraId="515DF423" w14:textId="4E5A69E3" w:rsidR="00453F07" w:rsidRDefault="00453F07" w:rsidP="00BD6386">
      <w:pPr>
        <w:pStyle w:val="Heading1"/>
      </w:pPr>
      <w:r>
        <w:lastRenderedPageBreak/>
        <w:t>Federal budget and the states</w:t>
      </w:r>
    </w:p>
    <w:p w14:paraId="7BBA4A24" w14:textId="79AF16B8" w:rsidR="00453F07" w:rsidRDefault="00453F07" w:rsidP="00453F07">
      <w:pPr>
        <w:pStyle w:val="ListParagraph"/>
        <w:numPr>
          <w:ilvl w:val="0"/>
          <w:numId w:val="2"/>
        </w:numPr>
      </w:pPr>
      <w:proofErr w:type="gramStart"/>
      <w:r>
        <w:t>These analyses were started by Senator Daniel Patrick Moynihan</w:t>
      </w:r>
      <w:proofErr w:type="gramEnd"/>
      <w:r>
        <w:t xml:space="preserve"> decades ago. They </w:t>
      </w:r>
      <w:proofErr w:type="gramStart"/>
      <w:r>
        <w:t>were housed</w:t>
      </w:r>
      <w:proofErr w:type="gramEnd"/>
      <w:r>
        <w:t xml:space="preserve"> for many years at the Kennedy School of Government. </w:t>
      </w:r>
      <w:r w:rsidRPr="00491331">
        <w:rPr>
          <w:i/>
          <w:iCs/>
        </w:rPr>
        <w:t>Interesting fact</w:t>
      </w:r>
      <w:r>
        <w:t xml:space="preserve">: An early author was Jay Walder, after he was MTA CFO but before he was MTA chair (e.g., see </w:t>
      </w:r>
      <w:hyperlink r:id="rId21" w:history="1">
        <w:r w:rsidRPr="00491331">
          <w:rPr>
            <w:rStyle w:val="Hyperlink"/>
          </w:rPr>
          <w:t>this</w:t>
        </w:r>
      </w:hyperlink>
      <w:r>
        <w:t xml:space="preserve">). </w:t>
      </w:r>
      <w:r>
        <w:t xml:space="preserve">I corresponded with him about it at one point. </w:t>
      </w:r>
      <w:r>
        <w:t xml:space="preserve">KSG </w:t>
      </w:r>
      <w:r w:rsidR="00A53079">
        <w:t xml:space="preserve">eventually </w:t>
      </w:r>
      <w:r>
        <w:t xml:space="preserve">stopped doing the reports, and </w:t>
      </w:r>
      <w:r>
        <w:t>t</w:t>
      </w:r>
      <w:r>
        <w:t>here was a hiatus before the Rockefeller Institute picked them up again.</w:t>
      </w:r>
    </w:p>
    <w:p w14:paraId="1C6BBE81" w14:textId="2C89EBFB" w:rsidR="00453F07" w:rsidRDefault="00453F07" w:rsidP="00453F07">
      <w:pPr>
        <w:pStyle w:val="ListParagraph"/>
        <w:numPr>
          <w:ilvl w:val="0"/>
          <w:numId w:val="2"/>
        </w:numPr>
      </w:pPr>
      <w:r>
        <w:t>Coincidentally</w:t>
      </w:r>
      <w:r>
        <w:t>, OSC started doing the studies at about the same time as the Rockefeller Institute.</w:t>
      </w:r>
    </w:p>
    <w:p w14:paraId="6CD48629" w14:textId="302BB294" w:rsidR="004949DC" w:rsidRDefault="004949DC" w:rsidP="00453F07">
      <w:pPr>
        <w:pStyle w:val="ListParagraph"/>
        <w:numPr>
          <w:ilvl w:val="0"/>
          <w:numId w:val="2"/>
        </w:numPr>
      </w:pPr>
      <w:r>
        <w:t xml:space="preserve">Progressive federal income tax, combined with (1) NY’s high income and (2) NY’s highly unequal income distribution, is a major cause of the traditional conclusion that NY “gives” far more than </w:t>
      </w:r>
      <w:proofErr w:type="gramStart"/>
      <w:r>
        <w:t>it ”gets</w:t>
      </w:r>
      <w:proofErr w:type="gramEnd"/>
      <w:r>
        <w:t>.”</w:t>
      </w:r>
    </w:p>
    <w:p w14:paraId="6C7821E5" w14:textId="21EE9CD0" w:rsidR="00453F07" w:rsidRDefault="00453F07" w:rsidP="00453F07">
      <w:pPr>
        <w:pStyle w:val="ListParagraph"/>
        <w:numPr>
          <w:ilvl w:val="0"/>
          <w:numId w:val="2"/>
        </w:numPr>
      </w:pPr>
      <w:r>
        <w:t xml:space="preserve">I suspect </w:t>
      </w:r>
      <w:r w:rsidR="006B7222">
        <w:t xml:space="preserve">(but did not investigate) that </w:t>
      </w:r>
      <w:r>
        <w:t xml:space="preserve">the primary difference between the Rockefeller Institute report and the OSC report for FFY 2022 is how they measured the timing of COVID relief. </w:t>
      </w:r>
      <w:r w:rsidR="006B7222">
        <w:t xml:space="preserve">There are several </w:t>
      </w:r>
      <w:proofErr w:type="gramStart"/>
      <w:r w:rsidR="006B7222">
        <w:t>possible reasons</w:t>
      </w:r>
      <w:proofErr w:type="gramEnd"/>
      <w:r w:rsidR="006B7222">
        <w:t xml:space="preserve"> for differences. For example, if Rockefeller measured federal initial budget authority (authorization to spend, similar to an appropriation) but </w:t>
      </w:r>
      <w:r w:rsidR="0071253E">
        <w:t>OSC</w:t>
      </w:r>
      <w:r w:rsidR="006B7222">
        <w:t xml:space="preserve"> measured outlays (cash disbursements), Rockefeller federal COVID “spending” would end sooner than OSC COVID “spending” (federal outlays can go on for years after the initial budget authority). </w:t>
      </w:r>
      <w:r>
        <w:t>The studies were much closer to each other pre-COVID</w:t>
      </w:r>
      <w:r w:rsidR="006B7222">
        <w:t xml:space="preserve"> and I expect they will again be close to each other another year or two down the road.</w:t>
      </w:r>
    </w:p>
    <w:p w14:paraId="0C987443" w14:textId="66CDF7CF" w:rsidR="00C90DBD" w:rsidRDefault="00C90DBD" w:rsidP="00453F07">
      <w:pPr>
        <w:pStyle w:val="ListParagraph"/>
        <w:numPr>
          <w:ilvl w:val="0"/>
          <w:numId w:val="2"/>
        </w:numPr>
      </w:pPr>
      <w:r>
        <w:t>I have looked for similar studies prepared by other states but have not found them.</w:t>
      </w:r>
      <w:r w:rsidR="00BD6386">
        <w:t xml:space="preserve"> New York has always had the greatest or near</w:t>
      </w:r>
      <w:r w:rsidR="006B7222">
        <w:t>-</w:t>
      </w:r>
      <w:r w:rsidR="00BD6386">
        <w:t xml:space="preserve">greatest imbalance by these </w:t>
      </w:r>
      <w:proofErr w:type="gramStart"/>
      <w:r w:rsidR="00BD6386">
        <w:t>measures, and</w:t>
      </w:r>
      <w:proofErr w:type="gramEnd"/>
      <w:r w:rsidR="00BD6386">
        <w:t xml:space="preserve"> has the largest incentive to prepare reports.</w:t>
      </w:r>
    </w:p>
    <w:p w14:paraId="1CDAABA6" w14:textId="3817F8B3" w:rsidR="00BD6386" w:rsidRDefault="00BD6386" w:rsidP="00453F07">
      <w:pPr>
        <w:pStyle w:val="ListParagraph"/>
        <w:numPr>
          <w:ilvl w:val="0"/>
          <w:numId w:val="2"/>
        </w:numPr>
      </w:pPr>
      <w:proofErr w:type="gramStart"/>
      <w:r>
        <w:t>Many</w:t>
      </w:r>
      <w:proofErr w:type="gramEnd"/>
      <w:r>
        <w:t xml:space="preserve"> data sources on federal taxes and spending provide partial information on the question</w:t>
      </w:r>
      <w:r w:rsidR="00600064">
        <w:t>s</w:t>
      </w:r>
      <w:r>
        <w:t xml:space="preserve"> these studies address</w:t>
      </w:r>
      <w:r w:rsidR="00421836">
        <w:t>.</w:t>
      </w:r>
      <w:r w:rsidR="00600064">
        <w:t xml:space="preserve"> I can elaborate if you want.</w:t>
      </w:r>
    </w:p>
    <w:p w14:paraId="193D1CB5" w14:textId="353D52A6" w:rsidR="00453F07" w:rsidRDefault="00453F07" w:rsidP="00453F07">
      <w:pPr>
        <w:pStyle w:val="ListParagraph"/>
        <w:numPr>
          <w:ilvl w:val="0"/>
          <w:numId w:val="2"/>
        </w:numPr>
      </w:pPr>
      <w:r w:rsidRPr="00453F07">
        <w:t xml:space="preserve">I </w:t>
      </w:r>
      <w:proofErr w:type="gramStart"/>
      <w:r w:rsidRPr="00453F07">
        <w:t>led</w:t>
      </w:r>
      <w:proofErr w:type="gramEnd"/>
      <w:r w:rsidRPr="00453F07">
        <w:t xml:space="preserve"> the first version of the Rockefeller Institute federal report</w:t>
      </w:r>
      <w:r>
        <w:t xml:space="preserve"> and</w:t>
      </w:r>
      <w:r w:rsidRPr="00453F07">
        <w:t xml:space="preserve"> consulted on </w:t>
      </w:r>
      <w:proofErr w:type="gramStart"/>
      <w:r w:rsidRPr="00453F07">
        <w:t>several</w:t>
      </w:r>
      <w:proofErr w:type="gramEnd"/>
      <w:r w:rsidRPr="00453F07">
        <w:t xml:space="preserve"> versions of the OSC federal report</w:t>
      </w:r>
      <w:r>
        <w:t>.</w:t>
      </w:r>
    </w:p>
    <w:p w14:paraId="264391D1" w14:textId="4D3057A0" w:rsidR="00BD6386" w:rsidRDefault="00BD6386" w:rsidP="00BD6386">
      <w:pPr>
        <w:pStyle w:val="Heading1"/>
      </w:pPr>
      <w:r>
        <w:t>New York state budget and the counties</w:t>
      </w:r>
    </w:p>
    <w:p w14:paraId="21506FCE" w14:textId="4D56BFD2" w:rsidR="00BD6386" w:rsidRDefault="000027B7" w:rsidP="000027B7">
      <w:pPr>
        <w:pStyle w:val="ListParagraph"/>
        <w:numPr>
          <w:ilvl w:val="0"/>
          <w:numId w:val="4"/>
        </w:numPr>
      </w:pPr>
      <w:r>
        <w:t xml:space="preserve">Less comprehensive than the federal studies, </w:t>
      </w:r>
      <w:proofErr w:type="gramStart"/>
      <w:r>
        <w:t>largely due</w:t>
      </w:r>
      <w:proofErr w:type="gramEnd"/>
      <w:r>
        <w:t xml:space="preserve"> to lack of data and challenges in obtaining data.</w:t>
      </w:r>
    </w:p>
    <w:p w14:paraId="797249D6" w14:textId="048EE3D4" w:rsidR="000B4140" w:rsidRDefault="000B4140" w:rsidP="0078378D">
      <w:pPr>
        <w:pStyle w:val="ListParagraph"/>
        <w:numPr>
          <w:ilvl w:val="0"/>
          <w:numId w:val="4"/>
        </w:numPr>
      </w:pPr>
      <w:r>
        <w:t xml:space="preserve">Rockefeller published estimates for revenue under alternative assumptions for </w:t>
      </w:r>
      <w:r w:rsidR="00A53079">
        <w:t>the</w:t>
      </w:r>
      <w:r w:rsidR="000027B7">
        <w:t xml:space="preserve"> income tax</w:t>
      </w:r>
      <w:r w:rsidR="00A53079">
        <w:t xml:space="preserve"> </w:t>
      </w:r>
      <w:r>
        <w:t xml:space="preserve">– one set of estimates </w:t>
      </w:r>
      <w:proofErr w:type="gramStart"/>
      <w:r>
        <w:t>allocating</w:t>
      </w:r>
      <w:proofErr w:type="gramEnd"/>
      <w:r>
        <w:t xml:space="preserve"> based on place of residence, and another allocated based on place of work.</w:t>
      </w:r>
    </w:p>
    <w:p w14:paraId="30877DC5" w14:textId="59D12E68" w:rsidR="000B4140" w:rsidRDefault="000B4140" w:rsidP="000B4140">
      <w:pPr>
        <w:pStyle w:val="ListParagraph"/>
        <w:numPr>
          <w:ilvl w:val="0"/>
          <w:numId w:val="4"/>
        </w:numPr>
      </w:pPr>
      <w:r>
        <w:lastRenderedPageBreak/>
        <w:t xml:space="preserve">Rockefeller published estimates for </w:t>
      </w:r>
      <w:r>
        <w:t>spending</w:t>
      </w:r>
      <w:r>
        <w:t xml:space="preserve"> under alternative assumptions for </w:t>
      </w:r>
      <w:r>
        <w:t xml:space="preserve">SUNY and </w:t>
      </w:r>
      <w:proofErr w:type="gramStart"/>
      <w:r>
        <w:t xml:space="preserve">Corrections </w:t>
      </w:r>
      <w:r>
        <w:t xml:space="preserve"> –</w:t>
      </w:r>
      <w:proofErr w:type="gramEnd"/>
      <w:r>
        <w:t xml:space="preserve"> one set of estimates </w:t>
      </w:r>
      <w:proofErr w:type="gramStart"/>
      <w:r>
        <w:t>allocating</w:t>
      </w:r>
      <w:proofErr w:type="gramEnd"/>
      <w:r>
        <w:t xml:space="preserve"> based on </w:t>
      </w:r>
      <w:r>
        <w:t>location of institution</w:t>
      </w:r>
      <w:r>
        <w:t xml:space="preserve">, and another allocated based on </w:t>
      </w:r>
      <w:r>
        <w:t>students’ or inmates’ previous residence</w:t>
      </w:r>
      <w:r>
        <w:t>.</w:t>
      </w:r>
    </w:p>
    <w:p w14:paraId="33043A4C" w14:textId="64343E8A" w:rsidR="000027B7" w:rsidRDefault="000B4140" w:rsidP="0088297A">
      <w:pPr>
        <w:pStyle w:val="ListParagraph"/>
        <w:numPr>
          <w:ilvl w:val="0"/>
          <w:numId w:val="4"/>
        </w:numPr>
      </w:pPr>
      <w:r>
        <w:t xml:space="preserve">I have looked for other more recent reports </w:t>
      </w:r>
      <w:r w:rsidR="000027B7">
        <w:t>but did not find any. I recall that the Center for Governmental Research, a nonprofit analytic group in Rochester, did an even earlier study but have not found it.</w:t>
      </w:r>
    </w:p>
    <w:p w14:paraId="081C3271" w14:textId="40512D80" w:rsidR="000B4140" w:rsidRDefault="0071253E" w:rsidP="00D00308">
      <w:pPr>
        <w:pStyle w:val="ListParagraph"/>
        <w:numPr>
          <w:ilvl w:val="0"/>
          <w:numId w:val="4"/>
        </w:numPr>
      </w:pPr>
      <w:r>
        <w:t xml:space="preserve">I </w:t>
      </w:r>
      <w:r>
        <w:t xml:space="preserve">advised on the </w:t>
      </w:r>
      <w:r w:rsidR="000027B7">
        <w:t xml:space="preserve">SFY 2010 </w:t>
      </w:r>
      <w:r>
        <w:t>Rockefeller Institute state budget report.</w:t>
      </w:r>
    </w:p>
    <w:p w14:paraId="32C0AD06" w14:textId="7D15F88D" w:rsidR="003128E1" w:rsidRDefault="003128E1" w:rsidP="003128E1">
      <w:pPr>
        <w:pStyle w:val="Heading1"/>
      </w:pPr>
      <w:r>
        <w:t>MTA revenue and spending</w:t>
      </w:r>
    </w:p>
    <w:p w14:paraId="7EF18EA2" w14:textId="51EC7B2F" w:rsidR="003128E1" w:rsidRDefault="0021615D" w:rsidP="0021615D">
      <w:pPr>
        <w:pStyle w:val="ListParagraph"/>
        <w:numPr>
          <w:ilvl w:val="0"/>
          <w:numId w:val="5"/>
        </w:numPr>
      </w:pPr>
      <w:r>
        <w:t xml:space="preserve">For David Keller’s analysis, </w:t>
      </w:r>
      <w:r w:rsidRPr="0021615D">
        <w:t xml:space="preserve">Attachments to this memo include </w:t>
      </w:r>
      <w:r>
        <w:t>hi</w:t>
      </w:r>
      <w:r w:rsidRPr="0021615D">
        <w:t xml:space="preserve">s notes, the ratio analysis document, and an associated spreadsheet. You have this already but </w:t>
      </w:r>
      <w:proofErr w:type="gramStart"/>
      <w:r w:rsidRPr="0021615D">
        <w:t>I’m</w:t>
      </w:r>
      <w:proofErr w:type="gramEnd"/>
      <w:r w:rsidRPr="0021615D">
        <w:t xml:space="preserve"> attaching it for completeness.</w:t>
      </w:r>
    </w:p>
    <w:p w14:paraId="12AF1DBC" w14:textId="46BA40DB" w:rsidR="008327F9" w:rsidRPr="003128E1" w:rsidRDefault="008327F9" w:rsidP="0021615D">
      <w:pPr>
        <w:pStyle w:val="ListParagraph"/>
        <w:numPr>
          <w:ilvl w:val="0"/>
          <w:numId w:val="5"/>
        </w:numPr>
      </w:pPr>
      <w:r>
        <w:t xml:space="preserve">I </w:t>
      </w:r>
      <w:proofErr w:type="gramStart"/>
      <w:r>
        <w:t>attach</w:t>
      </w:r>
      <w:proofErr w:type="gramEnd"/>
      <w:r>
        <w:t xml:space="preserve"> various files from my analysis. I can provide explanations if desired.</w:t>
      </w:r>
    </w:p>
    <w:p w14:paraId="250C13E0" w14:textId="77777777" w:rsidR="004305AC" w:rsidRDefault="004305AC">
      <w:pPr>
        <w:rPr>
          <w:rFonts w:asciiTheme="majorHAnsi" w:eastAsiaTheme="majorEastAsia" w:hAnsiTheme="majorHAnsi" w:cstheme="majorBidi"/>
          <w:color w:val="0F4761" w:themeColor="accent1" w:themeShade="BF"/>
          <w:sz w:val="40"/>
          <w:szCs w:val="40"/>
        </w:rPr>
      </w:pPr>
      <w:r>
        <w:br w:type="page"/>
      </w:r>
    </w:p>
    <w:p w14:paraId="516A0320" w14:textId="1415D7FF" w:rsidR="00F5151F" w:rsidRDefault="004305AC" w:rsidP="00F5151F">
      <w:pPr>
        <w:pStyle w:val="Heading1"/>
      </w:pPr>
      <w:r>
        <w:lastRenderedPageBreak/>
        <w:t xml:space="preserve">Appendix: </w:t>
      </w:r>
      <w:proofErr w:type="gramStart"/>
      <w:r w:rsidR="00600064">
        <w:t>Some</w:t>
      </w:r>
      <w:proofErr w:type="gramEnd"/>
      <w:r w:rsidR="00600064">
        <w:t xml:space="preserve"> notes I wrote on the Rockefeller NYS budget study, long ago</w:t>
      </w:r>
    </w:p>
    <w:p w14:paraId="7972A833" w14:textId="77777777" w:rsidR="00C10D4E" w:rsidRPr="00C10D4E" w:rsidRDefault="00C10D4E" w:rsidP="00FF6A80">
      <w:pPr>
        <w:pStyle w:val="Heading2"/>
      </w:pPr>
      <w:r w:rsidRPr="00C10D4E">
        <w:t>What the Rockefeller study shows</w:t>
      </w:r>
    </w:p>
    <w:p w14:paraId="5AEBD53B" w14:textId="4FE37AF9" w:rsidR="00C10D4E" w:rsidRPr="00C10D4E" w:rsidRDefault="00C10D4E" w:rsidP="00C10D4E">
      <w:pPr>
        <w:numPr>
          <w:ilvl w:val="0"/>
          <w:numId w:val="1"/>
        </w:numPr>
      </w:pPr>
      <w:r w:rsidRPr="00C10D4E">
        <w:t>The published report divided the state into 4 regions: NYC, capital region, downstate suburbs, and rest of state. It did not publish county</w:t>
      </w:r>
      <w:r w:rsidR="008632FC">
        <w:t xml:space="preserve"> </w:t>
      </w:r>
      <w:r w:rsidRPr="00C10D4E">
        <w:t xml:space="preserve">information. They put Rockland into downstate suburbs and Orange into </w:t>
      </w:r>
      <w:proofErr w:type="gramStart"/>
      <w:r w:rsidRPr="00C10D4E">
        <w:t>rest</w:t>
      </w:r>
      <w:proofErr w:type="gramEnd"/>
      <w:r w:rsidRPr="00C10D4E">
        <w:t xml:space="preserve"> of state. While the</w:t>
      </w:r>
      <w:r w:rsidR="008632FC">
        <w:t xml:space="preserve"> </w:t>
      </w:r>
      <w:r w:rsidRPr="00C10D4E">
        <w:t xml:space="preserve">2 counties border each other, the averages for downstate suburbs are </w:t>
      </w:r>
      <w:proofErr w:type="gramStart"/>
      <w:r w:rsidRPr="00C10D4E">
        <w:t>very different</w:t>
      </w:r>
      <w:proofErr w:type="gramEnd"/>
      <w:r w:rsidRPr="00C10D4E">
        <w:t xml:space="preserve"> from averages for </w:t>
      </w:r>
      <w:proofErr w:type="gramStart"/>
      <w:r w:rsidRPr="00C10D4E">
        <w:t>rest</w:t>
      </w:r>
      <w:proofErr w:type="gramEnd"/>
      <w:r w:rsidRPr="00C10D4E">
        <w:t xml:space="preserve"> of state.</w:t>
      </w:r>
    </w:p>
    <w:p w14:paraId="246023E2" w14:textId="77777777" w:rsidR="00C10D4E" w:rsidRPr="00C10D4E" w:rsidRDefault="00C10D4E" w:rsidP="00C10D4E">
      <w:pPr>
        <w:numPr>
          <w:ilvl w:val="0"/>
          <w:numId w:val="1"/>
        </w:numPr>
      </w:pPr>
      <w:r w:rsidRPr="00C10D4E">
        <w:t>They allocated most/</w:t>
      </w:r>
      <w:proofErr w:type="gramStart"/>
      <w:r w:rsidRPr="00C10D4E">
        <w:t>much</w:t>
      </w:r>
      <w:proofErr w:type="gramEnd"/>
      <w:r w:rsidRPr="00C10D4E">
        <w:t xml:space="preserve"> revenue and spending in the 2009-2010 state budget to these 4 regions.</w:t>
      </w:r>
    </w:p>
    <w:p w14:paraId="174D5AB6" w14:textId="77777777" w:rsidR="00C10D4E" w:rsidRPr="00C10D4E" w:rsidRDefault="00C10D4E" w:rsidP="00C10D4E">
      <w:pPr>
        <w:numPr>
          <w:ilvl w:val="0"/>
          <w:numId w:val="1"/>
        </w:numPr>
      </w:pPr>
      <w:r w:rsidRPr="00C10D4E">
        <w:t xml:space="preserve">I have managed to obtain </w:t>
      </w:r>
      <w:proofErr w:type="gramStart"/>
      <w:r w:rsidRPr="00C10D4E">
        <w:t>many</w:t>
      </w:r>
      <w:proofErr w:type="gramEnd"/>
      <w:r w:rsidRPr="00C10D4E">
        <w:t xml:space="preserve"> of the unpublished details behind their analysis, and they are voluminous. Rockefeller appears to have allocated </w:t>
      </w:r>
      <w:proofErr w:type="gramStart"/>
      <w:r w:rsidRPr="00C10D4E">
        <w:t>many</w:t>
      </w:r>
      <w:proofErr w:type="gramEnd"/>
      <w:r w:rsidRPr="00C10D4E">
        <w:t xml:space="preserve">/most specific revenue items to individual counties and rolled them up to regions. They appear to have allocated </w:t>
      </w:r>
      <w:proofErr w:type="gramStart"/>
      <w:r w:rsidRPr="00C10D4E">
        <w:t>some</w:t>
      </w:r>
      <w:proofErr w:type="gramEnd"/>
      <w:r w:rsidRPr="00C10D4E">
        <w:t xml:space="preserve"> spending items to counties and rolled them up; other spending items appear to have been obtained from OSC, already rolled up to regions (i.e., no county information available, even in the unpublished details). </w:t>
      </w:r>
    </w:p>
    <w:p w14:paraId="0D9DC825" w14:textId="2E594730" w:rsidR="00C10D4E" w:rsidRPr="00C10D4E" w:rsidRDefault="00C10D4E" w:rsidP="00C10D4E">
      <w:r w:rsidRPr="00C10D4E">
        <w:t>The next few tables show summary results.</w:t>
      </w:r>
    </w:p>
    <w:p w14:paraId="0B831790" w14:textId="4949039D" w:rsidR="00C10D4E" w:rsidRDefault="00C10D4E" w:rsidP="00C10D4E">
      <w:r w:rsidRPr="00C10D4E">
        <w:t xml:space="preserve">Table 1a shows share of receipts and of expenditures by region, as well as population. Because NYC's share of receipts is much greater than its share of expenditures, it could </w:t>
      </w:r>
      <w:proofErr w:type="gramStart"/>
      <w:r w:rsidRPr="00C10D4E">
        <w:t>be thought</w:t>
      </w:r>
      <w:proofErr w:type="gramEnd"/>
      <w:r w:rsidRPr="00C10D4E">
        <w:t xml:space="preserve"> of as a donor. Same for downstate suburbs (which include Rockland), but rest of state</w:t>
      </w:r>
      <w:r w:rsidR="004C547D">
        <w:t xml:space="preserve"> </w:t>
      </w:r>
      <w:r w:rsidRPr="00C10D4E">
        <w:t>(which includes Orange) is a recipient.</w:t>
      </w:r>
    </w:p>
    <w:p w14:paraId="25FE0C00" w14:textId="4BB1C62C" w:rsidR="008632FC" w:rsidRPr="00C10D4E" w:rsidRDefault="008632FC" w:rsidP="00C10D4E">
      <w:r>
        <w:rPr>
          <w:noProof/>
        </w:rPr>
        <w:drawing>
          <wp:inline distT="0" distB="0" distL="0" distR="0" wp14:anchorId="7E0C533B" wp14:editId="3D2B232C">
            <wp:extent cx="5943600" cy="1649095"/>
            <wp:effectExtent l="0" t="0" r="0" b="8255"/>
            <wp:docPr id="909168613"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68613" name="Picture 1" descr="A close-up of a graph&#10;&#10;Description automatically generated"/>
                    <pic:cNvPicPr/>
                  </pic:nvPicPr>
                  <pic:blipFill>
                    <a:blip r:embed="rId22"/>
                    <a:stretch>
                      <a:fillRect/>
                    </a:stretch>
                  </pic:blipFill>
                  <pic:spPr>
                    <a:xfrm>
                      <a:off x="0" y="0"/>
                      <a:ext cx="5943600" cy="1649095"/>
                    </a:xfrm>
                    <a:prstGeom prst="rect">
                      <a:avLst/>
                    </a:prstGeom>
                  </pic:spPr>
                </pic:pic>
              </a:graphicData>
            </a:graphic>
          </wp:inline>
        </w:drawing>
      </w:r>
    </w:p>
    <w:p w14:paraId="1865D7DD" w14:textId="77777777" w:rsidR="00C10D4E" w:rsidRPr="00C10D4E" w:rsidRDefault="00C10D4E" w:rsidP="00C10D4E">
      <w:r w:rsidRPr="00C10D4E">
        <w:t xml:space="preserve">Table 1b is similar but allocates income tax according to where people work rather than live. NYC is a bigger donor in this approach, downstate is a smaller donor, and </w:t>
      </w:r>
      <w:proofErr w:type="gramStart"/>
      <w:r w:rsidRPr="00C10D4E">
        <w:t>rest</w:t>
      </w:r>
      <w:proofErr w:type="gramEnd"/>
      <w:r w:rsidRPr="00C10D4E">
        <w:t xml:space="preserve"> of state is about the same.</w:t>
      </w:r>
    </w:p>
    <w:p w14:paraId="1616E559" w14:textId="727942AD" w:rsidR="00C10D4E" w:rsidRPr="00C10D4E" w:rsidRDefault="00692404" w:rsidP="00C10D4E">
      <w:r>
        <w:rPr>
          <w:noProof/>
        </w:rPr>
        <w:lastRenderedPageBreak/>
        <w:drawing>
          <wp:inline distT="0" distB="0" distL="0" distR="0" wp14:anchorId="30FFE70D" wp14:editId="0A916B65">
            <wp:extent cx="5943600" cy="1638935"/>
            <wp:effectExtent l="0" t="0" r="0" b="0"/>
            <wp:docPr id="531035902" name="Picture 1" descr="A close-up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35902" name="Picture 1" descr="A close-up of a table&#10;&#10;Description automatically generated"/>
                    <pic:cNvPicPr/>
                  </pic:nvPicPr>
                  <pic:blipFill>
                    <a:blip r:embed="rId23"/>
                    <a:stretch>
                      <a:fillRect/>
                    </a:stretch>
                  </pic:blipFill>
                  <pic:spPr>
                    <a:xfrm>
                      <a:off x="0" y="0"/>
                      <a:ext cx="5943600" cy="1638935"/>
                    </a:xfrm>
                    <a:prstGeom prst="rect">
                      <a:avLst/>
                    </a:prstGeom>
                  </pic:spPr>
                </pic:pic>
              </a:graphicData>
            </a:graphic>
          </wp:inline>
        </w:drawing>
      </w:r>
    </w:p>
    <w:p w14:paraId="07693352" w14:textId="13D71D0A" w:rsidR="00C10D4E" w:rsidRDefault="00C10D4E" w:rsidP="00C10D4E">
      <w:r w:rsidRPr="00C10D4E">
        <w:t xml:space="preserve">These conclusions </w:t>
      </w:r>
      <w:proofErr w:type="gramStart"/>
      <w:r w:rsidRPr="00C10D4E">
        <w:t>are driven</w:t>
      </w:r>
      <w:proofErr w:type="gramEnd"/>
      <w:r w:rsidRPr="00C10D4E">
        <w:t xml:space="preserve"> by the biggest numbers. On the revenue side, the </w:t>
      </w:r>
      <w:r w:rsidR="00E72A61" w:rsidRPr="00C10D4E">
        <w:t>income</w:t>
      </w:r>
      <w:r w:rsidRPr="00C10D4E">
        <w:t xml:space="preserve"> tax and the sales tax are the big drivers, as Table 2 shows.</w:t>
      </w:r>
    </w:p>
    <w:p w14:paraId="3ADA89F3" w14:textId="0D62D0E7" w:rsidR="00692404" w:rsidRPr="00C10D4E" w:rsidRDefault="00692404" w:rsidP="00C10D4E">
      <w:r>
        <w:rPr>
          <w:noProof/>
        </w:rPr>
        <w:drawing>
          <wp:inline distT="0" distB="0" distL="0" distR="0" wp14:anchorId="22F4D5EF" wp14:editId="007D7D64">
            <wp:extent cx="5943600" cy="4619625"/>
            <wp:effectExtent l="0" t="0" r="0" b="9525"/>
            <wp:docPr id="2115281672"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81672" name="Picture 1" descr="A table with numbers and text&#10;&#10;Description automatically generated"/>
                    <pic:cNvPicPr/>
                  </pic:nvPicPr>
                  <pic:blipFill>
                    <a:blip r:embed="rId24"/>
                    <a:stretch>
                      <a:fillRect/>
                    </a:stretch>
                  </pic:blipFill>
                  <pic:spPr>
                    <a:xfrm>
                      <a:off x="0" y="0"/>
                      <a:ext cx="5943600" cy="4619625"/>
                    </a:xfrm>
                    <a:prstGeom prst="rect">
                      <a:avLst/>
                    </a:prstGeom>
                  </pic:spPr>
                </pic:pic>
              </a:graphicData>
            </a:graphic>
          </wp:inline>
        </w:drawing>
      </w:r>
    </w:p>
    <w:p w14:paraId="13FAC55F" w14:textId="77777777" w:rsidR="00C10D4E" w:rsidRPr="00C10D4E" w:rsidRDefault="00C10D4E" w:rsidP="00C10D4E">
      <w:r w:rsidRPr="00C10D4E">
        <w:t>On the spending side, local assistance is most important, followed by state operations (Table 4).</w:t>
      </w:r>
    </w:p>
    <w:p w14:paraId="167279CC" w14:textId="4EEF4A93" w:rsidR="00C10D4E" w:rsidRDefault="00F5151F" w:rsidP="00C10D4E">
      <w:r>
        <w:rPr>
          <w:noProof/>
        </w:rPr>
        <w:lastRenderedPageBreak/>
        <w:drawing>
          <wp:inline distT="0" distB="0" distL="0" distR="0" wp14:anchorId="4D0CC2B7" wp14:editId="0F715CB9">
            <wp:extent cx="5943600" cy="2030730"/>
            <wp:effectExtent l="0" t="0" r="0" b="7620"/>
            <wp:docPr id="68813346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33463" name="Picture 1" descr="A screenshot of a graph&#10;&#10;Description automatically generated"/>
                    <pic:cNvPicPr/>
                  </pic:nvPicPr>
                  <pic:blipFill>
                    <a:blip r:embed="rId25"/>
                    <a:stretch>
                      <a:fillRect/>
                    </a:stretch>
                  </pic:blipFill>
                  <pic:spPr>
                    <a:xfrm>
                      <a:off x="0" y="0"/>
                      <a:ext cx="5943600" cy="2030730"/>
                    </a:xfrm>
                    <a:prstGeom prst="rect">
                      <a:avLst/>
                    </a:prstGeom>
                  </pic:spPr>
                </pic:pic>
              </a:graphicData>
            </a:graphic>
          </wp:inline>
        </w:drawing>
      </w:r>
    </w:p>
    <w:p w14:paraId="4DF6C85C" w14:textId="77777777" w:rsidR="00F5151F" w:rsidRPr="00C10D4E" w:rsidRDefault="00F5151F" w:rsidP="00C10D4E"/>
    <w:p w14:paraId="5251E704" w14:textId="77777777" w:rsidR="00C10D4E" w:rsidRDefault="00C10D4E" w:rsidP="00C10D4E">
      <w:r w:rsidRPr="00C10D4E">
        <w:t>In local assistance, education and Medicaid are the largest by far (Table 5):</w:t>
      </w:r>
    </w:p>
    <w:p w14:paraId="5B5D66F7" w14:textId="77777777" w:rsidR="003C6BC3" w:rsidRDefault="003C6BC3" w:rsidP="00C10D4E">
      <w:r>
        <w:rPr>
          <w:noProof/>
        </w:rPr>
        <w:drawing>
          <wp:inline distT="0" distB="0" distL="0" distR="0" wp14:anchorId="1F2C9DCE" wp14:editId="4F76CF6A">
            <wp:extent cx="5943600" cy="2859405"/>
            <wp:effectExtent l="0" t="0" r="0" b="0"/>
            <wp:docPr id="125701263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12635" name="Picture 1" descr="A screenshot of a graph&#10;&#10;Description automatically generated"/>
                    <pic:cNvPicPr/>
                  </pic:nvPicPr>
                  <pic:blipFill>
                    <a:blip r:embed="rId26"/>
                    <a:stretch>
                      <a:fillRect/>
                    </a:stretch>
                  </pic:blipFill>
                  <pic:spPr>
                    <a:xfrm>
                      <a:off x="0" y="0"/>
                      <a:ext cx="5943600" cy="2859405"/>
                    </a:xfrm>
                    <a:prstGeom prst="rect">
                      <a:avLst/>
                    </a:prstGeom>
                  </pic:spPr>
                </pic:pic>
              </a:graphicData>
            </a:graphic>
          </wp:inline>
        </w:drawing>
      </w:r>
    </w:p>
    <w:p w14:paraId="6D2E9A75" w14:textId="4BA2AD30" w:rsidR="003C6BC3" w:rsidRDefault="003C6BC3" w:rsidP="003C6BC3">
      <w:r>
        <w:t xml:space="preserve">Note that it is a misnomer to call state spending on Medicaid local assistance. In </w:t>
      </w:r>
      <w:proofErr w:type="gramStart"/>
      <w:r>
        <w:t>almost every</w:t>
      </w:r>
      <w:proofErr w:type="gramEnd"/>
      <w:r>
        <w:t xml:space="preserve"> state, Medicaid is entirely paid for by the state; New York is the only state with a significant local share. </w:t>
      </w:r>
      <w:r w:rsidR="00E72A61">
        <w:t>So,</w:t>
      </w:r>
      <w:r>
        <w:t xml:space="preserve"> another way to think about it is that state Medicaid spending is a state purpose, and local Medicaid spending – not shown here – is also a state purpose (local aid to the state) that in most states would </w:t>
      </w:r>
      <w:proofErr w:type="gramStart"/>
      <w:r>
        <w:t>be paid</w:t>
      </w:r>
      <w:proofErr w:type="gramEnd"/>
      <w:r>
        <w:t xml:space="preserve"> by the state.</w:t>
      </w:r>
    </w:p>
    <w:p w14:paraId="38087043" w14:textId="5771B9ED" w:rsidR="00233EDA" w:rsidRDefault="00233EDA" w:rsidP="00233EDA">
      <w:pPr>
        <w:pStyle w:val="Heading2"/>
      </w:pPr>
      <w:r>
        <w:t xml:space="preserve">Could the Rockefeller analysis </w:t>
      </w:r>
      <w:proofErr w:type="gramStart"/>
      <w:r>
        <w:t xml:space="preserve">be </w:t>
      </w:r>
      <w:r w:rsidR="00C35F7D">
        <w:t>delved</w:t>
      </w:r>
      <w:proofErr w:type="gramEnd"/>
      <w:r w:rsidR="00C35F7D">
        <w:t xml:space="preserve"> into more deeply, or </w:t>
      </w:r>
      <w:r>
        <w:t>updated?</w:t>
      </w:r>
    </w:p>
    <w:p w14:paraId="7EB41435" w14:textId="38195B5A" w:rsidR="00C10D4E" w:rsidRPr="00C10D4E" w:rsidRDefault="00C35F7D" w:rsidP="00C10D4E">
      <w:r w:rsidRPr="00C35F7D">
        <w:rPr>
          <w:b/>
          <w:bCs/>
        </w:rPr>
        <w:t>Deeper analysis</w:t>
      </w:r>
      <w:r>
        <w:t xml:space="preserve">: </w:t>
      </w:r>
      <w:r w:rsidR="00C10D4E" w:rsidRPr="00C10D4E">
        <w:t xml:space="preserve">Because I have obtained </w:t>
      </w:r>
      <w:proofErr w:type="gramStart"/>
      <w:r w:rsidR="00C10D4E" w:rsidRPr="00C10D4E">
        <w:t>some</w:t>
      </w:r>
      <w:proofErr w:type="gramEnd"/>
      <w:r w:rsidR="00C10D4E" w:rsidRPr="00C10D4E">
        <w:t xml:space="preserve"> unpublished details at the county level, I should be able to</w:t>
      </w:r>
      <w:r w:rsidR="00D85D66">
        <w:t xml:space="preserve"> </w:t>
      </w:r>
      <w:r w:rsidR="00C10D4E" w:rsidRPr="00C10D4E">
        <w:t>give</w:t>
      </w:r>
      <w:r w:rsidR="00D85D66">
        <w:t xml:space="preserve"> </w:t>
      </w:r>
      <w:r w:rsidR="00C10D4E" w:rsidRPr="00C10D4E">
        <w:t>some insight into how Orange and Rockland fared</w:t>
      </w:r>
      <w:r>
        <w:t xml:space="preserve"> in the year of the study</w:t>
      </w:r>
      <w:r w:rsidR="00C10D4E" w:rsidRPr="00C10D4E">
        <w:t xml:space="preserve">, which is important because the regions are highly aggregated. That would involve disentangling dozens of documents and spreadsheets. It would not be possible to be </w:t>
      </w:r>
      <w:r w:rsidR="00C10D4E" w:rsidRPr="00C10D4E">
        <w:lastRenderedPageBreak/>
        <w:t xml:space="preserve">comprehensive; I would pick on the largest numbers and dig into them. </w:t>
      </w:r>
      <w:proofErr w:type="gramStart"/>
      <w:r w:rsidR="00C10D4E" w:rsidRPr="00C10D4E">
        <w:t>It's</w:t>
      </w:r>
      <w:proofErr w:type="gramEnd"/>
      <w:r w:rsidR="00C10D4E" w:rsidRPr="00C10D4E">
        <w:t xml:space="preserve"> a necessary first step before trying to extend anything.</w:t>
      </w:r>
    </w:p>
    <w:p w14:paraId="01050ED2" w14:textId="24A6C508" w:rsidR="00C10D4E" w:rsidRPr="00C10D4E" w:rsidRDefault="00C35F7D" w:rsidP="00C10D4E">
      <w:r w:rsidRPr="00C35F7D">
        <w:rPr>
          <w:b/>
          <w:bCs/>
        </w:rPr>
        <w:t>Updating</w:t>
      </w:r>
      <w:r>
        <w:t xml:space="preserve">: </w:t>
      </w:r>
      <w:r w:rsidR="00C10D4E" w:rsidRPr="00C10D4E">
        <w:t xml:space="preserve">For a recent year(s) I think we could do county level PIT and sales tax analysis, and </w:t>
      </w:r>
      <w:proofErr w:type="gramStart"/>
      <w:r w:rsidR="00C10D4E" w:rsidRPr="00C10D4E">
        <w:t>probably Medicaid</w:t>
      </w:r>
      <w:proofErr w:type="gramEnd"/>
      <w:r w:rsidR="00C10D4E" w:rsidRPr="00C10D4E">
        <w:t xml:space="preserve"> analysis and K12 education analysis. We </w:t>
      </w:r>
      <w:proofErr w:type="gramStart"/>
      <w:r w:rsidR="00C10D4E" w:rsidRPr="00C10D4E">
        <w:t>probably could</w:t>
      </w:r>
      <w:proofErr w:type="gramEnd"/>
      <w:r w:rsidR="00C10D4E" w:rsidRPr="00C10D4E">
        <w:t xml:space="preserve"> not do other spending items as</w:t>
      </w:r>
      <w:r w:rsidR="00D85D66">
        <w:t xml:space="preserve"> </w:t>
      </w:r>
      <w:r w:rsidR="00C10D4E" w:rsidRPr="00C10D4E">
        <w:t xml:space="preserve">many would require special runs from the Comptroller. </w:t>
      </w:r>
      <w:r w:rsidR="00233EDA">
        <w:t xml:space="preserve">Picking </w:t>
      </w:r>
      <w:proofErr w:type="gramStart"/>
      <w:r w:rsidR="00233EDA">
        <w:t>a few</w:t>
      </w:r>
      <w:proofErr w:type="gramEnd"/>
      <w:r w:rsidR="00233EDA">
        <w:t xml:space="preserve"> targets might, however, </w:t>
      </w:r>
      <w:r w:rsidR="00C10D4E" w:rsidRPr="00C10D4E">
        <w:t>give</w:t>
      </w:r>
      <w:r w:rsidR="00D85D66">
        <w:t xml:space="preserve"> </w:t>
      </w:r>
      <w:r w:rsidR="00C10D4E" w:rsidRPr="00C10D4E">
        <w:t>us a sense of how things have changed since 2009-10</w:t>
      </w:r>
      <w:r w:rsidR="00233EDA">
        <w:t>.</w:t>
      </w:r>
      <w:r>
        <w:t xml:space="preserve"> Updating the full analysis, </w:t>
      </w:r>
      <w:proofErr w:type="gramStart"/>
      <w:r>
        <w:t>while</w:t>
      </w:r>
      <w:proofErr w:type="gramEnd"/>
      <w:r>
        <w:t xml:space="preserve"> possible, is a major undertaking.</w:t>
      </w:r>
    </w:p>
    <w:p w14:paraId="1E2CE4F9" w14:textId="77777777" w:rsidR="0037090F" w:rsidRDefault="0037090F"/>
    <w:sectPr w:rsidR="0037090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A824CD" w14:textId="77777777" w:rsidR="00803781" w:rsidRDefault="00803781" w:rsidP="008632FC">
      <w:pPr>
        <w:spacing w:after="0" w:line="240" w:lineRule="auto"/>
      </w:pPr>
      <w:r>
        <w:separator/>
      </w:r>
    </w:p>
  </w:endnote>
  <w:endnote w:type="continuationSeparator" w:id="0">
    <w:p w14:paraId="1FFD080B" w14:textId="77777777" w:rsidR="00803781" w:rsidRDefault="00803781" w:rsidP="008632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B7372" w14:textId="77777777" w:rsidR="008632FC" w:rsidRDefault="008632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8893425"/>
      <w:docPartObj>
        <w:docPartGallery w:val="Page Numbers (Bottom of Page)"/>
        <w:docPartUnique/>
      </w:docPartObj>
    </w:sdtPr>
    <w:sdtEndPr>
      <w:rPr>
        <w:noProof/>
      </w:rPr>
    </w:sdtEndPr>
    <w:sdtContent>
      <w:p w14:paraId="48CAF520" w14:textId="134F4769" w:rsidR="008632FC" w:rsidRDefault="008632F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857021" w14:textId="77777777" w:rsidR="008632FC" w:rsidRDefault="008632F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2E6AFC" w14:textId="77777777" w:rsidR="008632FC" w:rsidRDefault="008632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46F130" w14:textId="77777777" w:rsidR="00803781" w:rsidRDefault="00803781" w:rsidP="008632FC">
      <w:pPr>
        <w:spacing w:after="0" w:line="240" w:lineRule="auto"/>
      </w:pPr>
      <w:r>
        <w:separator/>
      </w:r>
    </w:p>
  </w:footnote>
  <w:footnote w:type="continuationSeparator" w:id="0">
    <w:p w14:paraId="03A25B82" w14:textId="77777777" w:rsidR="00803781" w:rsidRDefault="00803781" w:rsidP="008632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AE05E9" w14:textId="77777777" w:rsidR="008632FC" w:rsidRDefault="008632F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7E1170" w14:textId="77777777" w:rsidR="008632FC" w:rsidRDefault="008632F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3FAE69" w14:textId="77777777" w:rsidR="008632FC" w:rsidRDefault="008632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236BE"/>
    <w:multiLevelType w:val="hybridMultilevel"/>
    <w:tmpl w:val="8E32C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211155"/>
    <w:multiLevelType w:val="hybridMultilevel"/>
    <w:tmpl w:val="5774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2E52BA"/>
    <w:multiLevelType w:val="hybridMultilevel"/>
    <w:tmpl w:val="F2AC7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E57F98"/>
    <w:multiLevelType w:val="multilevel"/>
    <w:tmpl w:val="5DF2A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8EA2316"/>
    <w:multiLevelType w:val="hybridMultilevel"/>
    <w:tmpl w:val="8384E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638465">
    <w:abstractNumId w:val="3"/>
  </w:num>
  <w:num w:numId="2" w16cid:durableId="1611929530">
    <w:abstractNumId w:val="4"/>
  </w:num>
  <w:num w:numId="3" w16cid:durableId="1385301185">
    <w:abstractNumId w:val="1"/>
  </w:num>
  <w:num w:numId="4" w16cid:durableId="531846763">
    <w:abstractNumId w:val="0"/>
  </w:num>
  <w:num w:numId="5" w16cid:durableId="20066609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DE3"/>
    <w:rsid w:val="000027B7"/>
    <w:rsid w:val="00020E02"/>
    <w:rsid w:val="000B4140"/>
    <w:rsid w:val="000B5F38"/>
    <w:rsid w:val="000C5E2C"/>
    <w:rsid w:val="00140A82"/>
    <w:rsid w:val="001C41AD"/>
    <w:rsid w:val="001D7599"/>
    <w:rsid w:val="0021615D"/>
    <w:rsid w:val="00233EDA"/>
    <w:rsid w:val="003128E1"/>
    <w:rsid w:val="003321BA"/>
    <w:rsid w:val="003463D1"/>
    <w:rsid w:val="0037090F"/>
    <w:rsid w:val="003976CC"/>
    <w:rsid w:val="003C6BC3"/>
    <w:rsid w:val="00421836"/>
    <w:rsid w:val="004305AC"/>
    <w:rsid w:val="00453F07"/>
    <w:rsid w:val="00491331"/>
    <w:rsid w:val="004949DC"/>
    <w:rsid w:val="004C547D"/>
    <w:rsid w:val="0050648C"/>
    <w:rsid w:val="005116F5"/>
    <w:rsid w:val="005824F9"/>
    <w:rsid w:val="00585DE3"/>
    <w:rsid w:val="00600064"/>
    <w:rsid w:val="00692404"/>
    <w:rsid w:val="006B7222"/>
    <w:rsid w:val="006D70A1"/>
    <w:rsid w:val="006E3262"/>
    <w:rsid w:val="00711609"/>
    <w:rsid w:val="0071253E"/>
    <w:rsid w:val="00726040"/>
    <w:rsid w:val="00730B69"/>
    <w:rsid w:val="007E10A5"/>
    <w:rsid w:val="00803781"/>
    <w:rsid w:val="008327F9"/>
    <w:rsid w:val="008632FC"/>
    <w:rsid w:val="008A632C"/>
    <w:rsid w:val="009546B6"/>
    <w:rsid w:val="00A53079"/>
    <w:rsid w:val="00AD7ED7"/>
    <w:rsid w:val="00B11574"/>
    <w:rsid w:val="00BB0488"/>
    <w:rsid w:val="00BD6386"/>
    <w:rsid w:val="00C10D4E"/>
    <w:rsid w:val="00C35F7D"/>
    <w:rsid w:val="00C405A9"/>
    <w:rsid w:val="00C90DBD"/>
    <w:rsid w:val="00CD3BC1"/>
    <w:rsid w:val="00D7201A"/>
    <w:rsid w:val="00D85D66"/>
    <w:rsid w:val="00DD28E0"/>
    <w:rsid w:val="00E72A61"/>
    <w:rsid w:val="00EB0157"/>
    <w:rsid w:val="00F5151F"/>
    <w:rsid w:val="00F72120"/>
    <w:rsid w:val="00FD6104"/>
    <w:rsid w:val="00FD6275"/>
    <w:rsid w:val="00FF6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830610"/>
  <w15:chartTrackingRefBased/>
  <w15:docId w15:val="{62710950-7DB8-4C54-B525-0070B47BE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05A9"/>
  </w:style>
  <w:style w:type="paragraph" w:styleId="Heading1">
    <w:name w:val="heading 1"/>
    <w:basedOn w:val="Normal"/>
    <w:next w:val="Normal"/>
    <w:link w:val="Heading1Char"/>
    <w:uiPriority w:val="9"/>
    <w:qFormat/>
    <w:rsid w:val="00585D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85D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5D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5D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5D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5D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5D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5D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5D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5D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85D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5D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5D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5D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5D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5D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5D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5DE3"/>
    <w:rPr>
      <w:rFonts w:eastAsiaTheme="majorEastAsia" w:cstheme="majorBidi"/>
      <w:color w:val="272727" w:themeColor="text1" w:themeTint="D8"/>
    </w:rPr>
  </w:style>
  <w:style w:type="paragraph" w:styleId="Title">
    <w:name w:val="Title"/>
    <w:basedOn w:val="Normal"/>
    <w:next w:val="Normal"/>
    <w:link w:val="TitleChar"/>
    <w:uiPriority w:val="10"/>
    <w:qFormat/>
    <w:rsid w:val="00585D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5D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5D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5D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5DE3"/>
    <w:pPr>
      <w:spacing w:before="160"/>
      <w:jc w:val="center"/>
    </w:pPr>
    <w:rPr>
      <w:i/>
      <w:iCs/>
      <w:color w:val="404040" w:themeColor="text1" w:themeTint="BF"/>
    </w:rPr>
  </w:style>
  <w:style w:type="character" w:customStyle="1" w:styleId="QuoteChar">
    <w:name w:val="Quote Char"/>
    <w:basedOn w:val="DefaultParagraphFont"/>
    <w:link w:val="Quote"/>
    <w:uiPriority w:val="29"/>
    <w:rsid w:val="00585DE3"/>
    <w:rPr>
      <w:i/>
      <w:iCs/>
      <w:color w:val="404040" w:themeColor="text1" w:themeTint="BF"/>
    </w:rPr>
  </w:style>
  <w:style w:type="paragraph" w:styleId="ListParagraph">
    <w:name w:val="List Paragraph"/>
    <w:basedOn w:val="Normal"/>
    <w:uiPriority w:val="34"/>
    <w:qFormat/>
    <w:rsid w:val="00585DE3"/>
    <w:pPr>
      <w:ind w:left="720"/>
      <w:contextualSpacing/>
    </w:pPr>
  </w:style>
  <w:style w:type="character" w:styleId="IntenseEmphasis">
    <w:name w:val="Intense Emphasis"/>
    <w:basedOn w:val="DefaultParagraphFont"/>
    <w:uiPriority w:val="21"/>
    <w:qFormat/>
    <w:rsid w:val="00585DE3"/>
    <w:rPr>
      <w:i/>
      <w:iCs/>
      <w:color w:val="0F4761" w:themeColor="accent1" w:themeShade="BF"/>
    </w:rPr>
  </w:style>
  <w:style w:type="paragraph" w:styleId="IntenseQuote">
    <w:name w:val="Intense Quote"/>
    <w:basedOn w:val="Normal"/>
    <w:next w:val="Normal"/>
    <w:link w:val="IntenseQuoteChar"/>
    <w:uiPriority w:val="30"/>
    <w:qFormat/>
    <w:rsid w:val="00585D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5DE3"/>
    <w:rPr>
      <w:i/>
      <w:iCs/>
      <w:color w:val="0F4761" w:themeColor="accent1" w:themeShade="BF"/>
    </w:rPr>
  </w:style>
  <w:style w:type="character" w:styleId="IntenseReference">
    <w:name w:val="Intense Reference"/>
    <w:basedOn w:val="DefaultParagraphFont"/>
    <w:uiPriority w:val="32"/>
    <w:qFormat/>
    <w:rsid w:val="00585DE3"/>
    <w:rPr>
      <w:b/>
      <w:bCs/>
      <w:smallCaps/>
      <w:color w:val="0F4761" w:themeColor="accent1" w:themeShade="BF"/>
      <w:spacing w:val="5"/>
    </w:rPr>
  </w:style>
  <w:style w:type="character" w:styleId="Hyperlink">
    <w:name w:val="Hyperlink"/>
    <w:basedOn w:val="DefaultParagraphFont"/>
    <w:uiPriority w:val="99"/>
    <w:unhideWhenUsed/>
    <w:rsid w:val="00C10D4E"/>
    <w:rPr>
      <w:color w:val="467886" w:themeColor="hyperlink"/>
      <w:u w:val="single"/>
    </w:rPr>
  </w:style>
  <w:style w:type="character" w:styleId="UnresolvedMention">
    <w:name w:val="Unresolved Mention"/>
    <w:basedOn w:val="DefaultParagraphFont"/>
    <w:uiPriority w:val="99"/>
    <w:semiHidden/>
    <w:unhideWhenUsed/>
    <w:rsid w:val="00C10D4E"/>
    <w:rPr>
      <w:color w:val="605E5C"/>
      <w:shd w:val="clear" w:color="auto" w:fill="E1DFDD"/>
    </w:rPr>
  </w:style>
  <w:style w:type="paragraph" w:styleId="Header">
    <w:name w:val="header"/>
    <w:basedOn w:val="Normal"/>
    <w:link w:val="HeaderChar"/>
    <w:uiPriority w:val="99"/>
    <w:unhideWhenUsed/>
    <w:rsid w:val="008632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32FC"/>
  </w:style>
  <w:style w:type="paragraph" w:styleId="Footer">
    <w:name w:val="footer"/>
    <w:basedOn w:val="Normal"/>
    <w:link w:val="FooterChar"/>
    <w:uiPriority w:val="99"/>
    <w:unhideWhenUsed/>
    <w:rsid w:val="008632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32FC"/>
  </w:style>
  <w:style w:type="table" w:styleId="TableGrid">
    <w:name w:val="Table Grid"/>
    <w:basedOn w:val="TableNormal"/>
    <w:uiPriority w:val="39"/>
    <w:rsid w:val="00DD28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921202">
      <w:bodyDiv w:val="1"/>
      <w:marLeft w:val="0"/>
      <w:marRight w:val="0"/>
      <w:marTop w:val="0"/>
      <w:marBottom w:val="0"/>
      <w:divBdr>
        <w:top w:val="none" w:sz="0" w:space="0" w:color="auto"/>
        <w:left w:val="none" w:sz="0" w:space="0" w:color="auto"/>
        <w:bottom w:val="none" w:sz="0" w:space="0" w:color="auto"/>
        <w:right w:val="none" w:sz="0" w:space="0" w:color="auto"/>
      </w:divBdr>
      <w:divsChild>
        <w:div w:id="1366103152">
          <w:marLeft w:val="0"/>
          <w:marRight w:val="0"/>
          <w:marTop w:val="0"/>
          <w:marBottom w:val="0"/>
          <w:divBdr>
            <w:top w:val="none" w:sz="0" w:space="0" w:color="auto"/>
            <w:left w:val="none" w:sz="0" w:space="0" w:color="auto"/>
            <w:bottom w:val="none" w:sz="0" w:space="0" w:color="auto"/>
            <w:right w:val="none" w:sz="0" w:space="0" w:color="auto"/>
          </w:divBdr>
        </w:div>
        <w:div w:id="524640900">
          <w:marLeft w:val="0"/>
          <w:marRight w:val="0"/>
          <w:marTop w:val="0"/>
          <w:marBottom w:val="0"/>
          <w:divBdr>
            <w:top w:val="none" w:sz="0" w:space="0" w:color="auto"/>
            <w:left w:val="none" w:sz="0" w:space="0" w:color="auto"/>
            <w:bottom w:val="none" w:sz="0" w:space="0" w:color="auto"/>
            <w:right w:val="none" w:sz="0" w:space="0" w:color="auto"/>
          </w:divBdr>
        </w:div>
        <w:div w:id="1602686146">
          <w:marLeft w:val="0"/>
          <w:marRight w:val="0"/>
          <w:marTop w:val="0"/>
          <w:marBottom w:val="0"/>
          <w:divBdr>
            <w:top w:val="none" w:sz="0" w:space="0" w:color="auto"/>
            <w:left w:val="none" w:sz="0" w:space="0" w:color="auto"/>
            <w:bottom w:val="none" w:sz="0" w:space="0" w:color="auto"/>
            <w:right w:val="none" w:sz="0" w:space="0" w:color="auto"/>
          </w:divBdr>
          <w:divsChild>
            <w:div w:id="777412784">
              <w:marLeft w:val="480"/>
              <w:marRight w:val="0"/>
              <w:marTop w:val="0"/>
              <w:marBottom w:val="0"/>
              <w:divBdr>
                <w:top w:val="none" w:sz="0" w:space="0" w:color="auto"/>
                <w:left w:val="none" w:sz="0" w:space="0" w:color="auto"/>
                <w:bottom w:val="none" w:sz="0" w:space="0" w:color="auto"/>
                <w:right w:val="none" w:sz="0" w:space="0" w:color="auto"/>
              </w:divBdr>
              <w:divsChild>
                <w:div w:id="4830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30521">
          <w:marLeft w:val="0"/>
          <w:marRight w:val="0"/>
          <w:marTop w:val="0"/>
          <w:marBottom w:val="0"/>
          <w:divBdr>
            <w:top w:val="none" w:sz="0" w:space="0" w:color="auto"/>
            <w:left w:val="none" w:sz="0" w:space="0" w:color="auto"/>
            <w:bottom w:val="none" w:sz="0" w:space="0" w:color="auto"/>
            <w:right w:val="none" w:sz="0" w:space="0" w:color="auto"/>
          </w:divBdr>
        </w:div>
        <w:div w:id="1314604961">
          <w:marLeft w:val="0"/>
          <w:marRight w:val="0"/>
          <w:marTop w:val="0"/>
          <w:marBottom w:val="0"/>
          <w:divBdr>
            <w:top w:val="none" w:sz="0" w:space="0" w:color="auto"/>
            <w:left w:val="none" w:sz="0" w:space="0" w:color="auto"/>
            <w:bottom w:val="none" w:sz="0" w:space="0" w:color="auto"/>
            <w:right w:val="none" w:sz="0" w:space="0" w:color="auto"/>
          </w:divBdr>
        </w:div>
        <w:div w:id="170681659">
          <w:marLeft w:val="0"/>
          <w:marRight w:val="0"/>
          <w:marTop w:val="0"/>
          <w:marBottom w:val="0"/>
          <w:divBdr>
            <w:top w:val="none" w:sz="0" w:space="0" w:color="auto"/>
            <w:left w:val="none" w:sz="0" w:space="0" w:color="auto"/>
            <w:bottom w:val="none" w:sz="0" w:space="0" w:color="auto"/>
            <w:right w:val="none" w:sz="0" w:space="0" w:color="auto"/>
          </w:divBdr>
        </w:div>
        <w:div w:id="1076974214">
          <w:marLeft w:val="0"/>
          <w:marRight w:val="0"/>
          <w:marTop w:val="0"/>
          <w:marBottom w:val="0"/>
          <w:divBdr>
            <w:top w:val="none" w:sz="0" w:space="0" w:color="auto"/>
            <w:left w:val="none" w:sz="0" w:space="0" w:color="auto"/>
            <w:bottom w:val="none" w:sz="0" w:space="0" w:color="auto"/>
            <w:right w:val="none" w:sz="0" w:space="0" w:color="auto"/>
          </w:divBdr>
        </w:div>
        <w:div w:id="69931915">
          <w:marLeft w:val="0"/>
          <w:marRight w:val="0"/>
          <w:marTop w:val="0"/>
          <w:marBottom w:val="0"/>
          <w:divBdr>
            <w:top w:val="none" w:sz="0" w:space="0" w:color="auto"/>
            <w:left w:val="none" w:sz="0" w:space="0" w:color="auto"/>
            <w:bottom w:val="none" w:sz="0" w:space="0" w:color="auto"/>
            <w:right w:val="none" w:sz="0" w:space="0" w:color="auto"/>
          </w:divBdr>
          <w:divsChild>
            <w:div w:id="1883394234">
              <w:marLeft w:val="0"/>
              <w:marRight w:val="0"/>
              <w:marTop w:val="0"/>
              <w:marBottom w:val="0"/>
              <w:divBdr>
                <w:top w:val="none" w:sz="0" w:space="0" w:color="auto"/>
                <w:left w:val="none" w:sz="0" w:space="0" w:color="auto"/>
                <w:bottom w:val="none" w:sz="0" w:space="0" w:color="auto"/>
                <w:right w:val="none" w:sz="0" w:space="0" w:color="auto"/>
              </w:divBdr>
              <w:divsChild>
                <w:div w:id="2015297837">
                  <w:marLeft w:val="0"/>
                  <w:marRight w:val="0"/>
                  <w:marTop w:val="0"/>
                  <w:marBottom w:val="0"/>
                  <w:divBdr>
                    <w:top w:val="none" w:sz="0" w:space="0" w:color="auto"/>
                    <w:left w:val="none" w:sz="0" w:space="0" w:color="auto"/>
                    <w:bottom w:val="none" w:sz="0" w:space="0" w:color="auto"/>
                    <w:right w:val="none" w:sz="0" w:space="0" w:color="auto"/>
                  </w:divBdr>
                </w:div>
                <w:div w:id="1241938862">
                  <w:marLeft w:val="0"/>
                  <w:marRight w:val="0"/>
                  <w:marTop w:val="0"/>
                  <w:marBottom w:val="0"/>
                  <w:divBdr>
                    <w:top w:val="none" w:sz="0" w:space="0" w:color="auto"/>
                    <w:left w:val="none" w:sz="0" w:space="0" w:color="auto"/>
                    <w:bottom w:val="none" w:sz="0" w:space="0" w:color="auto"/>
                    <w:right w:val="none" w:sz="0" w:space="0" w:color="auto"/>
                  </w:divBdr>
                  <w:divsChild>
                    <w:div w:id="436100417">
                      <w:marLeft w:val="0"/>
                      <w:marRight w:val="0"/>
                      <w:marTop w:val="0"/>
                      <w:marBottom w:val="0"/>
                      <w:divBdr>
                        <w:top w:val="none" w:sz="0" w:space="0" w:color="auto"/>
                        <w:left w:val="none" w:sz="0" w:space="0" w:color="auto"/>
                        <w:bottom w:val="none" w:sz="0" w:space="0" w:color="auto"/>
                        <w:right w:val="none" w:sz="0" w:space="0" w:color="auto"/>
                      </w:divBdr>
                    </w:div>
                    <w:div w:id="44915000">
                      <w:marLeft w:val="0"/>
                      <w:marRight w:val="0"/>
                      <w:marTop w:val="0"/>
                      <w:marBottom w:val="0"/>
                      <w:divBdr>
                        <w:top w:val="none" w:sz="0" w:space="0" w:color="auto"/>
                        <w:left w:val="none" w:sz="0" w:space="0" w:color="auto"/>
                        <w:bottom w:val="none" w:sz="0" w:space="0" w:color="auto"/>
                        <w:right w:val="none" w:sz="0" w:space="0" w:color="auto"/>
                      </w:divBdr>
                      <w:divsChild>
                        <w:div w:id="403382064">
                          <w:marLeft w:val="0"/>
                          <w:marRight w:val="0"/>
                          <w:marTop w:val="0"/>
                          <w:marBottom w:val="0"/>
                          <w:divBdr>
                            <w:top w:val="none" w:sz="0" w:space="0" w:color="auto"/>
                            <w:left w:val="none" w:sz="0" w:space="0" w:color="auto"/>
                            <w:bottom w:val="none" w:sz="0" w:space="0" w:color="auto"/>
                            <w:right w:val="none" w:sz="0" w:space="0" w:color="auto"/>
                          </w:divBdr>
                        </w:div>
                        <w:div w:id="315187132">
                          <w:marLeft w:val="0"/>
                          <w:marRight w:val="0"/>
                          <w:marTop w:val="0"/>
                          <w:marBottom w:val="0"/>
                          <w:divBdr>
                            <w:top w:val="none" w:sz="0" w:space="0" w:color="auto"/>
                            <w:left w:val="none" w:sz="0" w:space="0" w:color="auto"/>
                            <w:bottom w:val="none" w:sz="0" w:space="0" w:color="auto"/>
                            <w:right w:val="none" w:sz="0" w:space="0" w:color="auto"/>
                          </w:divBdr>
                        </w:div>
                        <w:div w:id="1651522874">
                          <w:marLeft w:val="0"/>
                          <w:marRight w:val="0"/>
                          <w:marTop w:val="0"/>
                          <w:marBottom w:val="0"/>
                          <w:divBdr>
                            <w:top w:val="none" w:sz="0" w:space="0" w:color="auto"/>
                            <w:left w:val="none" w:sz="0" w:space="0" w:color="auto"/>
                            <w:bottom w:val="none" w:sz="0" w:space="0" w:color="auto"/>
                            <w:right w:val="none" w:sz="0" w:space="0" w:color="auto"/>
                          </w:divBdr>
                        </w:div>
                        <w:div w:id="625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898208">
          <w:marLeft w:val="0"/>
          <w:marRight w:val="0"/>
          <w:marTop w:val="0"/>
          <w:marBottom w:val="0"/>
          <w:divBdr>
            <w:top w:val="none" w:sz="0" w:space="0" w:color="auto"/>
            <w:left w:val="none" w:sz="0" w:space="0" w:color="auto"/>
            <w:bottom w:val="none" w:sz="0" w:space="0" w:color="auto"/>
            <w:right w:val="none" w:sz="0" w:space="0" w:color="auto"/>
          </w:divBdr>
        </w:div>
        <w:div w:id="1804153752">
          <w:marLeft w:val="0"/>
          <w:marRight w:val="0"/>
          <w:marTop w:val="0"/>
          <w:marBottom w:val="0"/>
          <w:divBdr>
            <w:top w:val="none" w:sz="0" w:space="0" w:color="auto"/>
            <w:left w:val="none" w:sz="0" w:space="0" w:color="auto"/>
            <w:bottom w:val="none" w:sz="0" w:space="0" w:color="auto"/>
            <w:right w:val="none" w:sz="0" w:space="0" w:color="auto"/>
          </w:divBdr>
        </w:div>
        <w:div w:id="1382903733">
          <w:marLeft w:val="0"/>
          <w:marRight w:val="0"/>
          <w:marTop w:val="0"/>
          <w:marBottom w:val="0"/>
          <w:divBdr>
            <w:top w:val="none" w:sz="0" w:space="0" w:color="auto"/>
            <w:left w:val="none" w:sz="0" w:space="0" w:color="auto"/>
            <w:bottom w:val="none" w:sz="0" w:space="0" w:color="auto"/>
            <w:right w:val="none" w:sz="0" w:space="0" w:color="auto"/>
          </w:divBdr>
        </w:div>
        <w:div w:id="454449748">
          <w:marLeft w:val="0"/>
          <w:marRight w:val="0"/>
          <w:marTop w:val="0"/>
          <w:marBottom w:val="0"/>
          <w:divBdr>
            <w:top w:val="none" w:sz="0" w:space="0" w:color="auto"/>
            <w:left w:val="none" w:sz="0" w:space="0" w:color="auto"/>
            <w:bottom w:val="none" w:sz="0" w:space="0" w:color="auto"/>
            <w:right w:val="none" w:sz="0" w:space="0" w:color="auto"/>
          </w:divBdr>
        </w:div>
        <w:div w:id="1571690533">
          <w:marLeft w:val="0"/>
          <w:marRight w:val="0"/>
          <w:marTop w:val="0"/>
          <w:marBottom w:val="0"/>
          <w:divBdr>
            <w:top w:val="none" w:sz="0" w:space="0" w:color="auto"/>
            <w:left w:val="none" w:sz="0" w:space="0" w:color="auto"/>
            <w:bottom w:val="none" w:sz="0" w:space="0" w:color="auto"/>
            <w:right w:val="none" w:sz="0" w:space="0" w:color="auto"/>
          </w:divBdr>
        </w:div>
        <w:div w:id="1317151260">
          <w:marLeft w:val="0"/>
          <w:marRight w:val="0"/>
          <w:marTop w:val="0"/>
          <w:marBottom w:val="0"/>
          <w:divBdr>
            <w:top w:val="none" w:sz="0" w:space="0" w:color="auto"/>
            <w:left w:val="none" w:sz="0" w:space="0" w:color="auto"/>
            <w:bottom w:val="none" w:sz="0" w:space="0" w:color="auto"/>
            <w:right w:val="none" w:sz="0" w:space="0" w:color="auto"/>
          </w:divBdr>
        </w:div>
        <w:div w:id="715158693">
          <w:marLeft w:val="0"/>
          <w:marRight w:val="0"/>
          <w:marTop w:val="0"/>
          <w:marBottom w:val="0"/>
          <w:divBdr>
            <w:top w:val="none" w:sz="0" w:space="0" w:color="auto"/>
            <w:left w:val="none" w:sz="0" w:space="0" w:color="auto"/>
            <w:bottom w:val="none" w:sz="0" w:space="0" w:color="auto"/>
            <w:right w:val="none" w:sz="0" w:space="0" w:color="auto"/>
          </w:divBdr>
        </w:div>
        <w:div w:id="410196458">
          <w:marLeft w:val="0"/>
          <w:marRight w:val="0"/>
          <w:marTop w:val="0"/>
          <w:marBottom w:val="0"/>
          <w:divBdr>
            <w:top w:val="none" w:sz="0" w:space="0" w:color="auto"/>
            <w:left w:val="none" w:sz="0" w:space="0" w:color="auto"/>
            <w:bottom w:val="none" w:sz="0" w:space="0" w:color="auto"/>
            <w:right w:val="none" w:sz="0" w:space="0" w:color="auto"/>
          </w:divBdr>
        </w:div>
        <w:div w:id="640620662">
          <w:marLeft w:val="0"/>
          <w:marRight w:val="0"/>
          <w:marTop w:val="0"/>
          <w:marBottom w:val="0"/>
          <w:divBdr>
            <w:top w:val="none" w:sz="0" w:space="0" w:color="auto"/>
            <w:left w:val="none" w:sz="0" w:space="0" w:color="auto"/>
            <w:bottom w:val="none" w:sz="0" w:space="0" w:color="auto"/>
            <w:right w:val="none" w:sz="0" w:space="0" w:color="auto"/>
          </w:divBdr>
        </w:div>
        <w:div w:id="551505">
          <w:marLeft w:val="0"/>
          <w:marRight w:val="0"/>
          <w:marTop w:val="0"/>
          <w:marBottom w:val="0"/>
          <w:divBdr>
            <w:top w:val="none" w:sz="0" w:space="0" w:color="auto"/>
            <w:left w:val="none" w:sz="0" w:space="0" w:color="auto"/>
            <w:bottom w:val="none" w:sz="0" w:space="0" w:color="auto"/>
            <w:right w:val="none" w:sz="0" w:space="0" w:color="auto"/>
          </w:divBdr>
        </w:div>
        <w:div w:id="996572643">
          <w:marLeft w:val="0"/>
          <w:marRight w:val="0"/>
          <w:marTop w:val="0"/>
          <w:marBottom w:val="0"/>
          <w:divBdr>
            <w:top w:val="none" w:sz="0" w:space="0" w:color="auto"/>
            <w:left w:val="none" w:sz="0" w:space="0" w:color="auto"/>
            <w:bottom w:val="none" w:sz="0" w:space="0" w:color="auto"/>
            <w:right w:val="none" w:sz="0" w:space="0" w:color="auto"/>
          </w:divBdr>
        </w:div>
        <w:div w:id="246035416">
          <w:marLeft w:val="0"/>
          <w:marRight w:val="0"/>
          <w:marTop w:val="0"/>
          <w:marBottom w:val="0"/>
          <w:divBdr>
            <w:top w:val="none" w:sz="0" w:space="0" w:color="auto"/>
            <w:left w:val="none" w:sz="0" w:space="0" w:color="auto"/>
            <w:bottom w:val="none" w:sz="0" w:space="0" w:color="auto"/>
            <w:right w:val="none" w:sz="0" w:space="0" w:color="auto"/>
          </w:divBdr>
        </w:div>
      </w:divsChild>
    </w:div>
    <w:div w:id="180826803">
      <w:bodyDiv w:val="1"/>
      <w:marLeft w:val="0"/>
      <w:marRight w:val="0"/>
      <w:marTop w:val="0"/>
      <w:marBottom w:val="0"/>
      <w:divBdr>
        <w:top w:val="none" w:sz="0" w:space="0" w:color="auto"/>
        <w:left w:val="none" w:sz="0" w:space="0" w:color="auto"/>
        <w:bottom w:val="none" w:sz="0" w:space="0" w:color="auto"/>
        <w:right w:val="none" w:sz="0" w:space="0" w:color="auto"/>
      </w:divBdr>
      <w:divsChild>
        <w:div w:id="195510806">
          <w:marLeft w:val="0"/>
          <w:marRight w:val="0"/>
          <w:marTop w:val="0"/>
          <w:marBottom w:val="0"/>
          <w:divBdr>
            <w:top w:val="none" w:sz="0" w:space="0" w:color="auto"/>
            <w:left w:val="none" w:sz="0" w:space="0" w:color="auto"/>
            <w:bottom w:val="none" w:sz="0" w:space="0" w:color="auto"/>
            <w:right w:val="none" w:sz="0" w:space="0" w:color="auto"/>
          </w:divBdr>
        </w:div>
        <w:div w:id="1650329759">
          <w:marLeft w:val="0"/>
          <w:marRight w:val="0"/>
          <w:marTop w:val="0"/>
          <w:marBottom w:val="0"/>
          <w:divBdr>
            <w:top w:val="none" w:sz="0" w:space="0" w:color="auto"/>
            <w:left w:val="none" w:sz="0" w:space="0" w:color="auto"/>
            <w:bottom w:val="none" w:sz="0" w:space="0" w:color="auto"/>
            <w:right w:val="none" w:sz="0" w:space="0" w:color="auto"/>
          </w:divBdr>
        </w:div>
        <w:div w:id="734085038">
          <w:marLeft w:val="0"/>
          <w:marRight w:val="0"/>
          <w:marTop w:val="0"/>
          <w:marBottom w:val="0"/>
          <w:divBdr>
            <w:top w:val="none" w:sz="0" w:space="0" w:color="auto"/>
            <w:left w:val="none" w:sz="0" w:space="0" w:color="auto"/>
            <w:bottom w:val="none" w:sz="0" w:space="0" w:color="auto"/>
            <w:right w:val="none" w:sz="0" w:space="0" w:color="auto"/>
          </w:divBdr>
          <w:divsChild>
            <w:div w:id="1601841099">
              <w:marLeft w:val="480"/>
              <w:marRight w:val="0"/>
              <w:marTop w:val="0"/>
              <w:marBottom w:val="0"/>
              <w:divBdr>
                <w:top w:val="none" w:sz="0" w:space="0" w:color="auto"/>
                <w:left w:val="none" w:sz="0" w:space="0" w:color="auto"/>
                <w:bottom w:val="none" w:sz="0" w:space="0" w:color="auto"/>
                <w:right w:val="none" w:sz="0" w:space="0" w:color="auto"/>
              </w:divBdr>
              <w:divsChild>
                <w:div w:id="136760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83318">
          <w:marLeft w:val="0"/>
          <w:marRight w:val="0"/>
          <w:marTop w:val="0"/>
          <w:marBottom w:val="0"/>
          <w:divBdr>
            <w:top w:val="none" w:sz="0" w:space="0" w:color="auto"/>
            <w:left w:val="none" w:sz="0" w:space="0" w:color="auto"/>
            <w:bottom w:val="none" w:sz="0" w:space="0" w:color="auto"/>
            <w:right w:val="none" w:sz="0" w:space="0" w:color="auto"/>
          </w:divBdr>
        </w:div>
        <w:div w:id="1367682980">
          <w:marLeft w:val="0"/>
          <w:marRight w:val="0"/>
          <w:marTop w:val="0"/>
          <w:marBottom w:val="0"/>
          <w:divBdr>
            <w:top w:val="none" w:sz="0" w:space="0" w:color="auto"/>
            <w:left w:val="none" w:sz="0" w:space="0" w:color="auto"/>
            <w:bottom w:val="none" w:sz="0" w:space="0" w:color="auto"/>
            <w:right w:val="none" w:sz="0" w:space="0" w:color="auto"/>
          </w:divBdr>
        </w:div>
        <w:div w:id="963930451">
          <w:marLeft w:val="0"/>
          <w:marRight w:val="0"/>
          <w:marTop w:val="0"/>
          <w:marBottom w:val="0"/>
          <w:divBdr>
            <w:top w:val="none" w:sz="0" w:space="0" w:color="auto"/>
            <w:left w:val="none" w:sz="0" w:space="0" w:color="auto"/>
            <w:bottom w:val="none" w:sz="0" w:space="0" w:color="auto"/>
            <w:right w:val="none" w:sz="0" w:space="0" w:color="auto"/>
          </w:divBdr>
        </w:div>
        <w:div w:id="1717468358">
          <w:marLeft w:val="0"/>
          <w:marRight w:val="0"/>
          <w:marTop w:val="0"/>
          <w:marBottom w:val="0"/>
          <w:divBdr>
            <w:top w:val="none" w:sz="0" w:space="0" w:color="auto"/>
            <w:left w:val="none" w:sz="0" w:space="0" w:color="auto"/>
            <w:bottom w:val="none" w:sz="0" w:space="0" w:color="auto"/>
            <w:right w:val="none" w:sz="0" w:space="0" w:color="auto"/>
          </w:divBdr>
        </w:div>
        <w:div w:id="1355577353">
          <w:marLeft w:val="0"/>
          <w:marRight w:val="0"/>
          <w:marTop w:val="0"/>
          <w:marBottom w:val="0"/>
          <w:divBdr>
            <w:top w:val="none" w:sz="0" w:space="0" w:color="auto"/>
            <w:left w:val="none" w:sz="0" w:space="0" w:color="auto"/>
            <w:bottom w:val="none" w:sz="0" w:space="0" w:color="auto"/>
            <w:right w:val="none" w:sz="0" w:space="0" w:color="auto"/>
          </w:divBdr>
          <w:divsChild>
            <w:div w:id="1485777344">
              <w:marLeft w:val="0"/>
              <w:marRight w:val="0"/>
              <w:marTop w:val="0"/>
              <w:marBottom w:val="0"/>
              <w:divBdr>
                <w:top w:val="none" w:sz="0" w:space="0" w:color="auto"/>
                <w:left w:val="none" w:sz="0" w:space="0" w:color="auto"/>
                <w:bottom w:val="none" w:sz="0" w:space="0" w:color="auto"/>
                <w:right w:val="none" w:sz="0" w:space="0" w:color="auto"/>
              </w:divBdr>
              <w:divsChild>
                <w:div w:id="1626765767">
                  <w:marLeft w:val="0"/>
                  <w:marRight w:val="0"/>
                  <w:marTop w:val="0"/>
                  <w:marBottom w:val="0"/>
                  <w:divBdr>
                    <w:top w:val="none" w:sz="0" w:space="0" w:color="auto"/>
                    <w:left w:val="none" w:sz="0" w:space="0" w:color="auto"/>
                    <w:bottom w:val="none" w:sz="0" w:space="0" w:color="auto"/>
                    <w:right w:val="none" w:sz="0" w:space="0" w:color="auto"/>
                  </w:divBdr>
                </w:div>
                <w:div w:id="123348967">
                  <w:marLeft w:val="0"/>
                  <w:marRight w:val="0"/>
                  <w:marTop w:val="0"/>
                  <w:marBottom w:val="0"/>
                  <w:divBdr>
                    <w:top w:val="none" w:sz="0" w:space="0" w:color="auto"/>
                    <w:left w:val="none" w:sz="0" w:space="0" w:color="auto"/>
                    <w:bottom w:val="none" w:sz="0" w:space="0" w:color="auto"/>
                    <w:right w:val="none" w:sz="0" w:space="0" w:color="auto"/>
                  </w:divBdr>
                  <w:divsChild>
                    <w:div w:id="1746292690">
                      <w:marLeft w:val="0"/>
                      <w:marRight w:val="0"/>
                      <w:marTop w:val="0"/>
                      <w:marBottom w:val="0"/>
                      <w:divBdr>
                        <w:top w:val="none" w:sz="0" w:space="0" w:color="auto"/>
                        <w:left w:val="none" w:sz="0" w:space="0" w:color="auto"/>
                        <w:bottom w:val="none" w:sz="0" w:space="0" w:color="auto"/>
                        <w:right w:val="none" w:sz="0" w:space="0" w:color="auto"/>
                      </w:divBdr>
                    </w:div>
                    <w:div w:id="424495973">
                      <w:marLeft w:val="0"/>
                      <w:marRight w:val="0"/>
                      <w:marTop w:val="0"/>
                      <w:marBottom w:val="0"/>
                      <w:divBdr>
                        <w:top w:val="none" w:sz="0" w:space="0" w:color="auto"/>
                        <w:left w:val="none" w:sz="0" w:space="0" w:color="auto"/>
                        <w:bottom w:val="none" w:sz="0" w:space="0" w:color="auto"/>
                        <w:right w:val="none" w:sz="0" w:space="0" w:color="auto"/>
                      </w:divBdr>
                      <w:divsChild>
                        <w:div w:id="1212688387">
                          <w:marLeft w:val="0"/>
                          <w:marRight w:val="0"/>
                          <w:marTop w:val="0"/>
                          <w:marBottom w:val="0"/>
                          <w:divBdr>
                            <w:top w:val="none" w:sz="0" w:space="0" w:color="auto"/>
                            <w:left w:val="none" w:sz="0" w:space="0" w:color="auto"/>
                            <w:bottom w:val="none" w:sz="0" w:space="0" w:color="auto"/>
                            <w:right w:val="none" w:sz="0" w:space="0" w:color="auto"/>
                          </w:divBdr>
                        </w:div>
                        <w:div w:id="507990917">
                          <w:marLeft w:val="0"/>
                          <w:marRight w:val="0"/>
                          <w:marTop w:val="0"/>
                          <w:marBottom w:val="0"/>
                          <w:divBdr>
                            <w:top w:val="none" w:sz="0" w:space="0" w:color="auto"/>
                            <w:left w:val="none" w:sz="0" w:space="0" w:color="auto"/>
                            <w:bottom w:val="none" w:sz="0" w:space="0" w:color="auto"/>
                            <w:right w:val="none" w:sz="0" w:space="0" w:color="auto"/>
                          </w:divBdr>
                        </w:div>
                        <w:div w:id="1223058549">
                          <w:marLeft w:val="0"/>
                          <w:marRight w:val="0"/>
                          <w:marTop w:val="0"/>
                          <w:marBottom w:val="0"/>
                          <w:divBdr>
                            <w:top w:val="none" w:sz="0" w:space="0" w:color="auto"/>
                            <w:left w:val="none" w:sz="0" w:space="0" w:color="auto"/>
                            <w:bottom w:val="none" w:sz="0" w:space="0" w:color="auto"/>
                            <w:right w:val="none" w:sz="0" w:space="0" w:color="auto"/>
                          </w:divBdr>
                        </w:div>
                        <w:div w:id="24723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713480">
          <w:marLeft w:val="0"/>
          <w:marRight w:val="0"/>
          <w:marTop w:val="0"/>
          <w:marBottom w:val="0"/>
          <w:divBdr>
            <w:top w:val="none" w:sz="0" w:space="0" w:color="auto"/>
            <w:left w:val="none" w:sz="0" w:space="0" w:color="auto"/>
            <w:bottom w:val="none" w:sz="0" w:space="0" w:color="auto"/>
            <w:right w:val="none" w:sz="0" w:space="0" w:color="auto"/>
          </w:divBdr>
        </w:div>
        <w:div w:id="382992473">
          <w:marLeft w:val="0"/>
          <w:marRight w:val="0"/>
          <w:marTop w:val="0"/>
          <w:marBottom w:val="0"/>
          <w:divBdr>
            <w:top w:val="none" w:sz="0" w:space="0" w:color="auto"/>
            <w:left w:val="none" w:sz="0" w:space="0" w:color="auto"/>
            <w:bottom w:val="none" w:sz="0" w:space="0" w:color="auto"/>
            <w:right w:val="none" w:sz="0" w:space="0" w:color="auto"/>
          </w:divBdr>
        </w:div>
        <w:div w:id="1520124651">
          <w:marLeft w:val="0"/>
          <w:marRight w:val="0"/>
          <w:marTop w:val="0"/>
          <w:marBottom w:val="0"/>
          <w:divBdr>
            <w:top w:val="none" w:sz="0" w:space="0" w:color="auto"/>
            <w:left w:val="none" w:sz="0" w:space="0" w:color="auto"/>
            <w:bottom w:val="none" w:sz="0" w:space="0" w:color="auto"/>
            <w:right w:val="none" w:sz="0" w:space="0" w:color="auto"/>
          </w:divBdr>
        </w:div>
        <w:div w:id="1338075858">
          <w:marLeft w:val="0"/>
          <w:marRight w:val="0"/>
          <w:marTop w:val="0"/>
          <w:marBottom w:val="0"/>
          <w:divBdr>
            <w:top w:val="none" w:sz="0" w:space="0" w:color="auto"/>
            <w:left w:val="none" w:sz="0" w:space="0" w:color="auto"/>
            <w:bottom w:val="none" w:sz="0" w:space="0" w:color="auto"/>
            <w:right w:val="none" w:sz="0" w:space="0" w:color="auto"/>
          </w:divBdr>
        </w:div>
        <w:div w:id="856580756">
          <w:marLeft w:val="0"/>
          <w:marRight w:val="0"/>
          <w:marTop w:val="0"/>
          <w:marBottom w:val="0"/>
          <w:divBdr>
            <w:top w:val="none" w:sz="0" w:space="0" w:color="auto"/>
            <w:left w:val="none" w:sz="0" w:space="0" w:color="auto"/>
            <w:bottom w:val="none" w:sz="0" w:space="0" w:color="auto"/>
            <w:right w:val="none" w:sz="0" w:space="0" w:color="auto"/>
          </w:divBdr>
        </w:div>
        <w:div w:id="2022663298">
          <w:marLeft w:val="0"/>
          <w:marRight w:val="0"/>
          <w:marTop w:val="0"/>
          <w:marBottom w:val="0"/>
          <w:divBdr>
            <w:top w:val="none" w:sz="0" w:space="0" w:color="auto"/>
            <w:left w:val="none" w:sz="0" w:space="0" w:color="auto"/>
            <w:bottom w:val="none" w:sz="0" w:space="0" w:color="auto"/>
            <w:right w:val="none" w:sz="0" w:space="0" w:color="auto"/>
          </w:divBdr>
        </w:div>
        <w:div w:id="1661157420">
          <w:marLeft w:val="0"/>
          <w:marRight w:val="0"/>
          <w:marTop w:val="0"/>
          <w:marBottom w:val="0"/>
          <w:divBdr>
            <w:top w:val="none" w:sz="0" w:space="0" w:color="auto"/>
            <w:left w:val="none" w:sz="0" w:space="0" w:color="auto"/>
            <w:bottom w:val="none" w:sz="0" w:space="0" w:color="auto"/>
            <w:right w:val="none" w:sz="0" w:space="0" w:color="auto"/>
          </w:divBdr>
        </w:div>
        <w:div w:id="1967393767">
          <w:marLeft w:val="0"/>
          <w:marRight w:val="0"/>
          <w:marTop w:val="0"/>
          <w:marBottom w:val="0"/>
          <w:divBdr>
            <w:top w:val="none" w:sz="0" w:space="0" w:color="auto"/>
            <w:left w:val="none" w:sz="0" w:space="0" w:color="auto"/>
            <w:bottom w:val="none" w:sz="0" w:space="0" w:color="auto"/>
            <w:right w:val="none" w:sz="0" w:space="0" w:color="auto"/>
          </w:divBdr>
        </w:div>
        <w:div w:id="764228273">
          <w:marLeft w:val="0"/>
          <w:marRight w:val="0"/>
          <w:marTop w:val="0"/>
          <w:marBottom w:val="0"/>
          <w:divBdr>
            <w:top w:val="none" w:sz="0" w:space="0" w:color="auto"/>
            <w:left w:val="none" w:sz="0" w:space="0" w:color="auto"/>
            <w:bottom w:val="none" w:sz="0" w:space="0" w:color="auto"/>
            <w:right w:val="none" w:sz="0" w:space="0" w:color="auto"/>
          </w:divBdr>
        </w:div>
        <w:div w:id="954555177">
          <w:marLeft w:val="0"/>
          <w:marRight w:val="0"/>
          <w:marTop w:val="0"/>
          <w:marBottom w:val="0"/>
          <w:divBdr>
            <w:top w:val="none" w:sz="0" w:space="0" w:color="auto"/>
            <w:left w:val="none" w:sz="0" w:space="0" w:color="auto"/>
            <w:bottom w:val="none" w:sz="0" w:space="0" w:color="auto"/>
            <w:right w:val="none" w:sz="0" w:space="0" w:color="auto"/>
          </w:divBdr>
        </w:div>
        <w:div w:id="1748919456">
          <w:marLeft w:val="0"/>
          <w:marRight w:val="0"/>
          <w:marTop w:val="0"/>
          <w:marBottom w:val="0"/>
          <w:divBdr>
            <w:top w:val="none" w:sz="0" w:space="0" w:color="auto"/>
            <w:left w:val="none" w:sz="0" w:space="0" w:color="auto"/>
            <w:bottom w:val="none" w:sz="0" w:space="0" w:color="auto"/>
            <w:right w:val="none" w:sz="0" w:space="0" w:color="auto"/>
          </w:divBdr>
        </w:div>
        <w:div w:id="1822692857">
          <w:marLeft w:val="0"/>
          <w:marRight w:val="0"/>
          <w:marTop w:val="0"/>
          <w:marBottom w:val="0"/>
          <w:divBdr>
            <w:top w:val="none" w:sz="0" w:space="0" w:color="auto"/>
            <w:left w:val="none" w:sz="0" w:space="0" w:color="auto"/>
            <w:bottom w:val="none" w:sz="0" w:space="0" w:color="auto"/>
            <w:right w:val="none" w:sz="0" w:space="0" w:color="auto"/>
          </w:divBdr>
        </w:div>
      </w:divsChild>
    </w:div>
    <w:div w:id="916868237">
      <w:bodyDiv w:val="1"/>
      <w:marLeft w:val="0"/>
      <w:marRight w:val="0"/>
      <w:marTop w:val="0"/>
      <w:marBottom w:val="0"/>
      <w:divBdr>
        <w:top w:val="none" w:sz="0" w:space="0" w:color="auto"/>
        <w:left w:val="none" w:sz="0" w:space="0" w:color="auto"/>
        <w:bottom w:val="none" w:sz="0" w:space="0" w:color="auto"/>
        <w:right w:val="none" w:sz="0" w:space="0" w:color="auto"/>
      </w:divBdr>
      <w:divsChild>
        <w:div w:id="1851599523">
          <w:marLeft w:val="480"/>
          <w:marRight w:val="0"/>
          <w:marTop w:val="0"/>
          <w:marBottom w:val="0"/>
          <w:divBdr>
            <w:top w:val="none" w:sz="0" w:space="0" w:color="auto"/>
            <w:left w:val="none" w:sz="0" w:space="0" w:color="auto"/>
            <w:bottom w:val="none" w:sz="0" w:space="0" w:color="auto"/>
            <w:right w:val="none" w:sz="0" w:space="0" w:color="auto"/>
          </w:divBdr>
          <w:divsChild>
            <w:div w:id="209944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24274">
      <w:bodyDiv w:val="1"/>
      <w:marLeft w:val="0"/>
      <w:marRight w:val="0"/>
      <w:marTop w:val="0"/>
      <w:marBottom w:val="0"/>
      <w:divBdr>
        <w:top w:val="none" w:sz="0" w:space="0" w:color="auto"/>
        <w:left w:val="none" w:sz="0" w:space="0" w:color="auto"/>
        <w:bottom w:val="none" w:sz="0" w:space="0" w:color="auto"/>
        <w:right w:val="none" w:sz="0" w:space="0" w:color="auto"/>
      </w:divBdr>
      <w:divsChild>
        <w:div w:id="1708677245">
          <w:marLeft w:val="480"/>
          <w:marRight w:val="0"/>
          <w:marTop w:val="0"/>
          <w:marBottom w:val="0"/>
          <w:divBdr>
            <w:top w:val="none" w:sz="0" w:space="0" w:color="auto"/>
            <w:left w:val="none" w:sz="0" w:space="0" w:color="auto"/>
            <w:bottom w:val="none" w:sz="0" w:space="0" w:color="auto"/>
            <w:right w:val="none" w:sz="0" w:space="0" w:color="auto"/>
          </w:divBdr>
          <w:divsChild>
            <w:div w:id="45799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021800">
      <w:bodyDiv w:val="1"/>
      <w:marLeft w:val="0"/>
      <w:marRight w:val="0"/>
      <w:marTop w:val="0"/>
      <w:marBottom w:val="0"/>
      <w:divBdr>
        <w:top w:val="none" w:sz="0" w:space="0" w:color="auto"/>
        <w:left w:val="none" w:sz="0" w:space="0" w:color="auto"/>
        <w:bottom w:val="none" w:sz="0" w:space="0" w:color="auto"/>
        <w:right w:val="none" w:sz="0" w:space="0" w:color="auto"/>
      </w:divBdr>
      <w:divsChild>
        <w:div w:id="632834335">
          <w:marLeft w:val="480"/>
          <w:marRight w:val="0"/>
          <w:marTop w:val="0"/>
          <w:marBottom w:val="0"/>
          <w:divBdr>
            <w:top w:val="none" w:sz="0" w:space="0" w:color="auto"/>
            <w:left w:val="none" w:sz="0" w:space="0" w:color="auto"/>
            <w:bottom w:val="none" w:sz="0" w:space="0" w:color="auto"/>
            <w:right w:val="none" w:sz="0" w:space="0" w:color="auto"/>
          </w:divBdr>
          <w:divsChild>
            <w:div w:id="100493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95067">
      <w:bodyDiv w:val="1"/>
      <w:marLeft w:val="0"/>
      <w:marRight w:val="0"/>
      <w:marTop w:val="0"/>
      <w:marBottom w:val="0"/>
      <w:divBdr>
        <w:top w:val="none" w:sz="0" w:space="0" w:color="auto"/>
        <w:left w:val="none" w:sz="0" w:space="0" w:color="auto"/>
        <w:bottom w:val="none" w:sz="0" w:space="0" w:color="auto"/>
        <w:right w:val="none" w:sz="0" w:space="0" w:color="auto"/>
      </w:divBdr>
      <w:divsChild>
        <w:div w:id="981538553">
          <w:marLeft w:val="480"/>
          <w:marRight w:val="0"/>
          <w:marTop w:val="0"/>
          <w:marBottom w:val="0"/>
          <w:divBdr>
            <w:top w:val="none" w:sz="0" w:space="0" w:color="auto"/>
            <w:left w:val="none" w:sz="0" w:space="0" w:color="auto"/>
            <w:bottom w:val="none" w:sz="0" w:space="0" w:color="auto"/>
            <w:right w:val="none" w:sz="0" w:space="0" w:color="auto"/>
          </w:divBdr>
          <w:divsChild>
            <w:div w:id="13013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www.osc.ny.gov/reports/federal-fiscal-year-2022-interactive-map"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www.nytimes.com/1996/10/22/opinion/l-federal-subsidies-to-states-tell-half-the-story-914339.html"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www.osc.ny.gov/files/reports/budget/pdf/federal-budget-fiscal-year-2022.pdf" TargetMode="External"/><Relationship Id="rId25"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rockinst.org/issue-areas/fiscal-analysis/balance-of-payments-portal/" TargetMode="External"/><Relationship Id="rId20" Type="http://schemas.openxmlformats.org/officeDocument/2006/relationships/hyperlink" Target="https://rockinst.org/issue-area/giving-getting-regional-distribution-revenue-spending-new-york-state-budget-2009-20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rockinst.org/issue-area/new-yorks-balance-of-payments-with-the-federal-government-2024/" TargetMode="External"/><Relationship Id="rId23" Type="http://schemas.openxmlformats.org/officeDocument/2006/relationships/image" Target="media/image2.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rockinst.org/wp-content/uploads/2017/11/2011-12-Giving_and_Getting-min.pdf."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rockinst.org/wp-content/uploads/2024/07/Balance-of-Payments-Federal-2024.pdf" TargetMode="External"/><Relationship Id="rId22" Type="http://schemas.openxmlformats.org/officeDocument/2006/relationships/image" Target="media/image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27A163-437A-42F8-9CA6-A32777445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9</Pages>
  <Words>2042</Words>
  <Characters>10378</Characters>
  <Application>Microsoft Office Word</Application>
  <DocSecurity>0</DocSecurity>
  <Lines>266</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 Boyd</dc:creator>
  <cp:keywords/>
  <dc:description/>
  <cp:lastModifiedBy>Don Boyd</cp:lastModifiedBy>
  <cp:revision>39</cp:revision>
  <dcterms:created xsi:type="dcterms:W3CDTF">2024-12-16T12:17:00Z</dcterms:created>
  <dcterms:modified xsi:type="dcterms:W3CDTF">2024-12-17T17:32:00Z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6e1e7deb174d2fe9c4baa13549df1d1bc74eb3f4cc2b249ebcf843356e1b0f07</vt:lpwstr>
  </property>
</Properties>
</file>